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Mardones v. Toyota Credit Canada Inc., [2008] B.C.J. No. 1217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19-20,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26,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M106221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1217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835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168 A.C.W.S. (3d) 989</w:t>
      </w:r>
    </w:p>
    <w:p>
      <w:pPr>
        <w:spacing w:before="120" w:line="260" w:lineRule="atLeast"/>
        <w:rPr>
          <w:lang w:val="en-US" w:eastAsia="en-US" w:bidi="ar-SA"/>
        </w:rPr>
      </w:pPr>
      <w:r>
        <w:rPr>
          <w:rFonts w:ascii="arial" w:eastAsia="arial" w:hAnsi="arial" w:cs="arial"/>
          <w:color w:val="000000"/>
          <w:sz w:val="20"/>
          <w:lang w:val="en-US" w:eastAsia="en-US" w:bidi="ar-SA"/>
        </w:rPr>
        <w:t>Between Leonor Mardones, Plaintiff, and Toyota Credit Canada Inc. and Zuheir Inaim,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arising out of a motor vehicle accident resulted in damages award of $12,000 — Plaintiff failed to follow doctor's exercise program or drug prescription — Plaintiff's ongoing symptoms were due in large part to her failure to mitigate her damages and other causes — This was an appropriate case for a small damages award.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motor vehicle accident. The defendants conceded liability for the accident. The defendants denied that the plaintiff suffered any injury and alleged that she could have prevented or reduced any injury. The plaintiff had been involved in two previous accidents. The plaintiff had not followed the drug or exercise programs prescribed by her physicians. The defendants argued there should be no damages. The plaintiff sought significant damages. </w:t>
            </w:r>
            <w:r>
              <w:rPr>
                <w:lang w:val="en-US" w:eastAsia="en-US" w:bidi="ar-SA"/>
              </w:rPr>
              <w:cr/>
            </w:r>
          </w:p>
          <w:p>
            <w:pPr>
              <w:spacing w:before="120" w:line="260" w:lineRule="atLeast"/>
              <w:ind w:left="240"/>
              <w:jc w:val="both"/>
              <w:rPr>
                <w:lang w:val="en-US" w:eastAsia="en-US" w:bidi="ar-SA"/>
              </w:rPr>
            </w:pPr>
            <w:bookmarkStart w:id="2" w:name="Holdings of Court"/>
            <w:bookmarkEnd w:id="2"/>
            <w:r>
              <w:rPr>
                <w:rFonts w:ascii="arial" w:eastAsia="arial" w:hAnsi="arial" w:cs="arial"/>
                <w:color w:val="000000"/>
                <w:sz w:val="20"/>
                <w:lang w:val="en-US" w:eastAsia="en-US" w:bidi="ar-SA"/>
              </w:rPr>
              <w:t>HELD: Damages awarded in the amount of $12,000.</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was injured when her vehicle was struck by that of the defendants. Her ongoing symptoms were due in large part to her failure to mitigate her damages, or other causes, such as weight gain, depression and previous accidents. The plaintiff's current state was due to multiple causes. This was an appropriate case for a small damages award. </w:t>
            </w:r>
            <w:r>
              <w:rPr>
                <w:lang w:val="en-US" w:eastAsia="en-US" w:bidi="ar-SA"/>
              </w:rPr>
              <w:cr/>
            </w:r>
          </w:p>
          <w:p>
            <w:pPr>
              <w:rPr>
                <w:lang w:val="en-US" w:eastAsia="en-US" w:bidi="ar-SA"/>
              </w:rPr>
            </w:pPr>
          </w:p>
        </w:tc>
      </w:tr>
    </w:tbl>
    <w:p>
      <w:pPr>
        <w:jc w:val="both"/>
        <w:rPr>
          <w:lang w:val="en-US" w:eastAsia="en-US" w:bidi="ar-SA"/>
        </w:rPr>
      </w:pPr>
      <w:bookmarkStart w:id="3" w:name="Counsel"/>
      <w:bookmarkEnd w:id="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6" style="position:absolute;z-index:2517094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 Albertson.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T.E.G. Murphy.</w:t>
      </w:r>
      <w:r>
        <w:rPr>
          <w:lang w:val="en-US" w:eastAsia="en-US" w:bidi="ar-SA"/>
        </w:rPr>
        <w:cr/>
      </w:r>
    </w:p>
    <w:p>
      <w:pPr>
        <w:spacing w:after="240"/>
        <w:rPr>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 w:name="J.E.D. SAVAGE J."/>
            <w:bookmarkEnd w:id="5"/>
            <w:r>
              <w:rPr>
                <w:rFonts w:ascii="arial" w:eastAsia="arial" w:hAnsi="arial" w:cs="arial"/>
                <w:b/>
                <w:color w:val="000000"/>
                <w:sz w:val="30"/>
                <w:lang w:val="en-US" w:eastAsia="en-US" w:bidi="ar-SA"/>
              </w:rPr>
              <w:t>J.E.D. SAVAGE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Leonor Mardones ("Mardones") brings an action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motor vehicle accident that occurred on June 16, 2005 near the intersection of King George Highway and 102 Avenue in Surrey, 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Mardones was stopped at or near the intersection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Zuheir Inaim ("Inaim") and Toyota Credit Canada Inc. are, respectively, the driver and owner of the other motor vehicle involved in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Mardones vehicle was a 1990 Mazda Protégé. The Inaim vehicle was a 2004 Toyota Tundra 4 door crew cab.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case proceeded on the basis of an admission of liability by the defendants in the statement of defence that "the accident particularized in ... the statement of claim ...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Zuheir Inaim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conclusion of the defendant's case they sought to amend their statement of defence to deny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application of the defendants was refused, as, in my opinion it was too late in the day to make such amendment, the application coming as it did after the defendants had paid a small property damage claim, after discovery, after the examination of witnesses and after the plaintiff had closed its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Throughout, however, the defendants have denied that Mardones suffered any injury and also alleged that Mardones could have prevented or reduced the severity of such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are somewhat complicated by the fact that Mardones had been involved in two previous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Mardones testified that she had come to a complete stop, because of a red light. The light changed and she proceeded ahead but had to stop again. When she did her vehicle was struck from behind by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Mardones described the impact as a jolt that threw her forward although she was restrained by her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 few moments she got out of her vehicle had a discussion with Inaim during which she asked for his information, although he had volunteered to pay for the small damage to her vehicle, which was a cracked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Neither the police nor an ambulance was called. Later that day Mardones attended with her physician, Dr. Birch.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Inaim testified that he was driving southbound on King George Highway. He came to a stop in front of the Mardones vehicle at a red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light changed and he started moving. Inaim proceeded forward without applying the gas. The vehicle ahead stopped. Mardones got out of her vehicle and came back to his vehicle. She said "You hit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road where this occurred was almost flat. He did not hear any impact. He went with Mardones to look at the vehicles. He asked "where did I hit you?". Mardones said you broke my taillight.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said he had no problem paying for the taillight. Mardones said she hurt her back. He offered to call 911 but she declined. They exchanged information. Neither the police nor an ambulance was called.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Inaim said he observed no damage to his vehicle. He subsequently reported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parties entered as exhibits photographs of the vehicles. The pictures show a cracked taillight on the Mazda Protégé. There is no damage showing on the Toyota Tundra.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Claim File Report says "Insd rolled into TP -- TP &amp; INSD exchanged information". The Damage Estimate Report describes the "loss type" as "collision" and is marked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Toyota Tundra Inaim estimates at about 20 feet long. He cannot see over the top of the cab. He is 5 feet 6 inches tall. He is unable to estimate its weight but it is a large vehicle compared to the Mazda Protégé.</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do not accept Inaim's description of the accident which is inconsistent with his offer to pay for the broken taillight and the description he gave which generated the Claim File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balance I accept that Mardones was injured in the accident when her vehicle was struck by that of Inaim jolting her vehicle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Previous Accidents and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Mardones is 34. She has two daughters who are 13 and 15 today. She was reasonably active prior to the accident, doing housework, driving her children to events, and camping.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was involved in two previous accidents. On December 7, 2000, Mardones was hit by a truck while riding a bicycle suffering whiplash type injuries. She suffered from these injuries for a period of approximately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Mardones was reinjured on September 13, 2003 in a rear-end collision and took 6 months of massage 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June 16, 2005 she was injured in the current accident. She saw Dr. Birch on the day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Birch reports that she complained of headaches, neck, upper and low back pain, right shoulder and right ankle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saw him a further seven times during the spring and summer of 2005. She had 11 chiropractic treatments from Dr. Truong during 2005. Most injuries had subsided by the end of 2005 except the low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Birch referred Mardones for massage and chiropractic treatment, which she attended for about 6 months. She was given stretches and exercises to perform and an anti-inflammatory for pain and inflammation.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July 2006 she fell off a chair reinjuring her back. In 2007 and 2008 she saw her physicians less frequently. Dr. Birch acknowledged under cross-examination that she had not seen him for about a year and half prior to the court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Truong opined that Mardones should with consistent care and a monitored program "reach her pre-accident status". She does "... not anticipate any permanent sequelae" from the accidents, but noted that recovery times could vary.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Birch under cross-examination acknowledged that Mardones' reaction to the low impact accident was not "normal", although he noted that people may react differently to the same event, and gave some examples of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cross-examination he also acknowledged that a lot of the symptoms she experiences arise from "something else". She has an underlying condition of depression and alcohol consumption which makes her depression worse.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Birch has prescribed medications to deal with pain but Mardones has eschewed that advice and drinks alcohol for her pain, although the cost is about the same. He has strongly suggested exercises including water aerobics. She has gained weight post-accident which exacerbates her symptoms. She has not carried out the exercise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weight gain may be a result of depression, pain, and drink. She has not taken antidepressants as prescribed. The recent depression is not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parties are far apart on damages. The plaintiff included cases covering a broad range of damages. The defendant argues that there should be no award as the symptoms are not reasonably attributable to the accident: </w:t>
      </w:r>
      <w:r>
        <w:rPr>
          <w:rFonts w:ascii="arial" w:eastAsia="arial" w:hAnsi="arial" w:cs="arial"/>
          <w:b/>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am mindful of the admonition of McEachern C.J.S.C. (as he then was) in </w:t>
      </w:r>
      <w:r>
        <w:rPr>
          <w:rFonts w:ascii="arial" w:eastAsia="arial" w:hAnsi="arial" w:cs="arial"/>
          <w:b/>
          <w:i/>
          <w:color w:val="000000"/>
          <w:sz w:val="20"/>
          <w:lang w:val="en-US" w:eastAsia="en-US" w:bidi="ar-SA"/>
        </w:rPr>
        <w:t>Butler v. Blaylock</w:t>
      </w:r>
      <w:r>
        <w:rPr>
          <w:rFonts w:ascii="arial" w:eastAsia="arial" w:hAnsi="arial" w:cs="arial"/>
          <w:color w:val="000000"/>
          <w:sz w:val="20"/>
          <w:lang w:val="en-US" w:eastAsia="en-US" w:bidi="ar-SA"/>
        </w:rPr>
        <w:t xml:space="preserve"> cited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that a court "should be exceedingly careful" when assessing damages in a case such as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accept the position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damages for which I am prepared to make an award in this case could reasonably be foreseen as arising from a rear end low or no damage collision of the sort which I accept took place in this case, similar to that in </w:t>
      </w:r>
      <w:r>
        <w:rPr>
          <w:rFonts w:ascii="arial" w:eastAsia="arial" w:hAnsi="arial" w:cs="arial"/>
          <w:b/>
          <w:i/>
          <w:color w:val="000000"/>
          <w:sz w:val="20"/>
          <w:lang w:val="en-US" w:eastAsia="en-US" w:bidi="ar-SA"/>
        </w:rPr>
        <w:t>Vasilyev v. Fetigan</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2007 BCSC 1759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Neither do I accept the position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tended to exaggerate her symptoms, which, especially latterly are probably not attributable to the accident. I accept, however, that she was injured in the accident but her ongoing symptoms after one year post-accident are a result of her failure to mitigate her damages, or other causes.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cites </w:t>
      </w:r>
      <w:r>
        <w:rPr>
          <w:rFonts w:ascii="arial" w:eastAsia="arial" w:hAnsi="arial" w:cs="arial"/>
          <w:b/>
          <w:i/>
          <w:color w:val="000000"/>
          <w:sz w:val="20"/>
          <w:lang w:val="en-US" w:eastAsia="en-US" w:bidi="ar-SA"/>
        </w:rPr>
        <w:t>Love v. Lowden</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2007 BCSC 1007</w:t>
        </w:r>
      </w:hyperlink>
      <w:r>
        <w:rPr>
          <w:rFonts w:ascii="arial" w:eastAsia="arial" w:hAnsi="arial" w:cs="arial"/>
          <w:color w:val="000000"/>
          <w:sz w:val="20"/>
          <w:lang w:val="en-US" w:eastAsia="en-US" w:bidi="ar-SA"/>
        </w:rPr>
        <w:t>. In that case the court accepted the injuries as permanent noting the physician's opinion that "low/sacroiliac pain will be a life long symptom". The plaintiff had been very active and had to significantly alter his lifestyle. The court awarded $60,000 in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the court noted that a plaintiff is under an obligation to take reasonable steps to mitigate or lessen his or her loss, and the burden is on the defendant to prove, on a balance of probabilities, that a plaintiff has not acted reasonably to mitigate her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in </w:t>
      </w:r>
      <w:r>
        <w:rPr>
          <w:rFonts w:ascii="arial" w:eastAsia="arial" w:hAnsi="arial" w:cs="arial"/>
          <w:b/>
          <w:i/>
          <w:color w:val="000000"/>
          <w:sz w:val="20"/>
          <w:lang w:val="en-US" w:eastAsia="en-US" w:bidi="ar-SA"/>
        </w:rPr>
        <w:t>Chamberlain</w:t>
      </w:r>
      <w:r>
        <w:rPr>
          <w:rFonts w:ascii="arial" w:eastAsia="arial" w:hAnsi="arial" w:cs="arial"/>
          <w:color w:val="000000"/>
          <w:sz w:val="20"/>
          <w:lang w:val="en-US" w:eastAsia="en-US" w:bidi="ar-SA"/>
        </w:rPr>
        <w:t xml:space="preserve"> failed to prove a lack of mitigation as the medications the plaintiff did not take were ones that her doctor recommended that she discontinue. She followed the advice of her physician which included exercise, weight loss, etc. On these points the evidence here is markedly in contrast with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Chamberlain</w:t>
      </w:r>
      <w:r>
        <w:rPr>
          <w:rFonts w:ascii="arial" w:eastAsia="arial" w:hAnsi="arial" w:cs="arial"/>
          <w:color w:val="000000"/>
          <w:sz w:val="20"/>
          <w:lang w:val="en-US" w:eastAsia="en-US" w:bidi="ar-SA"/>
        </w:rPr>
        <w:t xml:space="preserve"> awarded $50,000 in non-pecuniary damages for chronic pain as a result of fibromyalgia and neck and back pain that was likely permanent.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my opinion neither </w:t>
      </w:r>
      <w:r>
        <w:rPr>
          <w:rFonts w:ascii="arial" w:eastAsia="arial" w:hAnsi="arial" w:cs="arial"/>
          <w:b/>
          <w:i/>
          <w:color w:val="000000"/>
          <w:sz w:val="20"/>
          <w:lang w:val="en-US" w:eastAsia="en-US" w:bidi="ar-SA"/>
        </w:rPr>
        <w:t>Love</w:t>
      </w:r>
      <w:r>
        <w:rPr>
          <w:rFonts w:ascii="arial" w:eastAsia="arial" w:hAnsi="arial" w:cs="arial"/>
          <w:color w:val="000000"/>
          <w:sz w:val="20"/>
          <w:lang w:val="en-US" w:eastAsia="en-US" w:bidi="ar-SA"/>
        </w:rPr>
        <w:t xml:space="preserve"> nor </w:t>
      </w:r>
      <w:r>
        <w:rPr>
          <w:rFonts w:ascii="arial" w:eastAsia="arial" w:hAnsi="arial" w:cs="arial"/>
          <w:b/>
          <w:i/>
          <w:color w:val="000000"/>
          <w:sz w:val="20"/>
          <w:lang w:val="en-US" w:eastAsia="en-US" w:bidi="ar-SA"/>
        </w:rPr>
        <w:t>Chamberlain</w:t>
      </w:r>
      <w:r>
        <w:rPr>
          <w:rFonts w:ascii="arial" w:eastAsia="arial" w:hAnsi="arial" w:cs="arial"/>
          <w:color w:val="000000"/>
          <w:sz w:val="20"/>
          <w:lang w:val="en-US" w:eastAsia="en-US" w:bidi="ar-SA"/>
        </w:rPr>
        <w:t xml:space="preserve"> are helpful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also cites </w:t>
      </w:r>
      <w:r>
        <w:rPr>
          <w:rFonts w:ascii="arial" w:eastAsia="arial" w:hAnsi="arial" w:cs="arial"/>
          <w:b/>
          <w:i/>
          <w:color w:val="000000"/>
          <w:sz w:val="20"/>
          <w:lang w:val="en-US" w:eastAsia="en-US" w:bidi="ar-SA"/>
        </w:rPr>
        <w:t>Sananin v. MacHale</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2006 BCSC 672</w:t>
        </w:r>
      </w:hyperlink>
      <w:r>
        <w:rPr>
          <w:rFonts w:ascii="arial" w:eastAsia="arial" w:hAnsi="arial" w:cs="arial"/>
          <w:color w:val="000000"/>
          <w:sz w:val="20"/>
          <w:lang w:val="en-US" w:eastAsia="en-US" w:bidi="ar-SA"/>
        </w:rPr>
        <w:t>, a decision of Edwards J., who awarded $20,000 where the plaintiff suffered lower back pain attributable to the accident for some 18 months post-accident, with some intermittent symptoms and consequences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case most similar to the case at bar is </w:t>
      </w:r>
      <w:r>
        <w:rPr>
          <w:rFonts w:ascii="arial" w:eastAsia="arial" w:hAnsi="arial" w:cs="arial"/>
          <w:b/>
          <w:i/>
          <w:color w:val="000000"/>
          <w:sz w:val="20"/>
          <w:lang w:val="en-US" w:eastAsia="en-US" w:bidi="ar-SA"/>
        </w:rPr>
        <w:t>Vasilyev</w:t>
      </w:r>
      <w:r>
        <w:rPr>
          <w:rFonts w:ascii="arial" w:eastAsia="arial" w:hAnsi="arial" w:cs="arial"/>
          <w:color w:val="000000"/>
          <w:sz w:val="20"/>
          <w:lang w:val="en-US" w:eastAsia="en-US" w:bidi="ar-SA"/>
        </w:rPr>
        <w:t xml:space="preserve"> where there was little or no vehicle damage, problems with the plaintiff's credibility but a finding that the immediate symptoms were attributable to the accident. The court awarded $12,000 in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instant case in my opinion the defendant has shown, on a balance of probabilities that the plaintiff has failed to mitigate her damages. I accept the evidence of Dr. Troung that had she carried through with an exercise program and therapy her symptoms would have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plaintiff's </w:t>
      </w:r>
      <w:r>
        <w:rPr>
          <w:rFonts w:ascii="arial" w:eastAsia="arial" w:hAnsi="arial" w:cs="arial"/>
          <w:i/>
          <w:color w:val="000000"/>
          <w:sz w:val="20"/>
          <w:lang w:val="en-US" w:eastAsia="en-US" w:bidi="ar-SA"/>
        </w:rPr>
        <w:t>current</w:t>
      </w:r>
      <w:r>
        <w:rPr>
          <w:rFonts w:ascii="arial" w:eastAsia="arial" w:hAnsi="arial" w:cs="arial"/>
          <w:color w:val="000000"/>
          <w:sz w:val="20"/>
          <w:lang w:val="en-US" w:eastAsia="en-US" w:bidi="ar-SA"/>
        </w:rPr>
        <w:t xml:space="preserve"> state is a result of multiple causes but I find is most likely attributable to her lack of mobility and depression arising from weight gain, alcohol consumption, eschewing anti-depressants and failing to take the advise of her own physicians.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the circumstances an award similar to that in </w:t>
      </w:r>
      <w:r>
        <w:rPr>
          <w:rFonts w:ascii="arial" w:eastAsia="arial" w:hAnsi="arial" w:cs="arial"/>
          <w:b/>
          <w:i/>
          <w:color w:val="000000"/>
          <w:sz w:val="20"/>
          <w:lang w:val="en-US" w:eastAsia="en-US" w:bidi="ar-SA"/>
        </w:rPr>
        <w:t>Vasilyev</w:t>
      </w:r>
      <w:r>
        <w:rPr>
          <w:rFonts w:ascii="arial" w:eastAsia="arial" w:hAnsi="arial" w:cs="arial"/>
          <w:color w:val="000000"/>
          <w:sz w:val="20"/>
          <w:lang w:val="en-US" w:eastAsia="en-US" w:bidi="ar-SA"/>
        </w:rPr>
        <w:t xml:space="preserve"> is appropriate which I fix at $12,000.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there is an issue as to costs they may be spoken to.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J.E.D. SAVAGE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shd w:val="clear" w:color="auto" w:fill="FFFFFF"/>
            <w:lang w:val="en-US" w:eastAsia="en-US" w:bidi="ar-SA"/>
          </w:rPr>
          <w:t>Minhas v. Sartor, [2014] B.C.J. No. 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M99946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C.P.C. (7th)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236 A.C.W.S. (3d) 571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Jarnail Chico Minhas, Plaintiff, and Alexander David Sartor aka Alex Sartor,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Civil litigation — Civil procedure — Costs — Particular circumstances — Where success divided — Offers to settle — Amount of offer v. award — Application by the plaintiff for costs allowed in part — Plaintiff awarded costs on Scale B and disbursements up to date of defendant's offer to settle — Defendant awarded double costs on Scale B and disbursements from that day forward — It was foregone conclusion that some award of damages would be made to plaintiff as he had some injury and defendant driver admitted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However the defendant succeeded on every issue of significance at trial — The defendant's offer was one that ought reasonably to have been accepted --- The plaintiff should have known weaknesses in his case — Rules of Court, Rules 9-1(4), 9-1(5)(b), 9-1(5)(c), 9-1(5)(d), 9-1(6), 14-1, 14-1(1)(b)(i), 14-1(3), 14-1(9).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costs. The plaintiff sued for damages for personal injuries arising out of a motor vehicle accident. After a 25-day trial, the plaintiff was awarded damages of $76,653. At trial, the plaintiff sought damages in excess of $3 million and the defendant's position was that an award of $45,000 with a 20%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appropriate. Two weeks before trial, on December 24, 2010, the plaintiff delivered a formal offer to settle the action for $1.8 million, plus taxable costs and disbursements. On December 29, 2010, the defendant responded with a formal offer of $275,000 plus costs and disbursements. The plaintiff sought to recover costs for the entire action. The defendant conceded that because the plaintiff obtained damages at trial, he was entitled to his costs from the commencement of the action to December 29, but after that date, the defendant should be awarded double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costs on Scale B and disbursements up to and including January 2, 2011. The defendant was awarded double costs on Scale B and disbursements from and after January 3, 2011, as well as costs of the costs hearing, but not as double costs. Generally, the costs of a proceeding must be awarded to the successful party unless the court orders otherwise, pursuant to Rule 14 of the Rules of Court. Rule 9-1, the rule governing offers to settle, might result in a departure from the general rules and gave the court broad discretion to formulate appropriate awards of costs in the circumstances. It was a foregone conclusion that some award of damages would be made at trial, as the defendant driver had admitted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 had suffered some degree of injury. However, the defendant succeeded in relation to every issue of any significance that was in dispute at trial. The real issue was whether the defendant should recover double costs after date of delivery of his offer, or only single costs. The first factor to consider was whether the offer to settle was one that ought reasonably to have been accepted, and it was. The offer was a genuine offer based on the defendant's assessment of the likely outcome at trial and the expense the defendant would incur in going to trial. The plaintiff and his counsel knew that his claim to have suffered a brain injury could only succeed if he was found to be a credible historian and witness; that the defendant intended to robustly challenge the plaintiff's credibility; and that the court would be provided with objective evidence, as well as inconsistent testimony on discovery, from which it would be reasonable to conclude that the plaintiff was an unreliable historian and witness. The plaintiff and his counsel knew, when considering the defendant's offer, that they had no opinion evidence to counteract the defendant's expert on the issue of mitigation and that the plaintiff's record of several past convictions for failing to wear a seatbelt would work against him. The second factor was the relationship between the terms of settlement offered and the final judgment of the court. This factor was to be taken into account as a discrete consideration, not as hindsight into the reasonableness of the offer. The total damages awarded to the plaintiff following trial amounted to less than one-third of the amount the defendant had offered to pay to settle the claim. The court also considered the relative financial circumstances of the parties. It was a reasonable if not inevitable prospect that an award of double costs to the defendant would result in the plaintiff owing money to the defendant. It was likely the plaintiff's family would suffer collateral damage as a result of any order of costs made against him, as he did not appear to have any assets and he was unemployed. In terms of any other factor the court might consider appropriate, in the trial judgment, the court found that the plaintiff was an unreliable and dishonest witness. It was reasonable to give the plaintiff a few days to consider the offer from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9-1(4), Rule 9-1(5)(b), Rule 9-1(5)(c), Rule 9-1(5)(d), Rule 9-1(6), Rule 14-1, Rule 14-1(1)(b)(i), Rule 14-1(3), Rule 14-1(9)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Derek C.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Dennis C. Quinlan, Q.C., Jennifer G. Bye.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W.G. BAKER J."/>
            <w:bookmarkEnd w:id="12"/>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of this action proceeded intermittently for 25 days during the period January 10, 2011 to May 4, 2011. On May 30, 2012 I delivered Reasons for Judgment awarding the plaintiff, Mr. Minhas, damages in the amount of $76,653.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arose out of a claim by Mr. Minhas for damages for personal injuries alleged to be caused by a motor vehicle accident that happened on October 25, 2005. The defendant, Mr. Sartor, admitted that the collision was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alleged that Mr. Minhas was also negligent in failing to wear a seatbelt, and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contributed to the nature and severity of his injuries. The defendant also disputed the type, severity and duration of injuries that Mr. Minhas alleged had resulted from the accident. In particular, the defendant disputed the plaintiff's assertion that he had suffered a traumatic brain injury as a result of the accident or as a result of a severe respiratory infection following jaw surgery some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the Reasons for Judgment state in paragraph 3, at trial the plaintiff was seeking an award in excess of $3 million while the defendant's position was that the award should be $45,000 before a reduction of 20%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Reasons for Judgment are lengthy, comprising 114 pages and I do not propose to review the findings in detail in these Reasons, but will summarize some of the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paragraph 152 of the Reasons for Judgment I stated my conclusion that the force of the impact between Mr. Sartor's small vehicle and Mr. Minhas's larger vehicle was relatively minor. The evidence of the defendant's accident reconstruction expert, which I accepted, was that the velocity change experienced by Mr. Minhas's vehicle when it collided with Mr. Sartor's vehicle was likely less than 6 km/h and that the velocity change experienced by the Minhas Jeep when it struck a pole immediately following the collision with the Sartor vehicle was likely less than 19 km/h. The damage to the Jeep Mr. Minhas was driving was very minor - according to evidence filed at the costs hearing, the repairs to the Jeep cost only $518.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concluded that the plaintiff did not suffer a brain injury as a result of the accident or as a result of a respiratory infection following jaw surgery. I assessed damages at $95,816, with non-pecuniary loss assessed at $70,000; past loss of income at $20,000, special damages of $4,466 and $1,350 for cost of future care. I reduced the total award by 20% to reflect my finding that the plaintiff had not been wearing a seatbelt when the collision occurred, was negligent in failing to do so, and that by failing to wear his seatbelt had contributed to his loss. The ultimate award, after adjustment, was $76,653.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final two paragraphs of my Reasons following trial, in relation to costs, 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[461] In the normal course the plaintiff, having obtained judgment against the defendant, would be entitled to his costs and I would consider Scale B to the appropriate scale. However, there may be factors that have not been disclosed to the court such as offers of settlement that should be considered in relation to costs. The parties may have other submissions they wish to make about costs based on the outcome of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[462] The parties are at liberty to make submissions in writing about costs if they wish to do so; or may arrange with Trial Scheduling to appear before me to make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there were factors the parties wished to draw to the court's attention in relation to costs, counsel arranged to appear before me on February 22, 2013 to make submissions about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Affidavit evidence provided to the court at the costs hearing - the affidavit of Ms. Kadey, a paralegal employed by defendant's counsel - revealed that shortly before the commencement of trial the parties exchanged settlement offers. The parties and their counsel had participated in formal mediation on December 22, 2010 without success. On December 24, 2010, two days after the mediation and approximately 14 days before the scheduled dated for commencement of the trial, Mr. Minhas's counsel delivered to defendant's counsel a formal offer to settle the action for a payment to the plaintiff of $1.8 million, plus taxable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December 29, 2010, Mr. Sartor's counsel delivered to Mr. Minhas's counsel a formal offer in writing to settle the action by a payment to Mr. Minhas of $275,000 plus costs and disbursements to the date of the offer. The offer was stated to be open for acceptance until 4:00 p.m. on the last business day before the commencement of the first day of trial. The offer specifically stated that the defendant reserved the right to bring the offer to the attention of the court for consideration in relation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offer was not accepted by Mr. Minhas. No counter offer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Minhas is seeking to recover costs on Scale B for the entire action, including the trial and all other steps taken after December 29, 2010. He relies on Rule 9-1(5)(c).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Mr. Sartor, concedes that Mr. Minhas, having obtained an award of damages at trial, is entitled to his costs, to be assessed on Scale B, for the period from the commencement of the action to December 29, 2010, the date on which Mr. Sartor's offer of settlement was delivered to Mr. Minhas's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Sartor's position is that the defendant should be awarded double costs for all steps taken by him in the proceeding after December 29, 2010. On this point, Mr. Sartor relies on Rule 9-1(5)(d).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alternative, Mr. Sartor seeks an order that the plaintiff pay special costs to the defendant for all steps taken after delivery of the defendant's offer to settle, pursuant to Rule 14-1. In the further alternative, Mr. Sartor seeks an order that Mr. Minhas pay the defendant "single" costs on Scale B plus disbursements, for all steps taken by the defendant after December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14 is the general rule in relation to costs. Rule 14-1(9) provides that the costs of a proceeding must be awarded to the successful party unless the court otherwise orders. Rule 9-1, the Rule governing Offers to Settle, may result in a departure from the general rule in relation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ease of reference subrules 4, 5 and 6 of Rule 9-1 are set out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Offer may be considered in relation to costs.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options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Considerations of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Subrules 14-1(1)(b)(i) and (3) give the court the discretion to award special costs and sets out specific factors to be taken into account by the assessing officer in the assessment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many British Columbia decisions that speak to the rationale for requiring an unsuccessful litigant to pay some (or in certain circumstances, all) of the successful parties' legal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summarized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at page 32, the reasons include deterring frivolous actions or defences; encouraging conduct that may reduce the length and expense of proceedings and discouraging conduct that will have the opposite effect; and encouraging litigants to settle whenever possible, which meets the objective of reducing expense for the parties but also freeing up scarce judicial resources. The prospect of an award of costs should encourage litigants to carefully assess the strengths and weaknesses of their cases at the outset and throughout the course of the proceedings and to encourage parties to abandon or discontinue actions with little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underlying rationale for the attachment of costs consequences to offers of settlement are based on some of the same factors referred to in the preceding paragraph and the over-arching object of the Rules of Court, which is to "...secure the just, speedy and inexpensive determination of every proceeding on its merits." Rule 1-3(1). Parties are encouraged to make reasonable settlement proposals and to accept same. The potential costs consequences of making or declining a settlement proposal encourage parties to make offers; and to seriously consider offers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Subrules 9-1(5)(a) and (b) are identical to Rule 37B(5)(a) and (b) - the predecessor to the current Rule, that came into force on July 1, 2008. It was intended to restore a degree of discretion that was missing from the previous Rules 37 and 37A. Rule 37B(5) was amended on July 1, 2009 to add paragraphs (c) and (d). Amended Rule 37B(5) and Rule 9-1(5) are identical in wording and effect. Both were intended to give the court broad discretion to formulate an appropriate award of costs in circumstances where an offer or offers of settlement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may award a party costs even though that party had earlier rejected a settlement offer that would have resulted in greater recovery than the award made at trial. At the other end of the spectrum, the court may penalize a party who has rejected a reasonable settlement offer by an award of single or double costs against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was decided under the provisions of Rule 37B as the Rule was prior to amendment in 2009. In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the plaintiff was seeking damages for personal injury resulting from a motor vehicle accident. The plaintiff was claiming over $1 million in damages but had offered to settle her claim for $160,000 plus costs. The defendant offered to pay $35,000 to settle the plaintiff's claim, but this offer was rejected. Following trial, the jury dismissed the plaintiff's claim, holding that the plaintiff had failed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The trial judge (now Chief Justice Hinkson) awarded the defendants double costs commencing seven days after the date the defendant's offer was received by the plaintiff. Justice Hinkson found that the plaintiff's decision to reject the defendant's offer was not unreasonable. He concluded that the plaintiff's difficult financial circumstances were insufficient reason to decline an award of double costs. He rejected the plaintiff's submission that the defendant should be disentitled to costs because the defendant had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having found that the plaintiff's rejection of the defendant's offer was not unreasonable, Justice Hinkson wrote, at paragraph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refusal of an award of double costs ... would completely ignore the important deterrent function of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cited earlier, the trial judge had declined to award double costs to a successful defendant whose pre-trial offer of settlement had been declined. In that case, the Court of Appeal inferred, the trial judge had concluded that the defendant's settlement offer was not one that reasonably should have been accepted by the plaintiffs, although the plaintiffs' claims were ultimately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trial judge awarded the defendants 100% of their pre-trial costs, 85% of their trial costs (he found that success on some issues had been divided) and 90% of their post-trial judgment costs. The trial judge ordered that the plaintiffs be severally liable for a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share of the costs awarded to the successful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appealed the award of costs against them, contending that they should not be liable to pay any of the defendants' costs. The defendants cross-appealed, submitting that the trial judge erred in refusing to award double costs for steps taken after the defendants made their pre-trial settlement offer. The appeal and cross-appeal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were governed by the provisions of the previous Rules, in particular, Rule 37B.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of Appeal rejected the plaintiffs' appeal from the award of costs against them, but also dismissed the defendants' appeal in relation to the claim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paragraph 89 of the Reasons,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there are no mandatory factors under Rule 37B(6) and that trial judges have discretion to take into account whatever factors they consider appropriate in a given case. However, the ultimate discretion as to double costs must be exercised in a just, principled, and consistent way. One of the goals of Rule 37B is to promote settlement by imposing consequences on parties who have refused to accept an offer that ought reasonably to have been accepted. While it may not invariably be the case, I consider that it would be generally antithetical to that goal to penalize an unsuccessful plaintiff with double costs for proceeding to trial in the face of an unreasonable offer. Virtually all litigation comes with a degree of risk. When faced with settlement offers, plaintiffs must carefully consider their positions. However, they should not be cowed into accepting an unreasonable offer out of fear of being penalized with double costs if they are unable to "beat" that offer. Put somewhat differently, plaintiffs should not be penalized for declining an offer that did not provide a genuine incentive to settle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went on to say that when an offer made by a defendant has been "reasonably" refused, the fact that the plaintiff's action is ultimately dismissed "... is not a consideration with respect to double costs".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the Court of Appeal upheld an award of double costs made in favour of the respondent wife following a family law trial that involved claims for spousal and child support, as well as division of assets. Prior to trial, the respondent wife had made a comprehensive and detailed offer to settle, which, had it been accepted, would have resulted in the appellant husband paying less to the respondent wife than he was ordered to pay following trial (and despite some success on the husband's part on appeal). In paragraph 25 of their decision, the Court of Appeal noted that an award of double costs penalizes a litigant for the failure to have accepted an offer that should have been accepted. After referring to the factors for consideration in subrule 9-1(6), the Court said, in paragraph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factor - whether the offer to settle was one that ought reasonably to have been accepted - is not determined by reference to the award that was ultimately made. Rather, in considering that factor, the court must determine whether at the time the offer was open for acceptance, it would have been reasonable for it to have been accepted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emphasizing that the reasonableness of the decision to decline the offer must be assessed without reference to the award obtained at trial; the Court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of Appeal considered the appellant husband's submission that the trial outcome was more favorable to him than acceptance of the offer would have been. The Court rejected this submission, although based on its calculations, the difference was not substantial. The value of the offer made by the wife to the husband was $396,000 and the Court of Appeal calculated the value of the award to the husband at trial was $338,000,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concluded that there were other factors that supported the award of double costs to the respondent wife, namely blameworthy conduct on the part of the appellant husband in refusing to increase his child support during a period of years despite an increase in his </w:t>
      </w:r>
      <w:r>
        <w:rPr>
          <w:rFonts w:ascii="arial" w:eastAsia="arial" w:hAnsi="arial" w:cs="arial"/>
          <w:i/>
          <w:color w:val="000000"/>
          <w:sz w:val="20"/>
          <w:lang w:val="en-US" w:eastAsia="en-US" w:bidi="ar-SA"/>
        </w:rPr>
        <w:t>Guidelines</w:t>
      </w:r>
      <w:r>
        <w:rPr>
          <w:rFonts w:ascii="arial" w:eastAsia="arial" w:hAnsi="arial" w:cs="arial"/>
          <w:color w:val="000000"/>
          <w:sz w:val="20"/>
          <w:lang w:val="en-US" w:eastAsia="en-US" w:bidi="ar-SA"/>
        </w:rPr>
        <w:t xml:space="preserv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Danicek v. Li</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2011 BCSC 444</w:t>
        </w:r>
      </w:hyperlink>
      <w:r>
        <w:rPr>
          <w:rFonts w:ascii="arial" w:eastAsia="arial" w:hAnsi="arial" w:cs="arial"/>
          <w:color w:val="000000"/>
          <w:sz w:val="20"/>
          <w:lang w:val="en-US" w:eastAsia="en-US" w:bidi="ar-SA"/>
        </w:rPr>
        <w:t xml:space="preserve">, Justice Kelleher dealt with an application by the defendant for double costs. In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the plaintiff had first been injured in a fall at a nightclub and was later involved in a motor vehicle accident. She alleged that the motor vehicle accident had exacerbated a headache disorder caused by the earlier fall. The plaintiff received a significant award against the defendants in the two actions related to the fall in the nightclub that were heard at the same time as the motor vehicle accident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Prior to trial, the plaintiff offered to settle her personal injury claim against the defendants in the motor vehicle accident action for $1.9 million. The defendants offered to pay $500,000. Ultimately Justice Kelleher awarded the plaintiff only $10,595 for damages resulting from the motor vehicle accident. Justice Kelleher concluded that it was reasonable for the plaintiff to decline the defendant's $500,000 offer because there was a substantial risk that she would be undercompensated if she had accepted the offer, especially if the Court had concluded that the injuries suffered in the fall and the injuries suffered in the motor vehicle accident were indivisible. He noted also that even if the motor vehicle accident trial had settled, the other trials (of the two actions related to the dance floor fall) would still have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noted the significant discrepancy between the amount offered and the ultimate award. He found no evidence that the plaintiff was financially disadvantaged in comparison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Justice Kelleher noted that lack of candour on the part of a party against whom costs are sought is a relevant consideration, relying on </w:t>
      </w:r>
      <w:r>
        <w:rPr>
          <w:rFonts w:ascii="arial" w:eastAsia="arial" w:hAnsi="arial" w:cs="arial"/>
          <w:i/>
          <w:color w:val="000000"/>
          <w:sz w:val="20"/>
          <w:lang w:val="en-US" w:eastAsia="en-US" w:bidi="ar-SA"/>
        </w:rPr>
        <w:t>McIsaac v. Healthy Body Services Inc.</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2010 BCSC 1033</w:t>
        </w:r>
      </w:hyperlink>
      <w:r>
        <w:rPr>
          <w:rFonts w:ascii="arial" w:eastAsia="arial" w:hAnsi="arial" w:cs="arial"/>
          <w:color w:val="000000"/>
          <w:sz w:val="20"/>
          <w:lang w:val="en-US" w:eastAsia="en-US" w:bidi="ar-SA"/>
        </w:rPr>
        <w:t>. Justice Kelleher had found that Ms. Danicek was not a reliable reporter of her symptoms. He noted there were many examinations for discovery over a period of several years, which explained some of the discrepancies in her testimony, but: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some occasions her answers on discovery or in cross-examination go beyond error.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Taking all of the factors into account, Justice Kelleher declined to make an award of double costs against the plaintiff. He found she had suffered significant injuries (in the two actions arising from the fall in the nightclub she had been awarded $5.9 million) and she had not acted unreasonably in rejecting the defendants'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are other decisions in which a party's lack of candor, dishonesty, or exaggeration were considered relevant factors in assessing costs, including </w:t>
      </w:r>
      <w:r>
        <w:rPr>
          <w:rFonts w:ascii="arial" w:eastAsia="arial" w:hAnsi="arial" w:cs="arial"/>
          <w:i/>
          <w:color w:val="000000"/>
          <w:sz w:val="20"/>
          <w:lang w:val="en-US" w:eastAsia="en-US" w:bidi="ar-SA"/>
        </w:rPr>
        <w:t>McIsaac</w:t>
      </w:r>
      <w:r>
        <w:rPr>
          <w:rFonts w:ascii="arial" w:eastAsia="arial" w:hAnsi="arial" w:cs="arial"/>
          <w:color w:val="000000"/>
          <w:sz w:val="20"/>
          <w:lang w:val="en-US" w:eastAsia="en-US" w:bidi="ar-SA"/>
        </w:rPr>
        <w:t xml:space="preserve">, the decision referred to by Justice Kelleher in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Lower</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Lakhani v. Elliott</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2010 BCSC 281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principal submission in this case is that the plaintiff should pay to the defendant double costs for all steps taken in the proceedings after the delivery of the defendant's offer on December 29, 2010 pursuant to Rule 9-1(5)(b).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Defendant's counsel points to the very large discrepancy between the amount claimed by the plaintiff (in excess of $3 million) and the amount awarded following trial; and the dishonesty, lack of candor and exaggeration on the part of Mr. Minhas displayed not only at trial, but also on examination for discovery, and in the information he, and on occasion some members of his family provided to treating and assessing physicians, health care providers and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Plaintiff's counsel, on the other hand, submits that an award of double costs against the plaintiff in this case would be unjust; that such an award will have a "chilling effect" on other plaintiffs; and that the prospect of a punitive cost award will unduly deter counsel from agreeing to take similar cases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the following analysis will demonstrate, I am not persuaded that this is a case in which the court could justly exercise its discretion pursuant to Rule 9-1(5)(c) to award the plaintiff costs of the proceedings after December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true that the plaintiff succeeded at trial in the sense that an award of damages was made. That some award would be made was, however, a foregone conclusion. Mr. Sartor admitted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and that Mr. Minhas had suffered soft tissue injury as a result of the collision. It was clear from the outset, therefore, that an award of damages would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Mr. Sartor succeeded, however, on every other aspect of the claim advanced by the plaintiff save only that the court found that there was a causal relationship between the accident injuries and Mr. Minhas's decision to have jaw surgery some months later. Although finding that the accident injuries aggravated facial pain caused by a pre-existing condition, the court rejected Mr. Minhas's claim that his jaw had been fractured as a result of the accident, or that the surgery he underwent was to repair a fracture. The court found, as the defendant contended, that the jaw surgery was done to realign the jaw in order to correct a pre-existing TMJ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concluded the plaintiff failed to prove that he had suffered a traumatic or hypoxic brain injury; or that the accident had caused a jaw fracture, hearing loss, impaired ability to smell, vertigo, dental malocclusion, leg fracture, diabetes, depression, anxiety or alcoholism. The court concluded the plaintiff failed to prove that he had been totally or permanently disabled from employment, or that he would need to live in a supervised residential facility for persons with acquired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summary, the defendant succeeded at trial in relation to every issue of any significance that was in dispute, save one, and even on that issue, the defendant succeeded in showing only that the accident injuries were a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the same reasons, this is a case, in my view, where the court should not merely deprive the plaintiff of his costs, but should award costs to the defendant of the steps taken in the proceeding after December 29, 2010. The defendant was the "successful party" at trial despite the fact that the plaintiff was awarded some damages. The real issue in relation to costs is whether the defendant should recover double costs after date of delivery of his offer; or only single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Both counsel told the court that they had not found a case in which an award of double costs has been made in favour of a defendant except in cases in which the plaintiff's claim has been dismissed in its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Defendant's counsel submits, however, and I agree, that subrule 9-1(5)(b) does not expressly limit an award of double costs to actions in which the plaintiff's entire claim has been dismissed. An award of double costs was considered in both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McIsaac</w:t>
      </w:r>
      <w:r>
        <w:rPr>
          <w:rFonts w:ascii="arial" w:eastAsia="arial" w:hAnsi="arial" w:cs="arial"/>
          <w:color w:val="000000"/>
          <w:sz w:val="20"/>
          <w:lang w:val="en-US" w:eastAsia="en-US" w:bidi="ar-SA"/>
        </w:rPr>
        <w:t xml:space="preserve"> despite the plaintiffs in those cases having obtained an award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cited earlier, at para. 89,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also of the view that when an offer made by a defendant for the purpose of achieving a pre-trial settlement is reasonably refused, the mere fact that the action is ultimately dismissed in its entirety is not a consideration with respect to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necessary inference, that Court acknowledged that an award of double costs may be made in a case in which the plaintiff's claim is not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OFFER TO SETTLE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turn to the first factor identified in subrule 9-1(6) - whether the offer to settle was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Neither Mr. Minhas nor his counsel filed an affidavit deposing to Mr. Minhas's reasons for rejecting the defendant's offer. Plaintiff's counsel did file the affidavit of Abigail Shaw, an employee of plaintiff's counsel, but only for the purpose of putting certain exhibits before the court. Thus there is no affidavit evidence before the court setting out the factors Mr. Minhas or his counsel took into account in deciding to decline the defendant's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Much of the plaintiff's written and oral submissions on the issue of costs consisted of re-arguing the plaintiff's claims. Some of these submissions rely on evidence that was disbelieved, testimony the court held was inadmissible (because of lack of notice to the defendant), and submissions that were rejected at trial. Although otherwise not helpful, the submissions do indicate that Mr. Minhas's counsel remains convinced of the validity of at least some of the claims advanced by Mr. Minhas despite the dismissal of those claims. His sincerity cannot be doubted.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reasons not adequately explained, plaintiff's counsel included in the affidavit materials presented at the costs hearing a report from a physician - Dr. Armstrong - that had been obtained long after the Reasons for Judgment were issued (the report is dated February 13, 2013). In my view, this report and the opinions expressed in it are irrelevant to any issue I must decide in relation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not discussed in the plaintiff's submissions about costs, one factor identified in some of the cases about costs is the contrast between the quantum of the plaintiff's claim and the amount offered in settlement. In this case, the plaintiff's claim was a very large one. At trial plaintiff's counsel sought an award in excess of $3 million. The plaintiff's settlement offer was for $1.8 million. The defendant's offer was $275,000.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This is not a case where a plaintiff has maintained a very large claim despite having offered to accept a significantly lesser amount by way of settlement.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cited earlier, the plaintiff had advanced a claim in excess of $1 million but had offered to accept $160,000 in settlement. At paragraph 22 of Justice Hinkson's Reasons,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her offer compared to the position taken by her counsel at trial, the plaintiff was clearly prepared to take a considerable gamble to achieve a significant award...the discount the plaintiff was prepared to accept in order to settle the claim does not support the conclusion that she had confidence in the likelihood of securing a sizeable award at trial. That, in my view, is one of the factors against which the reasonableness of her refusal to accept the defendants' offer to settle must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its settlement offer, the defendant did not relate the amount offered to specific heads of damages, or offer a rationale for the figure offered; and no specific breakdown or rationale was offered in the defendant's submissions about costs. The defendant's Mediation Summary did not refer to any proposed settlement figure. The Summary did, however, set out the claims advanced by the plaintiff that were disputed by the defendant, which were all of the claims except the claim for minor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$275,000 cannot be considered to be only a "nominal" or "nuisance" offer. I am satisfied it was a genuine offer based on the defendant's assessment of the likely outcome at trial and the expense the defendant would incur in going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fair to note that the plaintiff, in his counsel's letter offering to settle for $1.8 million, did not provide any breakdown or explanation of how he had arrived at that figure. In his submissions about costs, plaintiff's counsel said that the figure was based on the plaintiff's position that as a result of the plaintiff's brain injury, he had become incapable of living independently and would need to reside in a supervised residential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difficulty accepting that the plaintiff, in particular, but also his counsel, believed in December 2010 that the court would make an award for the cost of future care based on the assumption that Mr. Minhas would leave the home he shared with his mother, wife and children and reside in a supervised residential facility for persons with acquired brain injury. Mr. Minhas had been living independently for more than five years following the accident. There was no reasonable prospect that he would be found to be incapable of managing himself or his affairs and no reasonable prospect, in my view, that he would voluntarily admit himself to a residential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presence or absence of a rationale or explanation for how the amount offered and rejected had been calculated by the offeror is a factor referred to in some of the authorities in relation to an assessment of the reasonableness of rejection of the offer.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cited earlier, the Court of Appeal noted that Justice Leask, in the decision appealed from, had considered as a relevant factor that the offer had "...provided sufficient information to permit the appellant to understand the content of the offer". (para. 28). The Court of Appeal agreed that this was a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the testimony of Mr. Minhas and his relatives, he had done little or no work after the accident happened in 2005, other than some work for his brother-in-law and a contractor/friend who worked for his brother-in-law. A significant part of Mr. Minhas's claim for damages was based on the premise that but for the accident, Mr. Minhas would have earned $29,000 annually in the six years prior to trial and would have earned $40,000 annually in the year 2011 and following years. Given Mr. Minhas's employment history, he and his counsel ought to have realized that the claim that Mr. Minhas would have earned $40,000 annually but for the accident, was unrealistic and inflated.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the court was persuaded that Mr. Minhas's problems with alcohol abuse were caused or contributed to by his injuries, it was reasonable to assume that the awards for cost of future care and non-pecuniary damages would reflect the negative impact that the alcohol abuse was having on Mr. Minhas's relationships with his spouse, mother, brother, children and friends. The defendant had alerted the plaintiff and his counsel to the fact that the defendant would allege that Mr. Minhas had a history of alcohol abuse pre-dating the accident. In the defendant's Mediation Summary, the defendant referred to the fact that prior to the accident Mr. Minhas had five 24-hour driving suspensions for drinking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Minhas and his counsel ought to have foreseen that even if the court concluded that Mr. Minhas had suffered a mild traumatic brain injury, and in light of the fact that he would not be able to introduce evidence that he even attempted to find employment after the accident, an award of $275,000 was within in the range of damages a court would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oral submissions by plaintiff's counsel about costs, but not in the plaintiff's written Submission Regarding Costs, plaintiff's counsel provided the court with personal information about his health that seemed to imply that he may not have provided the plaintiff with competent advice about the defendant's settlement proposal. Plaintiff's counsel told the court that he had been dealing with chronic back pain since the 1990s; had had sleeping problems since 2003; had surgery on his back in 2007 during which two herniated discs, one of which should not have been removed, had been removed; and had injured his shoulder as a result of a fall down some stairs sometime prior to commencement of the trial in January 2011. During his submissions on costs, plaintiff's counsel drew a rough pencil sketch of some steps and offered the sketch to the court. He said it was a sketch of the steps where he had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asked what use the court could make of the information about his health problems; and whether counsel was essentially submitting that the plaintiff had not received competent advice about the defendant's settlement offer, counsel for Mr. Minhas said that he was not saying that, but was saying that during the period of the time the defendant's offer was outstanding, he (plaintiff's counsel) was not completely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have concluded that there is no use I can make of the personal information provided by plaintiff's counsel in oral submissions. If counsel believed that he had provided inadequate advice to Mr. Minhas about the defendant's settlement offer, he could have provided affidavit evidence to that effect and arranged for other counsel to represent Mr. Minhas at the costs hearing. As noted earlier, there is no affidavit evidence outlining what consideration the plaintiff (or his counsel) gave to the defendant's offer. I do not even know whether the plaintiff requested or obtained advice from his counsel before deciding to reject the offer. What the advice was, if advice was given, would of course be entitled to solicitor-client privilege. There is no admission that in hindsight the decision to decline the offer was a poor decision or that if plaintiff's counsel had been completely well he would have given the plaintiff advice other than that he did give, if he gave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plaintiff's Application Response and in the plaintiff's Submission Regarding Costs, the submitted that Mr. Minhas rejected the Defendant's offer and proceeded to trial because three expert doctors had formed the opinion that Mr. Minhas had suffered a brain injury as a result of the collision. From this, I infer that Mr. Minhas and his counsel were of the view that if Mr. Minhas succeeded in proving that the accident had caused a traumatic brain injury, he would likely recover an award of damages in excess of the $275,000 offered by the defendants. At trial, the plaintiff advanced a second hypothesis - that Mr. Minhas had suffered (or also suffered) hypoxic brain injury as a result of a respiratory infection contracted following the jaw surgery. Adequate notice of this theory of the case had not been provided to the defendant and the evidence permitted to be adduced at trial did not substantiate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noted in my Reasons for Judgment, the report of one of the three expert witnesses to whom counsel is referring - Dr. Ancill - was seriously flawed for reasons not entirely attributable to misinformation provided by Mr. Minhas and his relatives. I would have thought the serious shortcomings in Dr. Ancill's methods and reports would have been obvious to Mr. Minhas's counsel before they were thoroughly canvassed in cross-examination. Dr. Ancill's methods had been the subject of negative comment in earlier decisions by other judges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Psychologist Dr. Hearn's reports contained serious internal inconsistencies that were obvious upon a reading of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One of the three experts on whose opinions the plaintiff intended to rely - Dr. Cameron - had provided the opinion that Mr. Minhas did not suffer hypoxic brain injury following surgery. There can be no doubt that plaintiff's counsel knew that Dr. Cameron's opinion seriously undermined the plaintiff's claim of hypoxic brain injury. Counsel for Mr. Minhas told the court that in advance of trial he had consulted a senior personal injury lawyer for advice about whether, in view of Dr. Cameron's damaging opinion, he should refrain from calling Dr. Cameron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Thus the plaintiff (or his counsel) knew, when the defendant's offer was open for acceptance, that two of the plaintiff's experts would contradict each other on the issue of hypoxic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paragraph 39 of the plaintiff's written submission about costs, plaintiff's counsel has noted that the opinions of Drs. Ancill, Hearn and Cameron were rejected because the court found that the witnesses had relied on information provided by the plaintiff and close relatives, and the court found that all of these witnesses lacked credibility. There were other reasons, as the lengthy Reasons for Judgment set out, but essentially this submission by plaintiff's counsel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paragraph 39, the plaintiff's submission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issue of assessing credibility is subjective and is conducted by the Trial Judge, the Plaintiff was unable to foresee that the reports of Dr. Ancill, Dr. Cameron and Dr. Hearn ... would be rejected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this submission I cannot agree. In my view, the problems with credibility - in particular, the problems with the credibility of Mr. Minhas as a witness - were foreseeable because they are based on objective evidence. The problems with Mr. Minhas's credibility had in fact been identified and emphasized by defendant's counsel at the mediation on December 22, 2010 and are referred to in the Defendant's Mediation Summary, a copy of which had been given to plaintiff's counsel at the December 22, 2010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there was no objective medical evidence of brain injury and there was evidence that Mr. Minhas's behaviour immediately following the accident was inconsistent with brain injury - at least with a brain injury of the severity alleged by the plaintiff. At paragraphs 162 and 163 of the Reasons for Judgment I set out the assumptions on which the medical opinions of brain injury were founded. In paragraph 164 I set out the conclusion that only two of the several assumptions were established by reliable evidence presented at trial and those two were equally consistent with other explanations.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Minhas and his counsel knew - must have known - that in relation to the issue of brain injury, as well as many of the other claims advanced by Mr. Minhas, the credibility of Mr. Minhas's testimony and the reliability of the information he had provided to the plaintiff's expert witnesses, would be 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Minhas and his counsel knew, at the time the defendant's offer was received, that the defendant had plenty of ammunition at his disposal in relation to Mr. Minhas's credibility, or lack thereof. Included in Ms. Kadey's affidavit is a copy of the Mediation Summary prepared by defendant's counsel. In paragraph 5 of that Summary, defendant's counsel stated that the history of injury provided by Mr. Minhas as well as his account of what had occurred during and following the accident had "changed dramatically" over time. In paragraph 12 of the Mediation Summary, defendant's counsel pointed out that Mr. Minhas's pre-employment history was "sporadic" and that he had been dismissed from employment several times in the years immediately prior to the accident; information that contradicted Mr. Minhas's portrayal of himself. Mr. Minhas's history of employment earnings (or lack thereof) was also set out in detail in the defendant's Mediation Summary, as well as references to his appalling driving record and his criminal conviction for uttering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Mediation Summary specifically noted in paragraph 16 that the brain injury diagnosis was based "... upon incorrect facts and assumptions arising from the ever changing version of events given by Mr.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statement in paragraph 16 could not have come as a surprise to Mr. Minhas and his counsel. Mr. Minhas and his counsel knew, in December 2010, that Mr. Minhas had, in the years following the accident, given numerous conflicting versions of the accident and of his symptoms following the accident, both to treating and assessing health care personnel. They knew, therefore, that at least some of the plaintiff's medical witnesses had relied on a version of events that would necessarily have to be rejected at trial if one of the other versions provided by Mr. Minhas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Minhas must have known that his past conduct, including criminal convictions, numerous driving offences, and his history of rejected compensation claims, would raise issues about his credibility. At paragraph 103 of my Reasons, I set out a summary of the conduct that had occurred prior to the accident that cast doubt on Mr. Minhas's credibility. At paragraphs 104 to 109, I referred to post-accident conduct also casting doubt on Mr. Minhas's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Even if one assumes that Mr. Minhas and his counsel may have underestimated the tenacity of defendant's counsel in researching some of the information about Mr. Minhas's past that was presented at trial, both Mr. Minhas and his counsel knew that in addition to the inconsistent reports given by Mr. Minhas to doctors and other health care providers post-accident, Mr. Minhas had given inconsistent testimony during the several installments of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summary, in considering whether the offer to settle was one that ought reasonably to have been accepted, I am satisfied that Mr. Minhas and his counsel knew that Mr. Minhas's claim to have suffered a brain injury could only succeed if Mr. Minhas was found to be a credible historian and witness; that the defendant intended to robustly challenge Mr. Minhas's credibility; and that the court would be provided with objective evidence, as well as inconsistent testimony on discovery, from which it would be reasonable to conclude that Mr. Minhas was an unreliable historian and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stated earlier that one of the issues at trial was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raised by the defendant's allegation that Mr. Minhas was not wearing his seatbelt when the accident happened. On this issue, the defendant had obtained an expert opinion report prepared by an accident reconstruction engineer opining, among other things, that Mr. Minhas had probably not been wearing his seatbelt. The plaintiff and his counsel knew, when considering the defendant's offer, that they had no opinion evidence to counteract the defendant's expert on the issue of mitigation. Mr. Minhas must also have known, in my view, that his assertion that he was sure that he was wearing his seatbelt because he always wore his seatbelt when driving would be readily contradicted by his driving record which included several convictions for failure to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Having considered all of the aforementioned factors, I conclude that the defendant's offer is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RELATIONSHIP BETWEEN THE SETTLEMENT OFFERED AND THE FINAL JUDGMENT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turn to the second consideration set out in Rule 9-1(6) - the relationship between the terms of settlement offered and the final judgment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authorities indicate, although not universally, that the relationship between the amount offered and the amount awarded at trial is not to be taken into account in relation to the determination of "reasonableness" in Rule 9-1(6)(a) because that would require the court to use "hindsight"; but is instead to be taken into account as a discrete consideration, pursuant to Rule 9-1(6)(b). In this case, the total damages awarded to Mr. Minhas following trial - $76,653 - amounted to less than one-third of the $275,000 figure the defendant had offered to pay to settle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RELATIVE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already referred to the plaintiff's work history. He had started a new job only days before the accident happened. For some years, and at time of trial, Mr. Minhas and his wife lived in a house owned by Mr. Minhas's mother. Mr. Minhas's mother and younger brother also lived in the home and eventually Mr. Minhas's two children were added to the household. The evidence at trial was that except for a few occasions on which Mr. Minhas did work for his brother-in-law or a friend - Mr. Deol - he had not been gainfully employed after the accident. This evidence was not entirely convincing and, as with most other aspects of Mr. Minhas's testimony, there were inconsistencies. Mr. Minhas testified, for example, that he had continued to contribute a significant amount each month to the household expenses but did not explain the source of the funds. Mr. Minhas's wife was working part time in a grocery store at time of trial. Mr. Minhas's brother testified that he and his mother had provided Mr. Minhas or his wife with financial assistance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Sartor was only 20 years old when the accident happened. At time of trial he was working as a mechanic for a bus company, a job he had started in 2008. The vehicle he was driving at the time the accident happened was a 21-year-old Honda Accord. Nothing in this information indicates Mr. Sartor is financially advantaged in comparison to Mr.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Earlier authorities, including some of the cases cited earlier, held that the fact that a defendant will be indemnified by an insurer is not a relevant consideration. That view has evolved, however. In </w:t>
      </w:r>
      <w:r>
        <w:rPr>
          <w:rFonts w:ascii="arial" w:eastAsia="arial" w:hAnsi="arial" w:cs="arial"/>
          <w:i/>
          <w:color w:val="000000"/>
          <w:sz w:val="20"/>
          <w:lang w:val="en-US" w:eastAsia="en-US" w:bidi="ar-SA"/>
        </w:rPr>
        <w:t>Smith v. Telford</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2010 BCCA 302</w:t>
        </w:r>
      </w:hyperlink>
      <w:r>
        <w:rPr>
          <w:rFonts w:ascii="arial" w:eastAsia="arial" w:hAnsi="arial" w:cs="arial"/>
          <w:color w:val="000000"/>
          <w:sz w:val="20"/>
          <w:lang w:val="en-US" w:eastAsia="en-US" w:bidi="ar-SA"/>
        </w:rPr>
        <w:t>, at para. 19, Justice Lowry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recognize arguments over the implications of a defendant's insurance coverage being considered in relation to an award of costs may go back and forth, like the judge below I consider precluding such from consideration renders an assessment of the parties' relative financial circumstances, at least in a case of this kind, very artificial indeed. Clearly, with ICBC having assumed the defence, the financial ability to defend was much greater than the financial ability to prosecute and that is of no small importance to considering whether and to what extent the financial circumstances of the parties, relative to each other, bear on an award of costs where, as here, there has been an offer of settlement made ten days before a trial for the assessment of personal injury damages which was not accepted until the seventh day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Smith v. Telford</w:t>
      </w:r>
      <w:r>
        <w:rPr>
          <w:rFonts w:ascii="arial" w:eastAsia="arial" w:hAnsi="arial" w:cs="arial"/>
          <w:color w:val="000000"/>
          <w:sz w:val="20"/>
          <w:lang w:val="en-US" w:eastAsia="en-US" w:bidi="ar-SA"/>
        </w:rPr>
        <w:t xml:space="preserve"> were quite different than in the case at bar. However, I consider that I may take into account the fact that Mr. Sartor has had the benefit of counsel provided by his insurer and will not, so far as the evidence before me indicates, personally bear the burden or enjoy the benefit of any costs award I may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not persuaded, however, that in this case the insurer used its financial strength to take any unfair advantage; or that the plaintiff was unable, by reason of relative financial disadvantage, to fully prosecute his claim. The numerous claims of various kinds advanced by the plaintiff meant that evidence was required from experts in a number of medical and dental specialties. The plaintiff engaged numerous experts which obliged the defendant to retain his own array of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can be no doubt, in my view, that depriving Mr. Minhas of costs after December 29, 2010 will have a significant financial impact on him and that costs to the defendant, if set off against the award of damages and costs made in Mr. Minhas's favour will significantly reduce, if not nullify, the award of damages, resulting in Mr. Minhas receiving little or no compensation for his legitimate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Neither counsel provided the court with draft bills of costs so to some extent this is speculation but I consider it to be informed speculation. I consider it a reasonable if not inevitable prospect that an award of double costs to the defendant for all steps taken after December 29, 2010, which included the 25-day trial with numerous expert witnesses, will result in Mr. Minhas owing money to the defendant. Based on the evidence at trial, it appears that Mr. Minhas has no assets to which the defendant could look to satisfy the debt and he was not employed at time of trial. If he does acquire assets, however, or become regularly employed, the defendant could execute against those assets, or garnish his wages. It is probable that Mr. Minhas's wife, children and mother will, unfortunately, suffer collateral damage as a result of any order for costs made against Mr.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Dempsey v. Oh</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2011 BCSC 627</w:t>
        </w:r>
      </w:hyperlink>
      <w:r>
        <w:rPr>
          <w:rFonts w:ascii="arial" w:eastAsia="arial" w:hAnsi="arial" w:cs="arial"/>
          <w:color w:val="000000"/>
          <w:sz w:val="20"/>
          <w:lang w:val="en-US" w:eastAsia="en-US" w:bidi="ar-SA"/>
        </w:rPr>
        <w:t>, Justice Myers considered a submission by a plaintiff that a denial of his costs would wipe out the benefit of the modest award made at trial. At paragraph 19, Justice Myers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submitted that if he is denied his costs, his modest recovery will be eradicated and that if he is ordered to pay the defendant's costs he will end up owing it money. The plaintiff says that was not the intent of the Rules. I do not agree. It is not the court's function to ensure that a plaintiff makes a net recovery from an action when it has ignored a reasonable offer. That would defeat the purpose of the Rule and does not accord with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Counsel for the defendant submitted that if an award of double costs is not warranted in the circumstances of this case, such an award may never be made. In this submission he was referencing the court's adverse comments in relation to the conduct of Mr. Minhas and some of his family members as witnesses at trial. In particular, counsel referred to paragraphs 110 to 113 of the Reasons for Judgment in which I stated my conclusion that Mr. Minhas demonstrated at trial that he was both an unreliable and dishonest witness; that he was not only careless with the truth, but also told deliberate lies. In paragraph 104 of the Reasons for Judgment I also set out my conclusion that Mr. Minhas asked a former supervisor to provide false information to ICBC about the hourly wage Mr. Minhas had been earning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Having considered all of the circumstances, I am of the view that this is a case in which an award of double costs should be made to the defendant for all steps taken in the proceeding after the offer of settlement was made. I consider it reasonable, however, to take into account that a plaintiff may need a few days to consider an offer of settlement. Accordingly, I order that the plaintiff recover his costs on Scale B and disbursements up to and including January 2, 2011. The defendant shall have double costs, based on Scale B, and disbursements, from and after January 3, 2011. The defendant shall have costs of the costs hearing and preparation for same on Scale B, but not as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Myatt v. Holicza, [2000] B.C.J. No. 1610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7 and 8,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96 5152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569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Vera Myatt, plaintiff, and Vicki Elaine Holicza,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 xml:space="preserve">Torts — Occupier's liability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Visitors — Decks — Stairs or steps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Myatt for damages for personal injuries suffered when she fell from an outdoor deck at Holicza's property. While attending a house party at Holicza's residence, Myatt fell through a hole in the deck through which a stairway descended. She suffered multiple fractures of the left foot and injured her shoulder. There was little medical evidence concerning Myatt's condition or the underlying medical cause of her existing problems. Prior to the accident, she worked a maximum of 20 hours per week as a hairstylist.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Myatt was awarded general damages of $20,000, loss of income of $12,000, loss of future earning capacity of $5,000, and special damages of $924.93. Holicza's premises failed to meet the standards of the Occupier's Liability Act in that the deck was not reasonably safe. Myatt was not contributorily negligent and had taken reasonable steps to mitigate her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0"/>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 33,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40" w:history="1">
        <w:r>
          <w:rPr>
            <w:rFonts w:ascii="arial" w:eastAsia="arial" w:hAnsi="arial" w:cs="arial"/>
            <w:i/>
            <w:color w:val="0077CC"/>
            <w:sz w:val="20"/>
            <w:u w:val="single"/>
            <w:shd w:val="clear" w:color="auto" w:fill="FFFFFF"/>
            <w:lang w:val="en-US" w:eastAsia="en-US" w:bidi="ar-SA"/>
          </w:rPr>
          <w:t>R.S.B.C. 1996, c. 337, ss. 3</w:t>
        </w:r>
      </w:hyperlink>
      <w:r>
        <w:rPr>
          <w:rFonts w:ascii="arial" w:eastAsia="arial" w:hAnsi="arial" w:cs="arial"/>
          <w:color w:val="000000"/>
          <w:sz w:val="20"/>
          <w:lang w:val="en-US" w:eastAsia="en-US" w:bidi="ar-SA"/>
        </w:rPr>
        <w:t>(1),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 w:name="Counsel_1"/>
      <w:bookmarkEnd w:id="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Jeremy G. Carr, for the plaintiff. Steven F. Lee,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7"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PARRETT J."/>
            <w:bookmarkEnd w:id="19"/>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September 21, 1996, the plaintiff was injured when she fell while on an outdoor deck at the defendant's residence in Victoria. In this action she seeks damages pursuant to the provisions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and damages are both in issue and the defendant also raises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21, 1996 the plaintiff and a number of other guests were invited to attend a party at the defendant's residence. The plaintiff was the last to arrive, entering the residence at approximately 6:00 p.m. on that date. As she arrived the other guests were about to sit down to dinner and the plaintiff left the kitchen through a door, which exited onto an outdoor deck located at the back of the residence overlooking Esquimalt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the plaintiff left the kitchen she noted that it was a nice new deck which she remarked on as she crossed over to the handrail to look at the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with respect to the exact dimension of the deck is not complete, but a diagram with some measurements was placed in evidence (Exhibit #5, Tab 1) together with a series of colour photographs (Exhibit #5, Tab 2). This was a relatively small deck roughly 10' in length on each of the sides adjoining the house. It is generally the shape of a block letter "J" with the long vertical side and the base adjoining the house. Out of the centre of the deck a 9 step exterior stairway descends to ground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entry to this stairway is an opening 40" by 26" near the centre of the deck. It is unmarked and lacks any form of handrail or protective barrier. At trial, the defence, quite properly, conceded that the configuration of the deck was not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night in question the plaintiff after leaving the kitchen walked across the deck and stood by the rail looking at the harbour. One of the other guests came out onto the deck stood at the rail to her left and lit a cigarette. The plaintiff testified that she was sensitive to smoke and, as a result, stepped to her right along the railing. Another guest, Tony, came out onto the deck behind her and said hello. She testified that she turned and stepped towards him and fell through the hole in the deck through which the stairway descended.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she fell her left foot hit a beam and she grabbed the guest by the ankle holding on with her right arm. She testified that only her hold on Tony and her "body size" kept her from falling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described being able to hoist herself onto the steps and sitting there for a few minutes, before being taken to a bedroom inside where her foot was elevated and a cold compress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next day she was taken by friends to the Saanich Peninsula Hospital where she was treated in the emergency department. An x-ray examination revealed multiple fractures within the left foot involving the second, third and fourth metatarsils. Dr. Robert Gerrie, an orthopaedic surgeon, treated her and applied a plaster cast, before she was discharged from hospital the same day. No report was provided from Dr. Gerrie, nor was he called as a witness. No explanation was offered for his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is a case where, regretfully, it is necessary to comment on the state of the evidence, and, in particular, the state of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total of nine medical reports are filed as Exhibit #1. Four of these are brief reports or updates by the plaintiff's family doctor, Dr. Gerald Moore, another is that of the plaintiff's chiropractor, and two others originate from Dr. Gloria Cohen, who holds a diploma in Sports Medicine. The plaintiff was referred to Dr. Cohen by her family physician in mid 1997. Dr. Cohen's qualifications are found nowhere within the evidence or her two reports. The two remaining medical reports are those of Dr. Alexander Moll, a neurologist, whose report is dated June 18, 1997 and that of Dr. M. O. O'Neill, an orthopaedic surgeon who examined the plaintiff on behalf of defendants. His report is dated September 27, 1998. As previously mentioned no evidence or report was presented from the orthopaedic surgeon who treated the plaintiff the day following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only report of substance in the last two years preceding this trial is that of Dr. O'Neill. Two other reports are of Dr. Moore one dated December 8, 1997 and the other March 29, 1999 (but amended June 16, 1999). I will quote the full text of both of these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5019"/>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8, 1997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MYATT, Vera</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Your File Number - 14639-J</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Myatt continues to improve slowly from the injuries sustained in the fall of September 21, 1996. Chronic pain in her right shoulder and left foot limit her work period to about three hours daily.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MRI scan of her right shoulder done August 12, 1997 showed evidence of degenerative changes in her shoulder joint. A radiograph of her left foot done April 21, 1997 showed multiple healed fractures. A bone scan of her feet done May 20, 1997 showed non-specific changes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anticipate that her symptoms would continue to gradually improve over the coming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29, 1999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AMENDED - June 16/99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medical-legal report has been prepared in response to your request date March 9, 1999. A list of my professional qualifications is appended to this letter. Ms. Myatt has been under my care in this family medicine practice, since December 1992.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21, 1996, Ms. Myatt fell through a hole in a patio deck and struck her left foot on a projecting post. She sustained multiple fractures of her left 2nd, 3rd and 4th metatarsal bones associated with some displacement of fragments, and subluxation of metatarsal-phalangeal joints. She received prompt and appropriate treatment consisting of casting, and physiotherapy following union of her fractures. Despite treatment, Ms. Myatt has had chronic pain in her left mid-foot, which persists at this time. Radiographs and a radionucleide bone scan of her feet, performed in July 1998, show evidence of osteoarthritic degeneration of her tarso-metatarsal joints, more advanced in her left foot. It is likely that the trauma sustained in her accident has accelerated this degenerative change. It should be noted that Ms. Myatt did not suffer from foot pain prior to the accident of September 21, 1996. All of the chronic foot pain which she presently suffers would seem to be the result of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Myatt is currently limited to about 3 - 4 hours, 3 days per week employment as a hair stylist. Attempting to work longer durations results in an excessive degree of left foot pain and swelling. Her endurance has not improved over the past year, and her recovery from the injury appears to have plateaued at this level. Significant further improvement is unlikely and, in my opinion, she will have a permanent disability. She is unlikely to resume full-time employment as a hair stylist. Further physical therapy or surgery are unlikely to result in significant improvement in her condition, and are not contemplated at this time. Regular use of non-narcotic analgesics has proved to be of very limited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do not hesitate to contact me should you have any further questions regarding Ms. Myatt's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Moore was the only witness, other than the plaintiff, called during this trial. He was tendered for cross-examination and added nothing to his reports which would significantly advance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this summary it is apparent that there is little in the way of current medical evidence concerning the plaintiffs condition or the underlying medical cause of her current problems. Indeed the only comprehensive assessment carried out in the two years preceding the trial is the independent assessment of Dr.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seems to me to be a very dangerous approach to take in a case where the claims being advanced include a claim for permanent disability and 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Moore's amended 1999 report offers little in the way of objective observations but rather recites what is obviously the plaintiff's reported limitations and then recites his opinion that "she will have a permanent disability" and that "she is unlikely to resume full time employment as a hair stylist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One of the several problems emerging from this evidence is the fact that prior to the accident she was not working anything approaching what would normally be called full time hours. Her evidence was that prior to the accident she worked 12 to 16 hours and perhaps 20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medical reports provide the court with a far from ideal picture of the plaintiff's medical assessment, her progress since the injury in 1996, and her present condition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one turns to the clinical records which have been placed in evidence, the picture becomes, if anything, more troubling and less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some reason wholly unexplained, Exhibit 2 contains two sets of the clinical records of Dr. Moore, one (Tab 7) bearing a covering letter dated January 6, 1998; the other (Tab 3) a covering letter dated January 6, 1999. The clinical records contain entries covering the period from July 22, 1996 until December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three other sets of clinical records in evidence, those of Dr. Gloria Cohen which cover clinical entries from April 21, 1997 until September 24, 1997; those of the Pender Island Physiotherapy Clinic covering the period from October 22, 1996 until May 5, 1997; and those of Mark Wensley, the plaintiff's chiropractor, which cover the period from March 20, 1997 until August of 1998 and containing some personal notes of the plaintiff up to February 8,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evident from this summary that there are no clinical records produced for 1999 and only limited clinical records covering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Medical Service Plan printout which was placed in evidence (Exhibit 2, Tab 1) contains entries covering the period from September 22, 1996 until May 17, 1999. These records show continued attendances by the plaintiff on both her chiropractor (11 attendances) and her family doctor (3 attendances) in the first five months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pattern of medical evidence would be disturbing in any case where the court is asked to address issues involving allegations of permanent disability and future losses flowing from it. It is even more disturbing where it occurs in a case in which serious issues emerge concerning the reliability and credibility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submissions counsel for the defendant mounted a major attack upon the credibility and reliability of the plaintiff's evidence and, indeed, upon that presented on her behalf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Lee submits that, in the circumstances of this case, all of the plaintiff's evidence must be placed under a microscope.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Prior v. Trepanier, </w:t>
      </w:r>
      <w:r>
        <w:rPr>
          <w:rFonts w:ascii="arial" w:eastAsia="arial" w:hAnsi="arial" w:cs="arial"/>
          <w:i/>
          <w:color w:val="000000"/>
          <w:sz w:val="20"/>
          <w:lang w:val="en-US" w:eastAsia="en-US" w:bidi="ar-SA"/>
        </w:rPr>
        <w:t>[1995] B.C.J. No. 2474</w:t>
      </w:r>
      <w:r>
        <w:rPr>
          <w:rFonts w:ascii="arial" w:eastAsia="arial" w:hAnsi="arial" w:cs="arial"/>
          <w:color w:val="000000"/>
          <w:sz w:val="20"/>
          <w:lang w:val="en-US" w:eastAsia="en-US" w:bidi="ar-SA"/>
        </w:rPr>
        <w:t>, (28 November 1995), Vancouver B941475, at para. 13, I had occasion to describe one aspect of the problem emerging in the present case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and its impact are very subjective. It is difficult to measure its impact on the individual, other than by their evidence of what they have gone through. The difficulty with this process is that as time passes individuals tend to lose detail and to generalize their experiences. It is always necessary to test the accuracy of a witness's recollection against the pattern of medical records and other events which provide some objective measure of the period under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in the present case dramatically described her injuries and the aftermath of her fall. After sitting for a few minutes, she testified she went into a bedroom in the home where her foot was elevated and cold compresses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asked to rate the pain she was experiencing on a scale of 0 to 10 with then being the worst pain she could imagine, she testified her pain at that point was a 12. She went on to describe a continuing level of pain as she recovered at a level of 7 to 8 when she was doing nothing and rising to 9 or 10 when she returned to work for an hour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after her injury her foot became "very, very black and puffy right away". Despite the level of pain she was experiencing she testified that she asked nobody to take her to hospital as they had been drinking. She went on to say that she wanted to feel better so she returned to the kitchen where she could sing and participate in the party. She went on to testify that she was in such unimaginable pain that she didn't want to be alone in the bedroom, but that she told nobody about it " . . . because I didn't want to take any of the fun out of it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indicated she stayed that night at the residence sleeping not at all but laying there in agony. When her friends got up the next morning she asked to be taken to hospital. They did so she testified but not until after they had breakfast. The medical records record her attending emergency at 12:13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Photographs tendered by the defence (Exhibit 5, Tab 3) show the plaintiff after her injury and her return to the location of the party. They do not appear to be consistent with the condition she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seemingly bizarre rendition of events rests entirely on the evidence of the plaintiff. Neither of the people present on the deck at the time of her fall were called to give evidence, nor was a single person present at the party that evening called to testify as to her condition that night or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Following along in the sequence not a single witness or acquaintance was called to give evidence as to her present condition or disability. The only other witness was her family doctor, Dr. Gerald Moore, who was tendered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Moore confirmed that he had no recollection of observing the plaintiff in the level of pain she described or of making any note in his records of such pain. He confirmed that at different times he did make notes about substance abuse and on one occasion "too much food and alcohol (x 3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Moore confirmed that in an entry in her chart on February 6, 1998, he recorded that she was working up to six hours but on April 3, 1998 he noted that she was limited to four hours. He went on to confirm that he amended his final report after the plaintiff had seen a copy of it and that there were no notations recorded in his chart indicating limits of work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difficulty emerging from the plaintiff's evidence is that on their face her actions are not reasonable. If her condition and level of pain had been as she described, the reasonable person would seek medical attention. If no ride was readily available, an ambulance or a taxi could have been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assessment of credibility was described by O'Halloran, J.A., in Faryna v. Chorny </w:t>
      </w:r>
      <w:hyperlink r:id="rId4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p. 357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credibility of interested witnesses, particularly in cases of conflict of evidence, cannot be gauged solely by the test of whether the personal demeanour of the particular witness carried conviction of the truth. </w:t>
      </w:r>
      <w:r>
        <w:rPr>
          <w:rFonts w:ascii="arial" w:eastAsia="arial" w:hAnsi="arial" w:cs="arial"/>
          <w:color w:val="000000"/>
          <w:sz w:val="20"/>
          <w:u w:val="single"/>
          <w:lang w:val="en-US" w:eastAsia="en-US" w:bidi="ar-SA"/>
        </w:rPr>
        <w:t>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r>
        <w:rPr>
          <w:rFonts w:ascii="arial" w:eastAsia="arial" w:hAnsi="arial" w:cs="arial"/>
          <w:color w:val="000000"/>
          <w:sz w:val="20"/>
          <w:lang w:val="en-US" w:eastAsia="en-US" w:bidi="ar-SA"/>
        </w:rPr>
        <w:t xml:space="preserve">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ought to go further and say that evidence of the witness he believes is </w:t>
      </w:r>
      <w:r>
        <w:rPr>
          <w:rFonts w:ascii="arial" w:eastAsia="arial" w:hAnsi="arial" w:cs="arial"/>
          <w:color w:val="000000"/>
          <w:sz w:val="20"/>
          <w:u w:val="single"/>
          <w:lang w:val="en-US" w:eastAsia="en-US" w:bidi="ar-SA"/>
        </w:rPr>
        <w:t>in accordance with the preponderance of probabilities in the case and, if his view is to command confidence, also state his reasons for that conclusion</w:t>
      </w:r>
      <w:r>
        <w:rPr>
          <w:rFonts w:ascii="arial" w:eastAsia="arial" w:hAnsi="arial" w:cs="arial"/>
          <w:color w:val="000000"/>
          <w:sz w:val="20"/>
          <w:lang w:val="en-US" w:eastAsia="en-US" w:bidi="ar-SA"/>
        </w:rPr>
        <w:t>. The law does not clothe the trial Judge with a divine insight into the hearts and minds of the witnesses. And a Court of Appeal must be satisfied that the trial Judge's finding of credibility is based not on one element only to the exclusion of others, but is based on all the elements by which it can be tested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present case, the plaintiff's evidence is distinctly out of harmony with the preponderance of probabilities emerging from the surrounding circumstances. When this fact is coupled with the absence of material witnesses who could have testified concerning those events, the absence of evidence or reports from the treating orthopaedic surgeon, significant gaps in the clinical records, and what in my view is an inadequate presentation of medical evidence, the court must approach this matter with particular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the plaintiff's evidence is unreliable, it is difficult to assess in the present case whether that is as a result of deliberate deception, but at the least, I am satisfied that the plaintiff has grossly exaggerated the seriousness of her injuries, her condition before those injuries and the continuing restrictions she says flow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a result of this conclusion it is even more important to examine the evidence as a whole to determine what objective evidence is available to support the plaintiff's claim. In approaching this process, I am mindful of the words of Southin, J., (as she then was) in Le v. Milburn, </w:t>
      </w:r>
      <w:hyperlink r:id="rId42"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xml:space="preserve"> (December 15, 1987), Vancouver Registry No. B861193, at p.2: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practices to deceive whether by deliberate falsehood or gross exaggeration, the court has much difficulty in disentangling the truth from the web of deceit and exaggeration. If, in the course of the disentangling of the web, the court casts aside as untrue something that was indeed true, the litigant has only himself or herself to blame.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CLAIM FOR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While conceding that the configuration of the deck is not reasonably safe which must result in a finding of liability against the defendant, they maintain the position that there should be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submission proceeds on the basis that this was a small deck, whose configuration must have been apparent to the plaintiff from the time she stepped onto the deck and walked to the railing. Secondly, it is submitted that the plaintiff's version of the incident is unreliable and highly questionable. In the end it is submitted that the plaintiff either did see, or ought to have seen the stairway. They urge an equal division of liability on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governs the duty of care owed by an occupier to those on his premises at his invitation.</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By virtue of s. 7 of the same Act,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w:t>
      </w:r>
      <w:r>
        <w:rPr>
          <w:rFonts w:ascii="arial" w:eastAsia="arial" w:hAnsi="arial" w:cs="arial"/>
          <w:color w:val="000000"/>
          <w:sz w:val="20"/>
          <w:lang w:val="en-US" w:eastAsia="en-US" w:bidi="ar-SA"/>
        </w:rPr>
        <w:t xml:space="preserve">, are made applicable to the Occupiers Liability Act. Section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provides: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having regard to all the circumstances of the case, it is not possible to establish different degrees of fault, the liability must be apportioned equally.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indeed it is conceded, that the defendant's premises failed to meet the standard required by s. 3(1) of the Occupiers Liability Act. Inherent in that finding are findings that the defendant owed to the plaintiff a duty of care to ensure that the premises and, in particular, the deck was reasonably safe; that the deck was not reasonably safe in that a handrail or guardrail of some kind should have marked the stairwell in question, and that the plaintiff fell and suffered injury and damage as a result of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issue of whether there should be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somewhat more difficult. The expression itself is somewhat misleading for in this context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does not take on its ordinary meaning of breach of a legal duty but rather the failure of a person to take reasonable care for his 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distinction is evident from the following passage from the opinion of Lord Simon in Nance v. British Columbia Electric Railway </w:t>
      </w:r>
      <w:hyperlink r:id="rId43"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at p. 611: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and all that is necessary to establish such a defence is to prove . . . that the injured party did not in his own interest take reasonable care of himself and contributed, by this want of care, to his own injury. For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shield against the obligation to satisfy the whole of the plaintiff's claim, the principle involved is that, where a man is part author of his own injury, he cannot call on the other party to compensate him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burden of proving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on the defendant, it is not for the plaintiff to disprove it. This burden is not merely to establish a lack of care on the plaintiff's part but that this lack of care was a substantial or materially contributing cause. Caswell v. Powell Duffryn Associated Collieries Ltd. [1940], A.C. 152 at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du Parcq, L.J., put it in Lewis v. Denye [1939], 1 K.B. 540 at p. 554: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establish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must prove first, that the plaintiff failed to take 'ordinary care of himself' or, in other words, such care as a reasonable man would take for his own safety, and secondly, that his failure to take care was a contributory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it is not necessary for the defendant in discharging this burden to give evidence, it is necessary to have before the court a body of evidence from which the necessary findings can be made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present context it is not sufficient simply to point to the plaintiff's credibility problems or the absence of the two witnesses who were on the deck at the time of the fall, for the burden of proof on this issue lies with the defendant and there is no evidence those witnesses were not available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the plaintiff did not notice the stairway when she walked to the railing initially. I equally accept that after moving to her right away from cigarette smoke she responded to a greeting from a second man turning away from the railing and stepping forward into the hole of the stairway.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While it is not an issue free from difficulty given the size of the deck, I am not satisfied that the defendant has met the burden upon her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the defendant wholly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is a woman who is now 60 years of age; at the time of the fall she was 56. She is 162.5 cm in height (5'4") and weighs 130 kilograms (286 pounds). She is a right handed hairdresser who has worked at her profession for some 40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her fall on September 21, 1996, she remained overnight at the residence where the fall occurred before being taken to the Saanich Peninsula Hospital the next day. Examination by x-ray revealed multiple fractures of her left foot including fractures involving the heads of the third and fourth metatarsals, an oblique fracture through the distal shaft and the neck of the second metatarsal, and fractures of the base of the second and fourth metatarsals.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cast was applied and remained in place for some eight weeks until its removal in November of 1996. Her initial assessment and treatment was under the direction of an orthopaedic surgeon, Dr. Robert Gerrie, who she saw on six subsequent occasions; October 17, 1996, November 7, 1996, December 5, 1996, February 6, 1997, May 23, 1997 and September 8, 1997. No report was produced from Dr. Gerrie and he was not called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Follow-up x-ray examinations on November 7, 1996 showed the second metatarsal fracture remained displaced. Further x-ray views of her left foot on December 5, 1996 showed healing of the second metatarsal with slight dorsal angulation, healing of the fracture of the base of the fourth metatarsal, it also showed deformities of the distal ends of the third and fourth metatarsals with widening of the metatarsophalangeal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further x-ray of the left foot taken on April 21, 1997 showed healed fractures of the second, third and fourth metatarsals with inter-articular involvement of the third and fourth MTP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testified that during the course of her fall she grabbed on to a gentleman's ankle and held on until she could hoist herself back up on to the steps. She gave, during the course of her testimony, very limited evidence concerning her shoulder. The Emergency/Out-patient Record from her attendance at the Saanich Peninsula Hospital on September 22, 1996 records no complaint of shoulder pain and the sole recorded diagnosis on the form is of multiple fractures of the forefoot.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noted absence of evidence, reports or clinical records from Dr. Gerrie leaves no indication of whether a complaint of a shoulder injury was made to him or whether he examined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Moore's clinical records include no apparent notation of shoulder problems until November 12, 1996 when he notes that her cast had been removed the previous week, that her right shoulder and left knee are persistently painful and apparently recommends that she use only the left crutch.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December 3, 1996 Dr. Moore records in his clinical records an apparent complaint that the plaintiff's right shoulder has been stiff and sore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first medical/legal report of January 13, 1997 Dr. Moore makes no mention of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clear from the clinical records that the plaintiff's complaints and Dr. Moore's concern about the shoulder begin to rise in February of 1997. These concerns are further documented in a Medical/Legal report on March 3, 1997 in which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medical report supplements my report dated January 13,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her accident on September 21, 1996, Mrs. Myatt's right shoulder was forcefully abducted as she attempted to arrest her fall. Since that time she has had pain and stiffness in her right shoulder, which continues to limit the duration of her work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Mrs. Myatt exhibits pain at the limits of range of motion in her right shoulder, consistent with a subacromial impingement syndrome. A radiograph taken on February 6, 1997 supports this diagnosis. It is most probable that trauma to the shoulder incurred during the accident of September 21, 1996 is the cause of this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this syndrome is for eventual complete resolution with conservative treatment. A period of several more months may elapse before this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chiropractor, Mark Wensley, similarly records complaints about her right shoulder in the course of an office visit on February 25,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spite of the less than ideal state of the evidence and the delayed references to the shoulder injury, I am satisfied that the plaintiff injured her shoulder in the fall on the deck on September 21, 1996. I am equally satisfied that the mechanism of the injury was the forceful abduction of her right shoulder as she attempted to stop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medical reports note complaints of pain going down her right arm and some numbness. She described a clicking and a locking when the arm was raised. Dr. Cohen found some tenderness over the acromioclavicular joint but essentially full ranges of motion although there was moderate crepitus with internal rotation and some discomfort with external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shoulder was investigated by x-ray and MRI examination and she was referred to a neurologist, Dr. Alexander Moll. Dr. Moll found " . . . an apparently normal range of movement with the shoulder joints on both sides. There was no evidence of any muscle wasting or weakness testing shoulder girdle, arm or hand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Moll found no evidence of any nerve root or proximal nerve dysfunction but recommended she use a lightweight wrist splint. This recommendation was but one of a long list of recommendations by the plaintiff's medical advisors that she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September of 1997, Dr. Cohen noted that the plaintiff was feeling improved and that she had returned to work "on a gradual basis". She notes improvement in the right shoulder but some continued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An MRI of the shoulder done August 12, 1997 demonstrated some narrowing of the subacromial space with prominent osteophytes but no evidence of a full thickness rotator cuff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O'Neill, an orthopaedic surgeon, examined the plaintiff two years post injury on September 21, 1998. He found a full active and passive range of motion of her right shoulder, accompanied by some palpable, non-painful crepitus from time to time with no particular pain. He found some degeneration in the acromioclavicular joints which was equal bilaterally and he concluded normal for her age. He concluded that her shoulder would cause some nuisance discomfort but no long term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evidence concerning the plaintiff's return to work is incomplete and conflicting.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During the course of her cross-examination the plaintiff confirmed that she kept daily diaries in which she recorded the hours she worked on a daily basis and the income earned. None of these documents were placed in evidence. In her evidence the plaintiff testified that she started back to work in February 1997 but that since the accident she has only been able to work part time. She went on during cross-examination to acknowledge that prior to her fall she had never worked full time hours working 12 to 16 hours per week and occasionally as much as 20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clinical records reflect in a number of entries reports apparently made to her health professionals about her work levels. In the physiotherapy records an entry on April 9, 1997 records that the plaintiff is now working 3 hours each day. In a report dated June 8, 1997, Dr. Cohen writes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her final visit on April 21, 1997 she stated that she was working for three hours per day as a hair stylist, initially taking two breaks and now just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 letter dated December 8, 1997, her family physician, Dr. Moore, writes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pain in her right shoulder and left foot limit her work period to about three hours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February 6, 1998 Dr. Moore writes on his clinical chart that the plaintiff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Able to work up to 6 hours now - painful at end of day but recovers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a subsequent visit on April 3, 1998 he writes that she is then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limited to 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September 21, 1998 the plaintiff is examined by Dr. Michael O'Neill. In his report of September 27, 1998 he writes that: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 She was off work from the time of her injury in September 1996 to February of 1997, when she began to work part time. Presently, she works a four hour day three to four days a week. She states that she can stay on her feet up to six hours, but if she does so, then she is unable to work a four hour shift the following day because of pain in the left foot. The right foot has also become painful over the course of her recover, and x-rays have revealed a stress fracture which is healing.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Dr. Moore, in a March 29, 1999 report which on its face is noted to have been amended on June 16, 1999,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Myatt is currently limited to about 3 - 4 hours, 3 days per week employment as a hair stylist. Attempting to work longer durations results in an excessive degree of left foot pain and swelling. Her endurance has not improved over the past year, and her recovery from the injury appears to have plateaued at this level. Significant further improvement is unlikely and, in my opinion, she will have a permanent disability. She is unlikely to resume full-time employment as a hair stylist. Further physical therapy or surgery are unlikely to result in significant improvement in her condition, and are not contemplated at this time. Regular use of non-narcotic analgesics has proved to be of very limited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qualification "3 days per week" was apparently added by Dr. Moore when the plaintiff complained to him after seeing a copy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is no apparent medical explanation for the apparent sudden decline in her ability to work following what appears to be a steady improvement through early 1997 until she reached, I find, her pre-injury capacity by April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necessary also to deal with a third injury mentioned in the passage quoted earlier from Dr. O'Neill's report. On May 20, 1997 a bone scan of the plaintiff's feet revealed what was considered to be a stress fracture of her right second metatarsal. The medical evidence speculates that this occurred because of compensation for her painful left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an entry made by her physiotherapist on May 5, 1997, fifteen days previous to the bone scan, her physiotherapist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[complains of] pain in [right] foot. Someone stood on it on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When confronted with this entry during her cross-examination the plaintiff's only response was that she didn't recollect anyone stepping on her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After carefully reviewing all of the evidence I am satisfied that the injuries to her left foot and right shoulder occurred in her fall on September 21, 1996. I am not satisfied that the fracture to her right foot arose in any way from those injuries and specifically find that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right foot was treated with a cast which remained in place for 8 weeks. Upon removal she was mobilized on crutches. She continued to gradually improve and began a partial return to her part time occupation in February 1997, five months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by April of 1997 she had returned to the employment level she had maintained prior to the accident, although she continues to suffer some residual pain in her right foot as a result of her injuries and will continue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Her right shoulder was injured in the same fall while any tearing of the rotator cuff has been ruled out, I accept the opinion contained within the report of Dr. O'Neill and find that there was a fraying of the rotator cuff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this injury caused some initial difficulty particularly when she was being mobilized on crutches it is now a problem which causes her only nuisance discomfort. I find that this minimal level of occasional discomfort is likely to continue but that it does not significantly limit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submits that the plaintiff has failed to mitigate her loss by failing to pursue treatments and recommendations made to her by her treating physicians. There is no doubt that the plaintiff has her own views of what treatment she should or should not undergo. It is equally clear that the plaintiff testified that she has little or no recollection of some of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testified that she did not have doctor's suggesting that she lose weight. This is quite simply untrue. Dr. Moore went so far, according to his clinical record, as to note that she needs an appetite suppressor (June 13, 1997), and refer her to a specialist, Dr. Vandenburg, for an obesity workup.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Moll recommended that she use a light-weight waist splint. She testified that she didn't recall such a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refused a recommended steroid injection for her shoulder because she doesn't personally believe in the use of steroids.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Cohen recommended the use of Relafen and provided her with a prescription for it, she did not take it. Among Dr. Cohen's other recommendations were the use of an Anatech brace on her left foot and other treatment including acupuncture for her shoulder. The plaintiff refused these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duty to mitigate rests on any personal injury victim. The burden of proof when a failure to mitigate is alleged rests with the defendant. The defendant, to meet that burden, must establish two things. Firstly, the specific steps which the plaintiff ought reasonably to have pursued to avoid the loss or some portion of it; and, secondly, the extent to which the plaintiff's loss could have been avoided. It is not sufficient to prove that a particular plaintiff was a difficult patient, or that he or she refused certain treatment. They must go further and prove, on a balance of probabilities, that the plaintiff should reasonably have pursued that treatment and that it would have reduced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present case, that burden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is a case where these reasons have traced in considerable detail the frailties and inadequacies of the evidence. Despite these difficulties it is necessary for the court to do the best it can to assess the damages for injuries which the plaintiff suffered. At times that process requires the court to gaze into a crystal ball. This is most certainly one of those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already summarized my findings with respect to her injuries, their progression and the remaining residual problems. I award the plaintiff $20,000.00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was disabled from employment as a result of her injuries from September 21, 1996 for a period of 5 months until February of 1997 and partially disabled for a further period of two months when I find she had resumed her pre-accident level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assessment of this loss and wage losses generally are complicated in this case by the plaintiff's failure to present in evidence her records of her hours of employment and income which she acknowledges she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aspect of the present claim is also made more difficult by counsel's failure to properly address the issue. At the outset of this trial, five volumes of documents were filed by agreement and were received by the court as evidence for all purposes. Exhibit 4 was a volume labeled Income. According to the index this volume contains the plaintiff's 1992 t0 1998 Income tax returns at Tabs 2 through 8. At Tab 1 is a page of calculations and figures identified in the index as "Income Totals and Averages".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first table captioned Yearly Income Totals, plaintiff's counsel sets out a series of figures found below in column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2195"/>
        <w:gridCol w:w="1568"/>
        <w:gridCol w:w="1464"/>
        <w:gridCol w:w="1568"/>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Hair</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Hair</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7"/>
        <w:gridCol w:w="1359"/>
        <w:gridCol w:w="1464"/>
        <w:gridCol w:w="1464"/>
        <w:gridCol w:w="1568"/>
        <w:gridCol w:w="1464"/>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4,533.50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4,063.00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-917.04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-505.93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-505.93</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10,711.00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10,693.00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5,148.23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3,980.23</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14,114.00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14,291.25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16,902.02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4,646.37</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1995</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14,800.00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14,906.25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5,114.42</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5,114.42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5,054.42</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1996</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10,193.00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10,874.82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2,451.61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2,497.92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2,322.92</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1997</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5,435.00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6,437.00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1,532.41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222.24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172.24</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1998</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9,755.00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9,755.00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7,197.83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4,865.62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4,865.62</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When one examines the table of figures produced by counsel and the underlying documents from which they are drawn the first thing that becomes apparent is that, with the exception of the 1998 figures, it is impossible to ascertain how they were derived. I have extracted from her tax returns the figures found in the balance of the table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obvious that with the plaintiff's injury near the end of September 1996 her gross income from hair dressing, her net from that source and the total income reported on her tax return fell in 1996 from the previous year and it fell again in 1997. In the two previous years and up until September of 1996 her gross professional income appears to have been fairly consistently at $1,250.00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state of the evidence in this trial does not allow anything approaching a mathematical approach to the calculation of the plaintiff's loss of income as at the date of trial. At least a portion of this difficulty flows from the failure to produce her business records, and, in particular, any evidence concerning 1999, the year immediately preceding the trial. I am unable, on the evidence, to determine what other factors may have come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plaintiff's viva voce evidence was devoid of any useful development of this portion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Doing the best I can with the evidence I have been given, and keeping in mind the principle that an injured plaintiff is entitled to recover the amount they would have earned had she not sustained the injury, I assess her income loss to the date of trial at $12,000.00.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the plaintiff advanced a claim under this head of damage there is virtually no evidentiary base from which such a finding would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have already found that by the middle of 1997 the plaintiff had returned to the level of employment she had maintained prior to the accident. I am forced to conclude from the fact that her records were not produced, in particular for 1999, that if produced they would have supported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this level of employment may have been restored the plaintiff will continue to suffer a small level of discomfort from the injury to her right shoulder and from the continuing modest level of pain from the fractures of her left foot. These continuing difficulties represent a modest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award the plaintiff under this category the sum of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 is no evidentiary basis for an award under this head of damage. The claim advanced falls into two categories totaling $28,850.00. This consists of some $5,600.00 for the cost of 14 visits to a chiropractor per year not covered by medical coverage and some $23,250.00 for house and yard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no medical evidence capable of supporting a need for continuing chiropractic services arising from her injuries. There is equally no evidence that suggests that, as a result of her injuries, there are required tasks of house and yard maintenance that she can no longer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documents found at Tab 2 of Exhibit 3 were quite literally presented to the plaintiff and she was asked if they were her expenses. Her answer in the affirmative left the court with no explanation and simply a bundle of cheques and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have quite literally no evidence as to what many of these payments were, who some of the people were to whom they were made or how they related to the accident. Given the state of the evidence I have examined each of the documents at Tab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have allowed each of the ferry receipts which appeared to relate to a medical visit, the prescription receipts and the amount paid with respect to casts.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Under the head of special damages, I award the plaintiff $924.93.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924.93</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13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$37,924.93</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Court did not number the Summary. Quicklaw has assigned the number 118a.]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If costs cannot be agreed upon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Niloufari v. Movahedi, [2014] B.C.J. No. 699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19-21,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M094546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Ebrahim Niloufari, Plaintiff, and Mahnoush Fathi Movahedi and Ziaallah Hosseinzadeh-Fardsis,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Motor vehicles — Rules of the road — Action for damages suffered in a 2007 motor vehicle accident dismissed — Plaintiff collided with defendant's vehicle as plaintiff made a right hand turn from a parking lot onto street — Plaintiff was sole cause of the accident — He made such a wide turn that the front side of his vehicle went into the path of travel of the defendant's vehicle, such that her vehicle was struck.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a 2007 motor vehicle accident. The plaintiff was exiting a parking lot at an apartment building. As the plaintiff made a right hand turn onto the street, he saw the defendant's vehicle coming towards him in his lane of travel. In order to avoid a collision, the defendant swerved back into her lane but could not avoid a collision. The plaintiff admitted driving in the middle of the street as there were cars parked on the side. She first saw the plaintiff's stopped vehicle as she was almost at the parking lot exit. She claimed the plaintiff then made his right turn, hitting her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2"/>
            <w:bookmarkEnd w:id="2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was not credible. The court accepted the defendant's evidence regarding the location of the vehicles and her speed of driving. There was no evidence to support the plaintiff's claim that the defendant was travelling at an excessive rate of speed. The defendant was the dominant driver having the right of way. The plaintiff made such a wide turn that the front side of his vehicle went into the path of travel of the defendant's vehicle, such that her vehicle was struck. The sole cause of the accident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failing to safely enter the street and yield the right of way,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1"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150, s. 154, s. 176, s. 176(2)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15-1, Rule15-1(b)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appearing on his own behalf: Ebrahim Niloufari.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Judith Bowers,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S.C. FITZPATRICK J. (orally)"/>
            <w:bookmarkEnd w:id="26"/>
            <w:r>
              <w:rPr>
                <w:rFonts w:ascii="arial" w:eastAsia="arial" w:hAnsi="arial" w:cs="arial"/>
                <w:b/>
                <w:color w:val="000000"/>
                <w:sz w:val="30"/>
                <w:lang w:val="en-US" w:eastAsia="en-US" w:bidi="ar-SA"/>
              </w:rPr>
              <w:t>S.C. FITZPATRICK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Ebrahim Niloufari, brings this action for recovery of injuries arising from a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in the mid-afternoon of December 5, 2007. By the accounts of all involved, the day was sunny and dry. The collision occurred on Beresford Street, located in the City of Burnaby. Beresford Street runs more or less east and west. Cross streets running more or less north and south are McKay and Cassie Avenues with the former being further to the east along Beresford Street. There are no marked lanes on Beresford Street, including any centre lane. Cars are allowed to park on Beresford Street on the south side, but not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Mr. Niloufari was in his red 1995 Dodge Neon. The other vehicle involved in the collision was a 1996 Dodge Caravan driven by the defendant Mahnoush Fathi Movahedi. This vehicle was owned by the defendant, Ziaallah Hosseinzadeh-Fardsis.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outset, it was the intention of the parties to address both liability and damages in what was to be a short three-day trial. However, various preliminary issues arose concerning certain expert medical evidence intended to be adduced by Mr. Niloufari, which issues were not resolved. After submissions from the parties as to the best way to proceed, I ruled that the trial would proceed on liability issues only, with the damages issues to be addressed,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and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Niloufari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Mr. Niloufari lived in the large apartment building located on the block bordered by Beresford Street and Cassie and McKay Avenues. The exit and entrance to the underground parking lot to the apartment building is in the middle of that block on Beresford Street and faces north as you exit. There is no stop sign at the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Niloufari was in his red 1995 Dodge Neon and exiting from the parking garage in order to go shopping. The exit begins below grade level and rises to the level of a sidewalk and then the street. Immediately to the right of the exit are a telephone pole and a large tree. More importantly, there are usually numerous cars parked on Beresford Street facing east and immediately to the right of the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Niloufari says that he is a cautious driver and takes pains to stop and look for pedestrians and other vehicles prior to exiting the parking lot. Mr. Niloufari's previous occupation was as a taxi driver, and he describes himself as a "professional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this occasion, he says that he stopped two times before exiting the parking lot. He says that he stopped for pedestrians and, not seeing any, then pulled forward to stop again. At this point, Mr. Niloufari says that he turned right onto Beresford Street and just as he finished his turn, he saw Ms. Movahedi's vehicle coming towards him. He then says that Ms. Movahedi was in his lane of travel and that in order to avoid a head-on collision, she swerved back into her lane. He says that notwithstanding these manoeuvres, she was unable to swerve completely back and his front end hit the rear of Ms. Movahedi's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front driver's side of Mr. Niloufari's vehicle was damaged. An estimate of the damage to his vehicle was $1,117.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Movahedi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Movahedi was living in Burnaby at the time of the accident. She had stayed overnight at a friend's place in the area. She had picked up her mother from the SkyTrain station and was on her way home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Movahedi is, like Mr. Niloufari, very familiar with the area and in particular Beresford Street. She is also familiar with the particular apartment block on Beresford Street where Mr. Niloufari lived and the exit from the parking garage. She specifically recalls that cars are typically parked along Beresford Street to the east of the exit, and she specifically recalls that a large SUV was usually parked immediately to the right of the parking exit. Indeed, photos of the accident scene on January 2, 2008, show that same SUV parked just where Ms. Movahedi had observed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Movahedi was travelling westbound on Beresford Street at about 40 kilometres an hour. Her evidence was that she was travelling on the right side of the street. While passing the cars parked on the south side of Beresford Street, and just before the exit, she says that she first observed Mr. Niloufari's vehicle while it was stopped in the exit from the parking garage. She says that just after Mr. Niloufari's vehicle passed out of her direct line of vision, her vehicle was hit and her vehicle was pushed to the far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Movahedi stopped her car just a short distance away. She says she was shocked to get hit. Her mother got out of the car and began a rather spirited discussion with Mr. Niloufari about the accident. Ms. Movahedi joined them and stopped the argument. She and Mr. Niloufari then exchanged information and both drove away in their vehicles. No police or emergency vehicles were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Movahedi describes that her vehicle was damaged from the driver's door back to the wheel well on the driver's side. There was approximately $2,000 worth of damage and since the value of the vehicle did not justify fixing it, it was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Movahedi and Mr. Niloufari had subsequent discussions regarding the repair of the vehicles, in terms of whether claims would be made to ICBC. In the end, Ms. Movahedi and her husband decided that the claims should be processed via the "legal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Niloufari bears the onus of proving that Ms. Movahedi was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or a contributing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relevant statutory provisions from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Emerging from alleys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(2) 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addition, Mr. Niloufari relies on ss. 150 and 154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which provide that a driver of a vehicle must confine the course of the vehicle to the right-hand half of the roadway if the roadway is of sufficient width and it is practical to do so, except under certain conditions which are not relevant here. A driver must also specifically confine the course of the vehicle to the right-hand half of the roadway when meeting a moving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both drivers have presented starkly different versions of the events. Accordingly, I must determine the credibility and reliability of the evidence of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Niloufari acted on his own behalf and I have given some consideration to the presentation of his evidence by reason of that fact. However, it was apparent to me that his recollection of the events in question was questionable. In many instances and on critical issues, he stated quite often that he thought something was the case or believed it to be so, and he was therefore equivocal in his evidence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Regarding where Ms. Movahedi's vehicle was when he first saw it, Mr. Niloufari said on discovery that he "might" have seen it before the accident, and then said that he saw it either just after the intersection at McKay Avenue or at the intersection. On cross-examination, he said that he saw Ms. Movahedi's vehicle when he was at his first stop while coming out of the parking lot and that it was beyond the McKay Avenue intersection. It is about five car lengths to the intersection. At one point he even stated that he could not remember if he had seen Ms. Movahedi's vehicle at the time of his second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matter of an obstruction from a vehicle parked just to the right of the exit, Mr. Niloufari denied in cross-examination that there was any obstruction, but on discovery he had indicated that he simply could not remember any obstruction by a parked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Niloufari's explanation for how he could possibly have completed his turn onto the street, such that he would essentially meet Ms. Movahedi head on, makes little sense given the overall circumstances. Mr. Niloufari suggests that after the initial observation of Ms. Movahedi's vehicle, he waited some time and then proceeded slowly or cautiously into the street. Yet, even by his evidence, he could only have assumed after his first observation that Ms. Movahedi's vehicle would be coming along very shortly. The timing of her arrival in these circumstances is such that it would have been virtually impossible for him to complete his turn so as to be facing her for some time, after the point of his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then strangely asserts that even though Beresford Street can accommodate two lanes of travel, even with the parked cars, he would normally be cautious if another vehicle was approaching and would wait until the car had passed. Yet clearly he did no such thing on December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addition, by the time he pulled out of the parking lot, he was already aware that a vehicle was approaching and he acknowledged in his discovery that he knew that Ms. Movahedi was continuing westbound on Beresford Street. It is difficult, as a matter of common sense, to imagine that as he pulled out and his sight line improved to the east, he would not have observed Ms. Movahedi's vehicle so as to appreciate that she was continuing along Beresford Street and, even by his evidence, on the left-hand side of the road. If, as he alleges, he was proceeding slowly and cautiously, he would have had more than sufficient time to stop and observe this vehicle further. Yet Mr. Niloufari contended that he had </w:t>
      </w:r>
      <w:r>
        <w:rPr>
          <w:rFonts w:ascii="arial" w:eastAsia="arial" w:hAnsi="arial" w:cs="arial"/>
          <w:i/>
          <w:color w:val="000000"/>
          <w:sz w:val="20"/>
          <w:lang w:val="en-US" w:eastAsia="en-US" w:bidi="ar-SA"/>
        </w:rPr>
        <w:t>completed</w:t>
      </w:r>
      <w:r>
        <w:rPr>
          <w:rFonts w:ascii="arial" w:eastAsia="arial" w:hAnsi="arial" w:cs="arial"/>
          <w:color w:val="000000"/>
          <w:sz w:val="20"/>
          <w:lang w:val="en-US" w:eastAsia="en-US" w:bidi="ar-SA"/>
        </w:rPr>
        <w:t xml:space="preserve"> his turn and was fully in his lane of travel, until he suddenly realized that Ms. Movahedi was heading directly toward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Niloufari gave no credible evidence about his reaction to what must have been grave concern about a potential head-on collision. He equivocally stated that he applied his brakes, although he suggested at discovery that his braking was more likely to have occurred after he was struck. He did not honk his horn. He did not say that he tried to take any other evasive actions or, if he did not, why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Evidence at the trial also confirmed that Mr. Niloufari was taking significant medication for a previous accident in 2006, including heavy painkillers and sleeping pills. There was no direct evidence that Mr. Niloufari's driving skills were affected by this medication, but it certainly raises the possibility that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these circumstances, I consider that Mr. Niloufari's evidence is far from credible or reliable. I do not suggest at all that Mr. Niloufari has intended to intentionally mislead the court, as I consider that he has attempted to do his best to give his evidence. However, I conclude that he has succumbed to the not unusual human trait of reconstructing events to suit what now might be perceived to have been a better scenario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the contrary, Ms. Movahedi's evidence was given in a clear and straightforward manner. She quite convincingly says that she was travelling along the middle of Beresford Street toward the right side, oblivious to Mr. Niloufari's presence, until she observed his vehicle stopped in the parking lot exit. She continued along and immediately thereafter felt her vehicle being struck on the side and rear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Notwithstanding Mr. Niloufari's contentions to the contrary, I conclude that Ms. Movahedi's statements, discovery evidence and testimony throughout the proceeding have been consistent, particularly as to where she was located when she was hit by Mr. Niloufari's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gave a statement to ICBC on December 14, 2007, just days after the accident. In that statement, Ms. Movahedi states that she was shocked because she: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knew there were cars behind me and as I had passed the red Neon it was at a complete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During her testimony, she clarified that she meant to say that there were </w:t>
      </w:r>
      <w:r>
        <w:rPr>
          <w:rFonts w:ascii="arial" w:eastAsia="arial" w:hAnsi="arial" w:cs="arial"/>
          <w:i/>
          <w:color w:val="000000"/>
          <w:sz w:val="20"/>
          <w:lang w:val="en-US" w:eastAsia="en-US" w:bidi="ar-SA"/>
        </w:rPr>
        <w:t>no</w:t>
      </w:r>
      <w:r>
        <w:rPr>
          <w:rFonts w:ascii="arial" w:eastAsia="arial" w:hAnsi="arial" w:cs="arial"/>
          <w:color w:val="000000"/>
          <w:sz w:val="20"/>
          <w:lang w:val="en-US" w:eastAsia="en-US" w:bidi="ar-SA"/>
        </w:rPr>
        <w:t xml:space="preserve"> cars behind her. This clarification makes perfect sense in the context of her statement, in that she was "shocked" because she couldn't figure out what had hit her. I accept her explanation on the point. Despite Mr. Niloufari's assertion to the contrary, her evidence was also consistent as to where she ended up parking her car after the collision, although in my view this has little relevance for the purpose of determining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Movahedi was not shaken on cross-examination as to the key facts regarding how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Niloufari argues that Ms. Movahedi was at fault for driving at excessive speed along Beresford Street. Her uncontradicted evidence on the point was that she was driving at 40 kilometres an hour. No evidence was adduced as to the speed limit. Mr. Niloufari relies on certain ICBC documents which refer to there being no "low velocity impact" and an email commenting that the damage was "beyond lvi criteria", with "lvi" presumably being "low velocity impact". In my view, this evidence is hardly reliable since the authors of these documents were not called to give evidence on what was meant by the term "lvi" in the context of this accident, and on what basis that term was ascribed to the accident. Even accepting that it was not a "low velocity impact" collision, as one might presume, that is not determinative as to the issue of whether Ms. Movahedi was driving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Niloufari also alleges that Ms. Movahedi admitted fault at the scene. He said that she said, "sorry for what happened, my husband will take care of it." She denies that she made any admission of fault at the scene. I accept Ms. Movahedi's evidence on this point. Even if these or similar words were used, it would be a normal human reaction to apologize generally for such an unfortunate event. Such a general apology is not necessarily consistent with an admission of fault, nor is the comment about her husband "taking care" of anything conclusive, even if such words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manner in which both vehicles were damaged is also entirely consistent with Ms. Movahedi's version of events. Ms. Movahedi's vehicle was struck from the driver's door along her side to the back wheel well. Mr. Niloufari's vehicle was damaged only on the driver's side front at the corner. As her counsel suggested, if Mr. Niloufari's version was accepted, one would perhaps, but not necessarily, have expected to see damage consistent with a broadsiding of the vehicles, rather than the specific damage on his front corner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the following facts: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Niloufari began to exit the parking lot, he stopped twice. At the first stop, he saw Ms. Movahedi's vehicle travelling west on Beresford Street, just beyond the McKay Avenue intersection to the east.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Niloufari appreciated that the vehicle was continuing west along Beresford Street toward him and the exit.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Niloufari's vision to the east was somewhat obscured by the parked cars along Beresford Street, including a large SUV immediately to his right.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Movahedi was proceeding west along the right side of Beresford Street at 40 kilometres an hour and she did not see Mr. Niloufari's vehicle until she was almost beside the parking lot's exit. At that point, Mr. Niloufari's car was stopped at the exit.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moment, Mr. Niloufari proceeded into Beresford Street, making a wide turn to the right, so as to get past the parked cars, and in doing so, his front driver's side struck the side of Ms. Movahedi's vehicle as she was continuing to pass by the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particular, I accept Ms. Movahedi's evidence that she was proceeding along Beresford Street in a normal manner and she was not aware of Mr. Niloufari's vehicle until just before the parking lot exit, when she observed that his car was stopped. There is no evidence upon which I can find that Ms. Movahedi was driving without due care and attention and/or that she was driving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 176(2), Ms. Movahedi was the dominant driver having the right of way, and Mr. Niloufari, as the driver approaching the "highway" (as the term is used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from a driveway, was required to yield the right of way to her vehicle if her vehicle constituted an "immediate hazard": see </w:t>
      </w:r>
      <w:r>
        <w:rPr>
          <w:rFonts w:ascii="arial" w:eastAsia="arial" w:hAnsi="arial" w:cs="arial"/>
          <w:i/>
          <w:color w:val="000000"/>
          <w:sz w:val="20"/>
          <w:lang w:val="en-US" w:eastAsia="en-US" w:bidi="ar-SA"/>
        </w:rPr>
        <w:t>Ahamed v. Ross International Motors Ltd.</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[1994] B.C.J. No. 402</w:t>
        </w:r>
      </w:hyperlink>
      <w:r>
        <w:rPr>
          <w:rFonts w:ascii="arial" w:eastAsia="arial" w:hAnsi="arial" w:cs="arial"/>
          <w:color w:val="000000"/>
          <w:sz w:val="20"/>
          <w:lang w:val="en-US" w:eastAsia="en-US" w:bidi="ar-SA"/>
        </w:rPr>
        <w:t xml:space="preserve"> at para. 21 (S.C.); </w:t>
      </w:r>
      <w:r>
        <w:rPr>
          <w:rFonts w:ascii="arial" w:eastAsia="arial" w:hAnsi="arial" w:cs="arial"/>
          <w:i/>
          <w:color w:val="000000"/>
          <w:sz w:val="20"/>
          <w:lang w:val="en-US" w:eastAsia="en-US" w:bidi="ar-SA"/>
        </w:rPr>
        <w:t>White v. Craigon</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2013 BCSC 845</w:t>
        </w:r>
      </w:hyperlink>
      <w:r>
        <w:rPr>
          <w:rFonts w:ascii="arial" w:eastAsia="arial" w:hAnsi="arial" w:cs="arial"/>
          <w:color w:val="000000"/>
          <w:sz w:val="20"/>
          <w:lang w:val="en-US" w:eastAsia="en-US" w:bidi="ar-SA"/>
        </w:rPr>
        <w:t xml:space="preserve"> at paras. 27-28.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with the more general burden of proof, Mr. Niloufari bears the onus of proving that it was safe for him to enter into Beresford Street and that Ms. Movahedi's vehicle was not an immediate hazard: </w:t>
      </w:r>
      <w:r>
        <w:rPr>
          <w:rFonts w:ascii="arial" w:eastAsia="arial" w:hAnsi="arial" w:cs="arial"/>
          <w:i/>
          <w:color w:val="000000"/>
          <w:sz w:val="20"/>
          <w:lang w:val="en-US" w:eastAsia="en-US" w:bidi="ar-SA"/>
        </w:rPr>
        <w:t>Kerr v. Hall</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2013 BCSC 2347</w:t>
        </w:r>
      </w:hyperlink>
      <w:r>
        <w:rPr>
          <w:rFonts w:ascii="arial" w:eastAsia="arial" w:hAnsi="arial" w:cs="arial"/>
          <w:color w:val="000000"/>
          <w:sz w:val="20"/>
          <w:lang w:val="en-US" w:eastAsia="en-US" w:bidi="ar-SA"/>
        </w:rPr>
        <w:t xml:space="preserve"> at paras. 14-15,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On the issue of "immediate hazard", the defendants have referred me to various authorities: </w:t>
      </w:r>
      <w:r>
        <w:rPr>
          <w:rFonts w:ascii="arial" w:eastAsia="arial" w:hAnsi="arial" w:cs="arial"/>
          <w:i/>
          <w:color w:val="000000"/>
          <w:sz w:val="20"/>
          <w:lang w:val="en-US" w:eastAsia="en-US" w:bidi="ar-SA"/>
        </w:rPr>
        <w:t>Ahamed</w:t>
      </w:r>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Aymont v. Capp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1011</w:t>
        </w:r>
      </w:hyperlink>
      <w:r>
        <w:rPr>
          <w:rFonts w:ascii="arial" w:eastAsia="arial" w:hAnsi="arial" w:cs="arial"/>
          <w:color w:val="000000"/>
          <w:sz w:val="20"/>
          <w:lang w:val="en-US" w:eastAsia="en-US" w:bidi="ar-SA"/>
        </w:rPr>
        <w:t xml:space="preserve"> at para. 52. Both cases relied on statements from the British Columbia Court of Appeal in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at 359 (B.C.C.A.) and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at 410 (B.C.C.A.). Those appeal cases stand for the proposition that if an approaching car is so close so as to require the driver of the approaching car to take some sudden or violent action to avoid threat of a collision, if the servient driver fails to yield the right of way, that approaching car is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case, Ms. Movahedi was entitled to assume that Mr. Niloufari would yield to her. I find that Mr. Niloufari proceeded to exit the parking lot without ensuring that there was no oncoming traffic that might constitute an immediate hazard. I also find that when he exited the parking lot, he made such a wide turn that the front side of his vehicle went into the path of travel of Ms. Movahedi's vehicle, such that her vehicle was struck. I think it more likely than not that Mr. Niloufari simply assumed, incorrectly, that he had sufficient time to enter the street before Ms. Movahedi's vehicle came by. The fact that the collision occurred is conclusive evidence that his assumption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these circumstances, Ms. Movahedi did absolutely nothing to contribute to the accident as she was continuing along Beresford Street without any knowledge whatsoever that Mr. Niloufari would act as he did. She was entitled to assume that Mr. Niloufari would remain stopped and allow her vehicle to pass by, unless he could have safely turned into the street without passing into her lane of travel. He did no such thing, and when he did turn into the street, her vehicle clearly was an immediate hazard by reason of the fact that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would add that I have considered the two cases relied on by Mr. Niloufari, being </w:t>
      </w:r>
      <w:r>
        <w:rPr>
          <w:rFonts w:ascii="arial" w:eastAsia="arial" w:hAnsi="arial" w:cs="arial"/>
          <w:i/>
          <w:color w:val="000000"/>
          <w:sz w:val="20"/>
          <w:lang w:val="en-US" w:eastAsia="en-US" w:bidi="ar-SA"/>
        </w:rPr>
        <w:t>Spiering v. Trevor</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2012 BCSC 1653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Power v. Orth</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[1995] B.C.J. No. 1011</w:t>
        </w:r>
      </w:hyperlink>
      <w:r>
        <w:rPr>
          <w:rFonts w:ascii="arial" w:eastAsia="arial" w:hAnsi="arial" w:cs="arial"/>
          <w:color w:val="000000"/>
          <w:sz w:val="20"/>
          <w:lang w:val="en-US" w:eastAsia="en-US" w:bidi="ar-SA"/>
        </w:rPr>
        <w:t xml:space="preserve"> (S.C.). Neither of those decisions was of assistance to me in deciding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Accordingly, Mr. Niloufari has not established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Movahedi that caused or contributed to the accident. To the contrary, I find that the sole cause of the accident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Niloufari in failing to safely enter the street and yield the right of way, as he was statutorily required to do. I find that it was Mr. Niloufari who was acting in breach of his statutory obligations as contained in ss. 144 and 176(2)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COURT: In my reasons earlier today, I dismissed the action brought by Mr. Niloufari on the basis that he had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The remaining matter relates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Counsel for the defendants has referred me to the fact that this is what is commonly called "fast track litigation" under Rule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hearing of this trial comprised two days commencing Wednesday and Thursday of this week and continued this morning for the purpose of delivery of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circumstances, the defendants seek costs pursuant to Rule 15-1(15)(b):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or the parties consent, and subject to Rule 14-1 (10), the amount of costs, exclusive of disbursements, to which a party to a fast track action is entitled is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spent on the hearing of the trial is 2 days or less but more than one day, $9,500;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given Mr. Niloufari an opportunity to consider the matter. I do not know specifically what efforts he has made, but he has had an opportunity to look at Rule 15-1 and make submissions to the contrary if he sees fit. He does not seek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disposition of this matter, in accordance with my reasons, would normally result in costs being awarded to the successful defendants and I see no circumstances here that would justify departing from that result, notwithstanding my jurisdiction to do so under Rule 15-1(15).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there will be an order that Mr. Niloufari pay costs of this proceeding in the amount of $9,500, plus disbursements to be assessed in the usual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 w:history="1">
        <w:r>
          <w:rPr>
            <w:rFonts w:ascii="arial" w:eastAsia="arial" w:hAnsi="arial" w:cs="arial"/>
            <w:b/>
            <w:bCs/>
            <w:i/>
            <w:color w:val="0077CC"/>
            <w:kern w:val="32"/>
            <w:sz w:val="28"/>
            <w:szCs w:val="32"/>
            <w:u w:val="single"/>
            <w:shd w:val="clear" w:color="auto" w:fill="FFFFFF"/>
            <w:lang w:val="en-US" w:eastAsia="en-US" w:bidi="ar-SA"/>
          </w:rPr>
          <w:t>Olsen v. Barrett, [2002] B.C.J. No. 1282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Baker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S056297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353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Kristine Anne Olsen, plaintiff, and Philip Joseph Barrett,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victim, Olsen, against the tortfeasor, Barrett, for damages suffered following a motorcycle accident. Olsen was a passenger on the motorcycle driven by her husband, Barrett, when the motorcycle collided with a deer. Olsen was injured when the impact caused her to be thrown from the motorcycle onto the roadway. Olsen sought damages as a result of Barrett's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submitted that Barrett was looking to his right, rather than straight ahead, immediately prior to the collision. According to Olsen, if Barrett had been keeping a proper lookout, he would have seen the deer earlier and would have been able to brake or steer around the deer, and avoid the collision. There was a conflict between Olsen's evidence and that of an independent witness who observed the collision. The written statement that she gave to the insurance adjuster several days after the incident contradicted with her version of the events at trial. Barrett sought the dismissal of the action on summary trial. He submitted that he was not negligent in his operation of the motorcycle and that he had no chance to avoid the collision because the deer was not visible until it ran quickly onto the roadway and directly into the motorcycle's path.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3"/>
            <w:bookmarkEnd w:id="2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Barrett was not liable for any injuries suffered by Olsen. Olsen failed to demonstrate that the accident was caused or contributed to by any negligent act or omission on Barrett's part. Olsen consciously or unconsciously reconstructed the events in a manner perceived to be more favourable to recovery. In view of the contradictions in her affidavit and her earlier statement, affirmed to be true and accurate under oath on examination for discovery, Olsen's evidence was rejected.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Counsel_3"/>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P. Maryn, for the plaintiff/respondent.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Richard D. Molstad, for the defendant/applicant.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6" style="position:absolute;z-index:2517647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June 13, 2002.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BAKER J."/>
            <w:bookmarkEnd w:id="32"/>
            <w:r>
              <w:rPr>
                <w:rFonts w:ascii="arial" w:eastAsia="arial" w:hAnsi="arial" w:cs="arial"/>
                <w:b/>
                <w:color w:val="000000"/>
                <w:sz w:val="30"/>
                <w:lang w:val="en-US" w:eastAsia="en-US" w:bidi="ar-SA"/>
              </w:rPr>
              <w:t>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Kristine Olsen was a passenger on the motorcycle driven by her husband, the defendant Phil Barrett, when the motorcycle collided with a deer. The accident happened in Maple Ridge, British Columbia on September 27, 1998. Ms. Olsen was injured when the impact caused her to be thrown from the motorcycle onto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Ms. Olsen claims that the collision and her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Barrett. In particular, she alleges that Mr. Barrett was looking to his right and not straight ahead immediately prior to the collision. She claims that had Mr. Barrett been keeping a proper lookout, he would have seen the deer earlier and would have been able to brake or steer around the deer, and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seeks a dismissal of the action on this summary trial. The position of the defendant is that Mr. Barrett was not negligent in his operation of the motorcycle, and that he had no chance to avoid the collision because the deer was not visible until it ran quickly onto the roadway and directly into the path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Olsen's counsel argued that the court cannot find the facts necessary to resolve the issues raised by the pleadings and that this action should proceed to trial in the ordinary course. Alternatively he sought an adjournment of the summary trial and an order that Ms. Olsen, and Kathryn Gregson, an independent witness who observed the collision, be cross-examined on their affidavits before me. Counsel for the defendant does not seek to cross-examine Ms. Olsen on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case, there is a conflict between the affidavits of Ms. Olsen and Ms. Gregson about the extent to which trees lining the roadway hid the deer from view until it ran out of a driveway onto the street. The fact that there is this conflict in the evidence does not mean, however, that the matter must be left on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is one of those cases where it is possible to find the facts necessary for judgment to be given, notwithstanding the apparent conflict in the affidavits. As the Court said in Inspiration Management Ltd. v. McDermid </w:t>
      </w:r>
      <w:hyperlink r:id="rId6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(C.A.), judgment should be given in such cases, absent other circumstances that would make it unfair or unjust to resolve the action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application for cross-examination on affidavits is not a circumstance that militates against the granting of summary judgment. The defendant does not seek an opportunity to cross-examine the plaintiff on her affidavit. The notice of motion filed by the defendant is dated February 18, 2002, almost two months prior to the hearing of the summary trial. The notice refers to the defendant's intention to rely on the affidavit evidence of Ms. Gregson.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plaintiff filed a response to the summary trial motion on March 4, 2002. According to the affidavit of Ms. Maryn's legal assistant, Mr. Maryn interviewed Ms. Gregson about her affidavit on February 26, 2002. I agree with counsel for the defendant that the content of the legal assistant's affidavit is inadmissible, as the affidavit consists entirely of evidence of statements made by Mr. Maryn to his legal assistant. It is, in fact, double hearsay, since Mr. Maryn was informing his legal assistant of what he says Ms. Gregson said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any event, a second affidavit of Ms. Gregson refutes or explains the statements Mr. Maryn attributes to Ms. Gregson.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 explanation was provided for the failure to cross-examine Ms. Gregson on her affidavit before the hearing of the summary trial, although there was sufficient time between February 26, 2002 and the hearing date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view, any conflict between the evidence of Ms. Olsen and Ms. Gregson can be resolved by reference to other admissible evidence. There is no conflict on the evidence on a point of fact that cannot be readily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OF THE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27, 1998, Ms. Olsen was riding pillion on the 1984 Yamaha Varago motorcycle driven by her common law husband, Phil Barrett. It was Sunday afternoon and the couple were out for a recreational drive. The motorcycle was southbound on 232nd Street, which is a two-lane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as a fact that Mr. Barrett was not traveling at an excessive speed. The speed limit on that stretch of road is 50 KPH. On the day of the accident the day was sunny and the roads were dry. It was Sunday afternoon. There is no evidence that traffic was heavy. In a statement Ms. Olsen gave to an insurance adjuster on October 2, 1998, only five days after the accident, Ms. Olsen estimated the speed of the motorcycle to be about 50 KPH. Kathryn Gregson, who was the driver of a vehicle that was also southbound, and traveling approximately 30 metres behind the motorcycle, estimated the speed of both vehicles to be between 50 and 60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portion of 232nd Street where the collision with the deer occurred has houses on both sides of the roadway. The eastern side of the street north of the driveway is heavily treed, with a dense row of coniferous trees lining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Immediately prior to the collision, the motorcycle was in the southbound lane of the roadway, nearer to the centre line than 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deer that collided with the motorcycle ran out of a driveway on the left-hand (eastern) side of the road, heading west across the northbound lane and into the southbound lane on a course perpendicular to the direction of travel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dispute that the deer was running very quickly when it ran out of the driveway and across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were only three witnesses to the events - the plaintiff, the defendant, and Ms. Gregson. The evidence of the plaintiff capable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is found, in its entirety, in one paragraph of her affidavit sworn March 1, 2002,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and I were sightseeing on 232nd Avenue looking at houses. At the time of the accident the Defendant was looking to the right at some properties. I was looking to the left and saw the deer, it was at least 4 to 5 seconds before I leaned forward to yell deer to the Defendant. The Defendant then turned his head forward, glanced in his side mirror. The Defendant started to pull the hand brake for the front brakes. Both the Defendant and myself were pitch poled over the front of the motorcycle. We slid on the ground and the motorcycle slid behind us. When we finally stopped sliding we were approximately 5 to 6 feet away from where the motorcycle stopped sliding.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note that the fifth line of the above paragraph, as it first appeared in Ms. Olsen's affidavit, read "...it was at least 3 to 4 seconds before I leaned forward..." The numbers "3 to 4" were subsequently crossed out and the numbers "4 to 5" were written in and initialed.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Evidently this change to Ms. Olsen's affidavit was made after the plaintiff's expert witness, accident reconstruction engineer Ian Senkow, prepared his March 1, 2002 report. He refers in his report to having read Ms. Olsen's March 1, 2002 affidavit. In his report, in the section titled "Incident as Understood",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her affidavit, Kristine Olsen indicated that she was looking to the left and saw the deer. She stated it was at least 3 to 4 seconds before she leaned forward and yelled "deer" to George Barrett.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Olsen's estimate of the length of time prior to collision that the deer was visible is significant to the opinion of the plaintiff's expert, Mr. Senkow, that if Mr. Barrett had seen the deer at the same time or shortly after Ms. Olsen claims to have seen it; and had applied both his rear and front brakes at a speed associated with experienced drivers, he could have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support of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Olsen's counsel also relies on evidence given by Mr. Barrett on his examination for discovery. In considering the weight to be given to Mr. Barrett's discovery evidence the court must keep in mind the fact that Ms. Olsen and Mr. Barrett are spouses. Mr. Barrett must be considered to be sympathetic to Ms. Olsen's claim; an impression confirmed by references to the evidence he gave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Mr. Barrett's examination for discovery, the following questions were asked and answers given: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can you tell me how the accident happened?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it happened? Driving down the road, I was looking off to the right at some properties. I heard Kristine yell, "Phil. Deer." I brought my head around, glanced in the rear-view mirror, head up. At that point, I saw the deer probably about there, and collided 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that fair to say, sir, had you been paying attention to where you were going, you could have avoided a collision with the deer?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so.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happen to ride a motorcycle too, so I know a little bit about riding them. Is it fair to say, sir, that if you were travelling and had been looking where you were going, you could have taken evasive action and avoided this deer?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so. I have good peripheral vision and...I think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consider Mr. Barrett's opinion that he could have avoided the accident if he had been looking straight ahead to be speculation. Since he didn't see the deer until just before it ran across the path of the motorcycle, he has no factual foundation for his opinion that if he had not been looking to the right, he would have avoided the collision. His opinion assumes that if he had been looking forward, he could have seen the deer and would have taken appropriate evasive action. His opinion also assumes that his evasive action would have been successful in the sense that he would not only have avoided the impact but would also have maintained control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Mr. Barrett's speculation and Ms. Olsen's current version of events, as revealed by the paragraph from her affidavit quoted above, are both contradicted by the independent testimony of Kathryn Gregson; and by the statement Ms. Olsen gave to the insurance adjuster on October 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 stated earlier, Ms. Gregson was the driver and only occupant of a motor vehicle traveling in the same lane as the motorcycle and approximately 30 metres behind the 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Gregson's evidence is that the deer was only a "blur" when she first noticed it. Her evidence is that the deer could not be seen before it ran out from the line of trees on the east of the roadway because the trees obscured any view of the deer until it came out of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Gregson says that the deer "roared" out of the driveway, that it was really "flying" and that it was "running extremely fast". This evidence about the speed of the deer as it came onto and across the highway is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Gregson estimates that from the time the deer came into her view in the driveway until the time it collided with the Barrett/Olson motorcycle was only 1 to 2 seconds - so short a time that Ms. Gregson did not have time to apply her own vehicle brakes before the deer struck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defendant has put into evidence two sets of photographs of the place where the collision occurred and the area immediately north of that place, in other words, the scene as the motorcycle and Ms. Gregson's vehicle approached the driveway from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photographs were taken in December 1998, approximately three months after the collision. A second set of photographs were taken in March 2002. Ms. Gregson confirmed in her affidavit that the second set of photographs, although taken more than three years after the date of the accident, accurately depicts the scene as it appeared at the time the collision occurred. The fact that the scene remained unchanged can, in any event, be confirmed by a comparison of the two sets of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photographs show that a deer emerging from the driveway could be seen before a southbound vehicle was very close to the driveway, probably as close as 50 to 100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Ms. Olsen submits that it is possible that the trees obscured vision of the driveway to a lesser extent in September 1998 than they did in December 1998 when the first set of photographs were taken. The photographs and common sense rebut this suggestion, as does the evidence of Ms. Gregson. If anything, visibility through and under the trees can be presumed to be better in December, when some deciduous undergrowth under the coniferous trees could be expected to have died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position is that the appearance of the deer on the roadway occurred so quickly and unexpectedly that Mr. Barrett could not have avoided the accident. If Mr. Barrett had seen the deer at the first moment it became visible, counsel for the defendant argues, he could not have stopped or slowed the motorcycle sufficiently to avoid impact. If he had swerved, counsel submits, it is probable that he would have turned into the impact, or lost control of the motorcycle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concedes that her injuries were caused when she flew over the front of the motorcycle onto the road, not because she actually came into direct contact with the deer.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position is supported by the opinion evidence of Robin Brown, who has calculated that if the motorcycle was traveling at a speed of 50 KPH and the deer was visible for only 1.5 to 2 seconds before impact, as Ms. Gregson has estimated, Mr. Barrett could not have stopped in time to avoid the collision. Mr. Brown also points out that it is equally probable that a sudden steering maneuver at that speed could also precipitate a loss of control resulting in the motorcycle falling to the ground or striking the deer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photographs of the roadway, driveway and the trees lining the roadway strongly support the testimony of Ms. Gregson that the deer could not be seen until it emerged from behind the trees as it ran out of the driveway onto the road. The photographic exhibits contradict Ms. Olsen's assertion that she watched the deer for 4 or 5 seconds before she leaned forward to alert her husband to its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Common sense also casts doubt on Ms. Olsen's assertion that she waited 4 to 5 seconds after seeing an approaching hazard, before she attempted to warn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Most importantly, however, Ms. Olsen's current version of events is contradicted by the written statement she gave to insurance adjuster Jasna Wrightman on October 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Because of the unusual nature of the accident, Ms. Wrightman was still able to recall the October 2, 1998 interview with Ms. Olsen when she swore her affidavit on February 7, 2002. Ms. Wrightman recalls that Ms. Olsen said, during the interview, that Mr. Barrett "did not do anything wrong". This assertion contradicts Ms. Olsen's current assertion that Mr. Barrett was not paying attention to the roadway immediately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Olsen also gave a written statement to Ms. Wrightman on October 2, 1998. The statement was signed by Ms. Olsen.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relevant portion of the statement, Ms. Olsen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driving along. A deer ran out from a driveway on our left. The driveway was screened by trees. I caught a movement to my left. I leaned forward to tell George that there was a dog coming out of a driveway. When I glanced again to my left the deer was right beside us. I said the word deer and the deer was right in front of the motorcycle. The deer ran on a collision course with us. George had absolutely no time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During her examination for discovery on December 22, 2000, Ms. Olsen was asked about the written statement she had provided to Ms. Wrightman. Ms. Olsen agreed that she had read the October 2, 1998 statement before she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pausing during the examination for discovery to re-read the October 2, 1998 statement, Ms. Olson confirmed, under oath, that she had given all the information in the statement to Ms. Wrightman; that all of the information in the statement was true; and that no changes needed to be made to the statement for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affidavit sworn for use on this summary trial, Ms. Olsen has not claimed that the statement she gave on October 2, 1998 was untrue or inaccurate. She gave no explanation for the inconsistency between the written statement she gave less than a week after the collision; and her current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not possible, in my view, to reconcile Ms. Olsen's earlier written statement with the paragraph from Ms. Olsen's current affidavit quoted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her affidavit Mr. Olsen claims she had seen a "deer" for at least 4 to 5 seconds before the impact. She makes no mention of having first thought that the animal that ran out from the driveway was a dog. The fact that Ms. Olsen initially thought the animal was a dog is consistent with both an animal traveling at high speed and the fact that the animal was visible for so short a time prior to impact. Both of these facts are consistent with Ms. Gregson's estimate of the speed of events and inconsistent with Ms. Olsen's current estimate that she watched the animal for 4 to 5 seconds before even attempting to alert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her statement Ms. Olsen referred to the driveway being screened by trees, a fact again consistent with Ms. Gregson's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Olsen made no mention in her written statement of Mr. Barrett having been inattentive, or looking to the right. In her affidavit she provides no explanation as to how she could have been aware that Mr. Barrett was looking to the right if she was, as she presently asserts, looking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Ms. Olsen did not attempt to argue that there are no inconsistencies between Ms. Olsen's October 2, 1998 statement and her affidavit. He did submit, however, that at trial the plaintiff may be able to explain the inconsistencies between her original statement, which she testified was true under oath at discovery; and her present sworn evidence. He was unable to say, however, how Ms. Olsen will be able to reconcile the apparently irreconcilable. He also was unable to explain why Ms. Olsen did not provide her explanation, if she has one, for consideration on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original statement given by Ms. Olsen, which she affirmed as true and accurate on her examination for discovery, is inconsistent with her affidavit evidence. Her statement is consistent, however, with the photographic evidence and the evidence of Ms. Gregson that the deer could not be seen until it ran onto the roadway, and that Mr. Barrett had no time in which to attempt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have considered the various authorities referred to by counsel. This is not a case where the defendant is presumed to have been driving negligently - because he crossed the centre line, for example; or left the roadway; or steered to avoid a small animal on the highway; or collided with the back of another vehicle. Because there is no evidence leading to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do not agree that the defendant has the onus to prove that he was not negligent. I have, nevertheless, considered the authorities on inevitable accident relied upon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authorities referred to by counsel and considered by me 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Rintoul v. X-Ray and Radium Industries Ltd., </w:t>
      </w:r>
      <w:hyperlink r:id="rId67" w:history="1">
        <w:r>
          <w:rPr>
            <w:rFonts w:ascii="arial" w:eastAsia="arial" w:hAnsi="arial" w:cs="arial"/>
            <w:i/>
            <w:color w:val="0077CC"/>
            <w:sz w:val="20"/>
            <w:u w:val="single"/>
            <w:shd w:val="clear" w:color="auto" w:fill="FFFFFF"/>
            <w:lang w:val="en-US" w:eastAsia="en-US" w:bidi="ar-SA"/>
          </w:rPr>
          <w:t>[1956] S.C.R. 674</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Hogan v. McEwan, </w:t>
      </w:r>
      <w:hyperlink r:id="rId68" w:history="1">
        <w:r>
          <w:rPr>
            <w:rFonts w:ascii="arial" w:eastAsia="arial" w:hAnsi="arial" w:cs="arial"/>
            <w:i/>
            <w:color w:val="0077CC"/>
            <w:sz w:val="20"/>
            <w:u w:val="single"/>
            <w:shd w:val="clear" w:color="auto" w:fill="FFFFFF"/>
            <w:lang w:val="en-US" w:eastAsia="en-US" w:bidi="ar-SA"/>
          </w:rPr>
          <w:t>(1973) 64 D.L.R. (3d) 37</w:t>
        </w:r>
      </w:hyperlink>
      <w:r>
        <w:rPr>
          <w:rFonts w:ascii="arial" w:eastAsia="arial" w:hAnsi="arial" w:cs="arial"/>
          <w:color w:val="000000"/>
          <w:sz w:val="20"/>
          <w:lang w:val="en-US" w:eastAsia="en-US" w:bidi="ar-SA"/>
        </w:rPr>
        <w:t xml:space="preserve"> (Ont. H. 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Perry v. Banno </w:t>
      </w:r>
      <w:hyperlink r:id="rId69" w:history="1">
        <w:r>
          <w:rPr>
            <w:rFonts w:ascii="arial" w:eastAsia="arial" w:hAnsi="arial" w:cs="arial"/>
            <w:i/>
            <w:color w:val="0077CC"/>
            <w:sz w:val="20"/>
            <w:u w:val="single"/>
            <w:shd w:val="clear" w:color="auto" w:fill="FFFFFF"/>
            <w:lang w:val="en-US" w:eastAsia="en-US" w:bidi="ar-SA"/>
          </w:rPr>
          <w:t>(1993), 80 B.C.L.R. (2d) 351</w:t>
        </w:r>
      </w:hyperlink>
      <w:r>
        <w:rPr>
          <w:rFonts w:ascii="arial" w:eastAsia="arial" w:hAnsi="arial" w:cs="arial"/>
          <w:color w:val="000000"/>
          <w:sz w:val="20"/>
          <w:lang w:val="en-US" w:eastAsia="en-US" w:bidi="ar-SA"/>
        </w:rPr>
        <w:t xml:space="preserve">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Tabaka v. Greyhound Lines of Canada Ltd., </w:t>
      </w:r>
      <w:hyperlink r:id="rId70" w:history="1">
        <w:r>
          <w:rPr>
            <w:rFonts w:ascii="arial" w:eastAsia="arial" w:hAnsi="arial" w:cs="arial"/>
            <w:i/>
            <w:color w:val="0077CC"/>
            <w:sz w:val="20"/>
            <w:u w:val="single"/>
            <w:shd w:val="clear" w:color="auto" w:fill="FFFFFF"/>
            <w:lang w:val="en-US" w:eastAsia="en-US" w:bidi="ar-SA"/>
          </w:rPr>
          <w:t>47 M.V.R. (3d) 146</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252 A.R. 373</w:t>
        </w:r>
      </w:hyperlink>
      <w:r>
        <w:rPr>
          <w:rFonts w:ascii="arial" w:eastAsia="arial" w:hAnsi="arial" w:cs="arial"/>
          <w:color w:val="000000"/>
          <w:sz w:val="20"/>
          <w:lang w:val="en-US" w:eastAsia="en-US" w:bidi="ar-SA"/>
        </w:rPr>
        <w:t xml:space="preserve"> (Alta. Q.B.)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Day &amp; Ross v. Randall, </w:t>
      </w:r>
      <w:hyperlink r:id="rId71" w:history="1">
        <w:r>
          <w:rPr>
            <w:rFonts w:ascii="arial" w:eastAsia="arial" w:hAnsi="arial" w:cs="arial"/>
            <w:i/>
            <w:color w:val="0077CC"/>
            <w:sz w:val="20"/>
            <w:u w:val="single"/>
            <w:shd w:val="clear" w:color="auto" w:fill="FFFFFF"/>
            <w:lang w:val="en-US" w:eastAsia="en-US" w:bidi="ar-SA"/>
          </w:rPr>
          <w:t>2 M.V.R. (4th) 46</w:t>
        </w:r>
      </w:hyperlink>
      <w:r>
        <w:rPr>
          <w:rFonts w:ascii="arial" w:eastAsia="arial" w:hAnsi="arial" w:cs="arial"/>
          <w:color w:val="000000"/>
          <w:sz w:val="20"/>
          <w:lang w:val="en-US" w:eastAsia="en-US" w:bidi="ar-SA"/>
        </w:rPr>
        <w:t>; (N.B.Q.B.)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Mattu v. Mattu, </w:t>
      </w:r>
      <w:hyperlink r:id="rId72" w:history="1">
        <w:r>
          <w:rPr>
            <w:rFonts w:ascii="arial" w:eastAsia="arial" w:hAnsi="arial" w:cs="arial"/>
            <w:i/>
            <w:color w:val="0077CC"/>
            <w:sz w:val="20"/>
            <w:u w:val="single"/>
            <w:shd w:val="clear" w:color="auto" w:fill="FFFFFF"/>
            <w:lang w:val="en-US" w:eastAsia="en-US" w:bidi="ar-SA"/>
          </w:rPr>
          <w:t>[2001] B.C.J. No. 423</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2001 BCCA 140</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4 C.P.C. (5th) 55</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151 B.C.A.C. 286</w:t>
        </w:r>
      </w:hyperlink>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Caleta v. Honaizer, </w:t>
      </w:r>
      <w:hyperlink r:id="rId73" w:history="1">
        <w:r>
          <w:rPr>
            <w:rFonts w:ascii="arial" w:eastAsia="arial" w:hAnsi="arial" w:cs="arial"/>
            <w:i/>
            <w:color w:val="0077CC"/>
            <w:sz w:val="20"/>
            <w:u w:val="single"/>
            <w:shd w:val="clear" w:color="auto" w:fill="FFFFFF"/>
            <w:lang w:val="en-US" w:eastAsia="en-US" w:bidi="ar-SA"/>
          </w:rPr>
          <w:t>[2001] B.C.J. No. 2712</w:t>
        </w:r>
      </w:hyperlink>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2001 BCSC 1726</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Reikki v. Vanderuyt, </w:t>
      </w:r>
      <w:hyperlink r:id="rId74" w:history="1">
        <w:r>
          <w:rPr>
            <w:rFonts w:ascii="arial" w:eastAsia="arial" w:hAnsi="arial" w:cs="arial"/>
            <w:i/>
            <w:color w:val="0077CC"/>
            <w:sz w:val="20"/>
            <w:u w:val="single"/>
            <w:shd w:val="clear" w:color="auto" w:fill="FFFFFF"/>
            <w:lang w:val="en-US" w:eastAsia="en-US" w:bidi="ar-SA"/>
          </w:rPr>
          <w:t>[1982] B.C.J. No. 390</w:t>
        </w:r>
      </w:hyperlink>
      <w:r>
        <w:rPr>
          <w:rFonts w:ascii="arial" w:eastAsia="arial" w:hAnsi="arial" w:cs="arial"/>
          <w:color w:val="000000"/>
          <w:sz w:val="20"/>
          <w:lang w:val="en-US" w:eastAsia="en-US" w:bidi="ar-SA"/>
        </w:rPr>
        <w:t>,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Markovitch v. Graf, </w:t>
      </w:r>
      <w:hyperlink r:id="rId75" w:history="1">
        <w:r>
          <w:rPr>
            <w:rFonts w:ascii="arial" w:eastAsia="arial" w:hAnsi="arial" w:cs="arial"/>
            <w:i/>
            <w:color w:val="0077CC"/>
            <w:sz w:val="20"/>
            <w:u w:val="single"/>
            <w:shd w:val="clear" w:color="auto" w:fill="FFFFFF"/>
            <w:lang w:val="en-US" w:eastAsia="en-US" w:bidi="ar-SA"/>
          </w:rPr>
          <w:t>[1999] B.C.J. No. 2410</w:t>
        </w:r>
      </w:hyperlink>
      <w:r>
        <w:rPr>
          <w:rFonts w:ascii="arial" w:eastAsia="arial" w:hAnsi="arial" w:cs="arial"/>
          <w:color w:val="000000"/>
          <w:sz w:val="20"/>
          <w:lang w:val="en-US" w:eastAsia="en-US" w:bidi="ar-SA"/>
        </w:rPr>
        <w:t>,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Brayshaw v. Sommerfeld, </w:t>
      </w:r>
      <w:hyperlink r:id="rId76" w:history="1">
        <w:r>
          <w:rPr>
            <w:rFonts w:ascii="arial" w:eastAsia="arial" w:hAnsi="arial" w:cs="arial"/>
            <w:i/>
            <w:color w:val="0077CC"/>
            <w:sz w:val="20"/>
            <w:u w:val="single"/>
            <w:shd w:val="clear" w:color="auto" w:fill="FFFFFF"/>
            <w:lang w:val="en-US" w:eastAsia="en-US" w:bidi="ar-SA"/>
          </w:rPr>
          <w:t>[1996] B.C.J. No. 432</w:t>
        </w:r>
      </w:hyperlink>
      <w:r>
        <w:rPr>
          <w:rFonts w:ascii="arial" w:eastAsia="arial" w:hAnsi="arial" w:cs="arial"/>
          <w:color w:val="000000"/>
          <w:sz w:val="20"/>
          <w:lang w:val="en-US" w:eastAsia="en-US" w:bidi="ar-SA"/>
        </w:rPr>
        <w:t>,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Savinkoff v. Seggewiss, </w:t>
      </w:r>
      <w:hyperlink r:id="rId77" w:history="1">
        <w:r>
          <w:rPr>
            <w:rFonts w:ascii="arial" w:eastAsia="arial" w:hAnsi="arial" w:cs="arial"/>
            <w:i/>
            <w:color w:val="0077CC"/>
            <w:sz w:val="20"/>
            <w:u w:val="single"/>
            <w:shd w:val="clear" w:color="auto" w:fill="FFFFFF"/>
            <w:lang w:val="en-US" w:eastAsia="en-US" w:bidi="ar-SA"/>
          </w:rPr>
          <w:t>[1996] B.C.J. No. 1328</w:t>
        </w:r>
      </w:hyperlink>
      <w:r>
        <w:rPr>
          <w:rFonts w:ascii="arial" w:eastAsia="arial" w:hAnsi="arial" w:cs="arial"/>
          <w:color w:val="000000"/>
          <w:sz w:val="20"/>
          <w:lang w:val="en-US" w:eastAsia="en-US" w:bidi="ar-SA"/>
        </w:rPr>
        <w: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Birk v. Dhaliwal, </w:t>
      </w:r>
      <w:hyperlink r:id="rId78" w:history="1">
        <w:r>
          <w:rPr>
            <w:rFonts w:ascii="arial" w:eastAsia="arial" w:hAnsi="arial" w:cs="arial"/>
            <w:i/>
            <w:color w:val="0077CC"/>
            <w:sz w:val="20"/>
            <w:u w:val="single"/>
            <w:shd w:val="clear" w:color="auto" w:fill="FFFFFF"/>
            <w:lang w:val="en-US" w:eastAsia="en-US" w:bidi="ar-SA"/>
          </w:rPr>
          <w:t>[1995] B.C.J. No. 2158</w:t>
        </w:r>
      </w:hyperlink>
      <w:r>
        <w:rPr>
          <w:rFonts w:ascii="arial" w:eastAsia="arial" w:hAnsi="arial" w:cs="arial"/>
          <w:color w:val="000000"/>
          <w:sz w:val="20"/>
          <w:lang w:val="en-US" w:eastAsia="en-US" w:bidi="ar-SA"/>
        </w:rPr>
        <w: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Chiu</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(Guardian ad litem of) Chiu, </w:t>
            </w:r>
            <w:hyperlink r:id="rId79" w:history="1">
              <w:r>
                <w:rPr>
                  <w:rFonts w:ascii="arial" w:eastAsia="arial" w:hAnsi="arial" w:cs="arial"/>
                  <w:i/>
                  <w:color w:val="0077CC"/>
                  <w:sz w:val="18"/>
                  <w:u w:val="single"/>
                  <w:shd w:val="clear" w:color="auto" w:fill="FFFFFF"/>
                  <w:lang w:val="en-US" w:eastAsia="en-US" w:bidi="ar-SA"/>
                </w:rPr>
                <w:t>[1999] B.C.J. No. 2082</w:t>
              </w:r>
            </w:hyperlink>
            <w:r>
              <w:rPr>
                <w:rFonts w:ascii="arial" w:eastAsia="arial" w:hAnsi="arial" w:cs="arial"/>
                <w:color w:val="000000"/>
                <w:sz w:val="18"/>
                <w:lang w:val="en-US" w:eastAsia="en-US" w:bidi="ar-SA"/>
              </w:rPr>
              <w:t xml:space="preserve"> (S.C.)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Redlack v. Vekved, </w:t>
      </w:r>
      <w:hyperlink r:id="rId80" w:history="1">
        <w:r>
          <w:rPr>
            <w:rFonts w:ascii="arial" w:eastAsia="arial" w:hAnsi="arial" w:cs="arial"/>
            <w:i/>
            <w:color w:val="0077CC"/>
            <w:sz w:val="20"/>
            <w:u w:val="single"/>
            <w:shd w:val="clear" w:color="auto" w:fill="FFFFFF"/>
            <w:lang w:val="en-US" w:eastAsia="en-US" w:bidi="ar-SA"/>
          </w:rPr>
          <w:t>[1996] B.C.J. No. 3040</w:t>
        </w:r>
      </w:hyperlink>
      <w:r>
        <w:rPr>
          <w:rFonts w:ascii="arial" w:eastAsia="arial" w:hAnsi="arial" w:cs="arial"/>
          <w:color w:val="000000"/>
          <w:sz w:val="20"/>
          <w:lang w:val="en-US" w:eastAsia="en-US" w:bidi="ar-SA"/>
        </w:rPr>
        <w: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Cudmore v. Desroches, </w:t>
      </w:r>
      <w:hyperlink r:id="rId81" w:history="1">
        <w:r>
          <w:rPr>
            <w:rFonts w:ascii="arial" w:eastAsia="arial" w:hAnsi="arial" w:cs="arial"/>
            <w:i/>
            <w:color w:val="0077CC"/>
            <w:sz w:val="20"/>
            <w:u w:val="single"/>
            <w:shd w:val="clear" w:color="auto" w:fill="FFFFFF"/>
            <w:lang w:val="en-US" w:eastAsia="en-US" w:bidi="ar-SA"/>
          </w:rPr>
          <w:t>[1985] N.B.J. No. 52</w:t>
        </w:r>
      </w:hyperlink>
      <w:r>
        <w:rPr>
          <w:rFonts w:ascii="arial" w:eastAsia="arial" w:hAnsi="arial" w:cs="arial"/>
          <w:color w:val="000000"/>
          <w:sz w:val="20"/>
          <w:lang w:val="en-US" w:eastAsia="en-US" w:bidi="ar-SA"/>
        </w:rPr>
        <w:t>, (Q.B.)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Ryan v. Victoria (City), </w:t>
      </w:r>
      <w:hyperlink r:id="rId82" w:history="1">
        <w:r>
          <w:rPr>
            <w:rFonts w:ascii="arial" w:eastAsia="arial" w:hAnsi="arial" w:cs="arial"/>
            <w:i/>
            <w:color w:val="0077CC"/>
            <w:sz w:val="20"/>
            <w:u w:val="single"/>
            <w:shd w:val="clear" w:color="auto" w:fill="FFFFFF"/>
            <w:lang w:val="en-US" w:eastAsia="en-US" w:bidi="ar-SA"/>
          </w:rPr>
          <w:t>[1996] B.C.J. No. 2083</w:t>
        </w:r>
      </w:hyperlink>
      <w:r>
        <w:rPr>
          <w:rFonts w:ascii="arial" w:eastAsia="arial" w:hAnsi="arial" w:cs="arial"/>
          <w:color w:val="000000"/>
          <w:sz w:val="20"/>
          <w:lang w:val="en-US" w:eastAsia="en-US" w:bidi="ar-SA"/>
        </w:rPr>
        <w: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conclude that it is more probable than not that the events occurred as quickly as Ms. Gregson has estimated - that only 1 to 2 seconds elapsed from the time the deer first ran out of the screened driveway onto the roadway and into the path of the motorcycle. I consider it more probable than not that Ms. Olsen's first statement of the events as she related them to Ms. Wrightman, was an accurate portrayal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persuaded that Ms. Olsen has, consciously or unconsciously, reconstructed the events in a manner perceived to be more favorable to recovery in this lawsuit. In view of the contradictions between her affidavit and her earlier statement, affirmed to be true and accurate under oath on examination for discovery, I reject Ms. Olsen's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Senkow's opinion that Mr. Barrett could have avoided the impact is dependent on the factual assumption that the deer was visible for three to four seconds prior to impact. This assumption is not borne out by the facts as I have found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conclude that the plaintiff has failed to prove that the accident was caused or contributed to by any negligent act or omission on the part of the defendant.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have been told of no reason why costs should not follow the event in the ordinary course. However, if the parties are unable to agree about costs of the action, they may make submissions in writing or make arrangements to appear before me to make oral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13,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released June 10, 2002, paragraph 12 on page 5 should be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1984 Yamaha Varago motorcycle driven by her common law husband, Phil Barrett."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Pausch v. Vancouver Coastal Health Authority (c.o.b. UBC Hospital), [2014] B.C.J. No. 3316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14-17, 20 and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S099345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2552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Arnold Brent Pausch, Plaintiff, and Vancouver Coastal Health Authority operating as UBC Hospital, Jane Doe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 xml:space="preserve">Health law — Hospitals and health care facilities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against defendant Hospital for damages for personal injuries, including tinnitus and hearing loss, suffered after he underwent MRI scan in 2008 dismissed — Plaintiff wore headset during MRI — Immediately following procedure, noticed ringing in ears — Plaintiff's litigation and WorkSafeBC history were relevant as they showed his willingness to seek compensation for similar symptoms from multiple sources — MRI technician met standard of care by receiving feedback from plaintiff and visually checking placement of hearing protection.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by plaintiff against defendant Hospital for damages for personal injuries, including tinnitus and hearing loss, suffered after he underwent MRI scan in 2008 dismissed — Plaintiff wore headset during MRI — Immediately following procedure, noticed ringing in ears — Plaintiff's litigation and WorkSafeBC history were relevant as they showed his willingness to seek compensation for similar symptoms from multiple sources — MRI technician met standard of care by receiving feedback from plaintiff and visually checking placement of hearing protection.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against the defendant Hospital for damages for personal injuries, including tinnitus and hearing loss, suffered after he underwent an MRI scan in 2008. The plaintiff testified before his procedure he was told they had run out of earplugs. He was given a headset instead. The technician did not recall the plaintiff specifically but testified it was his practice to visually check each patient's hearing protection. He denied that the clinic had ever run out of ear plugs. Immediately after the procedure, the plaintiff noticed a ringing sound in his head and something felt different with his hearing. He did not tell the technician about his symptoms. The plaintiff currently wore hearing aids. He had not tried hearing aids specifically designed to assist people suffering from tinnitus. The plaintiff had commenced at least five other law suits and 59 claims at WorkSafeBC, including a hearing loss claim. WorkSafeBC had accepted the hearing loss claim, finding the plaintiff suffered from industrial hearing loss as a result of his work as a mechanic.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4"/>
            <w:bookmarkEnd w:id="3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litigation and WorkSafeBC history were relevant as they showed his willingness to seek compensation for similar symptoms from multiple sources. His credibility was impaired by inconsistencies in his testimony. A proper check of the hearing protection required the technician to receive feedback from the patient and visually look to check the placement of the protection. It was more likely than not the technician did both and therefore met the standard of care. It was highly unlikely the clinic had run out of ear plugs.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Counsel_4"/>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Koller.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 Stanger, M. Peirce.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0"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Mr. Pausch's Exposure to Noise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Safety Protocols and Policies for MRI Scans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2008 Scan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Mr. Curry's Typical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Mr. Pausch's Symptoms After the 2008 Scan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The Tinnitus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 Medical Evidence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Audio testing ii. 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The 2009 Scan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Mr. Pausch's Other Legal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CREDIBILITY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WAS THE STANDARD OF CARE BREACHED?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 CAUSATION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VII.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N. SHARMA J. (orally)"/>
            <w:bookmarkEnd w:id="38"/>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Pausch claims he developed tinnitus and increased hearing loss after undergoing an MRI scan at the MRI clinic of the defendant, Vancouver Coastal Health Authority, operating as UBC Hospital, in 2008 (I will refer to all defendants in the singular throughout my reasons). He submits the defendant is liable because there was no specific check done to ensure the headset given to him for noise protection was free of defect and properly placed on his person. The defendant agrees it owed a duty of care to the plaintiff but says the plaintiff has not proven any other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says the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agree on certain facts. Mr. Pausch attended UBC Hospital on January 2, 2008, and underwent an MRI conducted by Mr. Blaine Curry (the "2008 Scan"). The MRI was for Mr. Pausch's cervical, thoracic and lumbar spine (called a CTL scan) and lasted about one and a half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Pausch attended UBC again on January 30, 2009, for an MRI which was conducted by Ms. Karen Smith, an employee of the defendant (the "2009 Scan"). This was also a CTL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was also no controversy about how an MRI works. Dr. Reinsberg gave a simplified explanation of how MRI machines work. He has extensive experience working with MRI machines for cancer research. Most of his evidence was helpful but not strictly relevant to the legal issues. There are some facts from his testimony that provide useful context to the legal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MRI machines generate loud noises when in operation. The noise is made by large copper coils through which an electric current is passed. The current is rapidly pulsed. This causes the coils to "twitch", resulting in noise. The pulsing also manipulates the gradient of the magnetic field. Altering the gradient of the magnetic field focusses the images taken on different aspects of the body part being scanned.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Reinsberg also explained that an MRI scan consists of a number of "sequences", which are a series of images taken of the targeted body part at the same gradient. Each sequence is done at a different magnetic resonance thus providing a different perspective of the scanned body part. Sequences last anywhere from 30 seconds to as much as three to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MRI machines are equipped with a speaker and microphone system that allows the technologist (who sits in another room operating the MRI machine) to communicate with the patient, and vice versa. In addition, when headsets are used, that communication is conveyed through the headset itself. The patient is also given an alarm bell to alert the technologist if he or she requires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magnetic field of the MRI machine is extremely strong and is always engaged. Thus, safety procedures are very important to ensure no metal is brought into the MRI room.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Mr. Pausch's Exposure to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Pausch has worked continuously as an auto mechanic since 1982, first at Canadian Tire and then for the Abbotsford School District (the "District"). His work has included repairing school buses, cars, trucks, scissor lifts, grass cutting machinery, trailers and various other machinery. With the District, he worked in a large building which housed many different mechanics. At any moment, someone (including himself) could be operating very noisy equipment, such as sledgehammers, air hammers or large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District provided to its employees hearing protection that fit over the ears, or ear muffs, but Mr. Pausch found them uncomfortable. He preferred to use small foam earplugs that are placed directly in the ear canal. He estimated he only used the ear muffs 5% of the time that he wore ear protection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Pausch was extremely careful about wearing ear protection at work whenever there was loud noise. In part, this was because he relied on his hearing to diagnose engine problems. But there were occasions at work when someone else in the building did not warn others of the upcoming use of a very loud tool. At those times, Mr. Pausch would have been exposed to extremely loud noises, but he said he would plug his ears with his fingers to minimize that exposure. If the noise continued, he would insert ear plugs. He says he constantly reminded co-workers to provide a warning before using very loud equipment. More generally, he claimed to be fastidious about workplace safety. He served on the District's safety committee for over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to supplying ear protection, the District made available annual hearing tests. Mr. Pausch underwent these tests whenever he could and the results of those tests were put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Pausch's diligence about hearing protection extended outside of work; he has been known to wear foam earplugs at social events at which loud music is played, including at his daughter's wedding. He has always carried earplugs with him and has had them in probably every jacket pocket and in his car. He encouraged family members to always carry ear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their testimony, Mr. Pausch's wife and son admitted Mr. Pausch's reminders about hearing protection could be annoying and amount to "nagging". Mrs. Pausch recounted several instances that demonstrated her husband was fastidious about hearing protection and admitted to being embarrassed at times by his insistence at wearing ear plugs at social events. She said she finds the foam earplugs all over the house (such as in the washer and dryer) and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Pausch has enjoyed hunting, sometimes with his son. He owns specialized tactical headphones which his son confirmed Mr. Pausch wore when they went hunting.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Safety Protocols and Policies for MRI Scans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Karen Smith gave evidence on behalf of the defendant. She was an impressive witness with exemplary credentials. I found her credible and reliable and do not hesitate to accept her evidence without 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said that it was "telling" that the defendant did not offer Ms. Smith as an expert. I disagree. An expert is retained to provide neutral and independent evidence to assist the court. The defendant is entitled to want and expect its former or current employees to work together with its counsel in presenting its case in the manner it sees fit. It might be problematic for a party to attempt to qualify as an expert its own lay witness who is testifying about crucial events. For one thing, the party would be suggesting to the court that its witness was capable of offering opinions about her own conduct (in this case, the 2009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2008, Ms. Smith was co-manager (along with another woman with whom she job shared) of the defendant's MRI department at UBC Hospital. Currently she is the Regional Practice Lead for the defendant which means she oversees 13 MRI sites. It is part of her responsibility to establish best practices for those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qualified as an X-Ray technician in 1979 and later obtained qualifications to operate CT machines. In 1987, she became an MRI technologist. Ms. Smith successfully advocated for the creation of MRI technology as a discipline in Canada and assisted in creating the Canadian Association of Medical Radiation Technologists. This is the certifying body for MRI technologists and it also establishes competency profiles and best practices. She was involved in the creation of those, as well as the national exam for technologists. British Columbia has its own association and it has adopted the national standards for competency.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2008, Ms. Smith was in charge of staff scheduling, training new staff and evaluating students who did practicums at UBC, in addition to being responsible for the maintenance of the machines. At that job, she helped develop the clinical and research protocols. She also continued to perform scans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the supervising physician, she developed the "Hearing Protection in the MR Environment" policy. It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Acoustic noise levels during MR scanning generally fall between 65 and 95 decibels (dB), but can reach more than 120 dB depending on the pulse sequence, magnetic field strength and other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Hearing protection may lower this exposure by about 20 to 30 dB, depending on the type of protection and their proper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policy also states that all patients must wear protection that meets WorkSafeBC guidelines: foam ear plugs, ear muffs or MRI compatible headphones. If a patient refuses to wear the protection, the scan will not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Smith confirmed that patients were allowed to choose the type of hearing protection (earplugs or ear muffs) they wanted to wear during the procedure. She testified that UBC never ran out of earplugs and always had a "standing" order for the products. Mr. Curry also testified that he could not recall a situation where ear plugs were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summarize those portions of Ms. Smith's testimony that I find to be the important facts regarding hearing protection for MRI scans: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MRI machine produces loud noises that can harm hearing if proper hearing protection is not worn.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noise is loud enough that it can harm a patient's hearing, potentially resulting in permanent hearing loss.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patient pushes the call button during a sequence, it is expected the scan will stop immediately and the technologists will check on the patient.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technologist performing the scan has the ultimate responsibility for patient safety during the MRI scan.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scan and type of procedure is related to the potential extent of damage to hearing.</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use of hearing protection is critical.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2008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Pausch had four MRI scans before January 2008. One in either 2003 or 2004 related to injuries when he fell off some icy stairs. That fall resulted in surgery and possible neurological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January 2, 2008, he attended UBC Hospital for an MRI scan of his spine. He said everything proceeded normally until just before he got into the MRI machine. Mr. Pausch testified he asked for foam earplugs. He claimed he had only ever worn foam earplugs during his previous MRI scans. Mr. Pausch said Mr. Curry told him they had run out of earplugs.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Pausch did not request that Mr. Curry search for earplugs because Mr. Pausch always felt the scans were done under strict time constraints. Instead, Mr. Pausch was given and accepted a headset. He cannot remember if he put the headset on himself or what position (sitting, lying down) he was in when it was placed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Curry does not have any specific recollection of Mr. Pausch or the scan he performed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Well into the procedure, Mr. Pausch testified he began to feel uncomfortably warm and he pressed the call button. He said there was no immediate response. He was nervous that the call button was not working. When that particular sequencing was done, he told Mr. Curry about his discomfort. Mr. Pausch claims nothing was done to address his concern. Instead, Mr. Curry told him only one more sequence needed to be done and suggested Mr. Pausch just put up with his discomfort until it was over. Mr. Curry denied this could have happened. He said if a patient expressed concern about their comfort at any point during a procedure, he would immediately stop the sequencing and check on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was no evidence that Mr. Pausch mentioned to Mr. Curry or anyone else his concern that the call button malfunctioned during his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Pausch testified that as soon as he got out of the machine, he "didn't feel right"; he noticed a ringing sound in his head and felt something was different with his hearing. He also felt a bit disoriented. He did not speak to Mr. Curry about his symptoms. He said Mr. Curry quickly rushed him out of the MRI room back to the changing area. Mr. Curry agreed he does try to ensure patients exit in a timely fashion, for safety concerns, but he did not accept he would have rushed Mr. Pausch.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Pausch was in the waiting area and testified she saw Mr. Pausch leave the MRI room and walk to the changing area. She said he looked confused or "stunned". Mr. Pausch changed his clothes and starting walking with his wife away from the clinic. He told her about his symptoms. She also remembered that he leaned on her for support which was very unusual behaviour. He continued to complain about the symptoms and when they got to the elevators, they decided to return to the clinic to report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about what happened when they returned, and even if they returned at all, was inconsistent and confusing. Mr. Pausch's testimony changed and both his and his wife's evidence was inconsistent with previous statements that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one account, they went back to the clinic and Mr. Pausch spoke with the receptionist asking to see Mr. Curry. The receptionist went to find him but returned and said Mr. Curry had already left. By another account, the receptionist simply told Mr. Pausch to see his family physician. By another account, however, Mr. Pausch says he called the UBC MRI clinic the next day to report his symptoms and it was the person he spoke to in that phone call that told him to see his family physician. When confronted with his examination for discovery evidence, however, he could not recall if the receptionist was even at the desk when they returned, or whether he spoke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Pausch's evidence at trial was only generally consistent with Mr. Pausch's trial evidence. About five years ago, she wrote a statement describing the events and she agreed when cross-examined that her statement was truthful and represented her best recollection of events in January 2008 when she wrote it. Her statement does not mention them returning to the clinic or speaking to the receptionist.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Mr. Curry's Typical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Blaine Curry is a certified MRI technologist. He was working at St. Paul's Hospital full-time in January 2008 but also worked as a casual technologist in other centres, including at UBC Hospital where he worked about one shift a week. In 2006 he was contracted with General Electric ("GE") to work as an Applications Specialist. In that position he trained technologists on MRI machines made by GE and did troubleshooting for protocol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performed the scan on Mr. Pausch on January 2, 2008, at UBC Hospital but has no recollection of Mr. Pausch or the scan he performed on him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did recall that the policies for MRI technologists at UBC were similar to those at St. Paul's Hospital. He also confirmed that all of the patients he scanned at the UBC clinic were outpatients.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described the steps in a typical MRI scan he performs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registers with the receptionist and waits until called forward. The patient is given forms to complete before the scan.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receptionist alerts the technologist that the patient has arrived.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Curry meets the patient in the waiting room and reviews the forms with the patient and ensures the forms were dated and signed.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changing clothes, but before they enter the MRI room, Mr. Curry does a visual inspection of the patient to see if the patient has forgotten to remove any items, such as jewelry, or if they forgot to mention they had tattoos (both constitute a safety hazard). Once that is done, they enter the MRI room.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Curry asks the patient to sit on the MRI table and he explains the procedure to the patient again. He advises patients that the MRI is very loud and they need protection for their ears. He also explains the use of the emergency call button.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then asks if the patient prefers ear plugs or headsets and he gives them whatever is requested. If a patient requests ear plugs, the patient is allowed to insert them themselves.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patient chooses headphones, the patient lies down before the headsets are given to him or her to put 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hygienic reasons, new disposable covers are placed on the headset before handing it to the patient (he demonstrated how this was done during his testimony). Because of the shape of the headphones and how they are slanted, it is inevitable that Mr. Curry ends up seeing them close-up.</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checks if the patient is comfortable (may be a thumbs up or tap check), gives the call button to the patient and then aligns the patient with the machine (this is done with a laser).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asks the patient after each sequence how they are doing, unless it is made clear to him or he understands that the patient would prefer not to be asked every time (which makes some patients uneasy), in which case he checks after every two 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Curry confirmed that there was no written policy in place at any facility in BC at which he worked requiring headsets to be specifically checked for defects. He also confirmed it was unlikely that he would have done a specific check for that during Mr. Pausch's scan, although he would have handled and looked at the headset when putting the hygienic covers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Mr. Pausch's Symptoms After the 2008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Pausch said he had a horrible night trying to sleep after the 2008 Scan. Mrs. Pausch testified that he would hold his head and looked extremely uncomfortable. Mr. Pausch claims his hearing loss worsened after the 2008 Scan. He had greater difficulty following conversations at large gatherings and this diminished his enjoyment at social functions. Mrs. Pausch testified that in group settings, she often had to repeat or summarize conversations for Mr. Pausch. She said this was markedly worse after 2008. He did not seem to whisper in those situations and she felt awkward and self-conscious because people might have heard him asking her to repeat the discussion. Sometimes she asked him to wait for her to explain to him later, which irritated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Even when watching TV, both Mr. Pausch's wife and son said he often needed be told what happened or what was said. They both perceived his loud speaking to have gotten worse in the last five or six years conceding that he always spoke loudly. His son noticed, however, that the hearing aids made a drastic improvement with his dad's hearing. Mr. and Mrs. Pausch's evidence was consistent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Pausch's son also testified that his dad stopped listening to portable music with headphones or ear buds in the last five or six years. This evidence is curious because Mr. Pausch was adamant that he never listened to music with headphones or ear buds. He specifically recalled seeing a poster at the UBC MRI clinic advertising that patients had the option of listening to music from the supplied headsets at the time of both the 2008 Scan and the 2009 Scan. He said he remembered the poster specifically because listening to music is not something he would be interested in doing during an MRI. He also said he never really listened to music with headphones. There was an indication in some documents that Mr. Pausch did, in fact, listen to music during the 2008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Pausch currently wears hearing aids paid for by WorkSafeBC. He has not purchased or tried hearing aids that are specifically designed to assist people suffering from tinnitus.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The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Pausch described the ringing in his head to be similar to a kettle whistle. A 30 second sample of noise was played in court that he said mimicked the sound he constantly hears. The sample was played from the American Tinnitus Association's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says this ringing is constant but fluctuates in pitch and volume. The tinnitus causes difficulties with Mr. Pausch's concentration and he said it makes him moody, irritable and angry. He also claimed it interferes with his ability to fall asleep, partially because his experience is worse in quiet environments. In a louder situation, external noise helps to mask the ringing sound. Stress aggravates the tinnitus. He understands there is no cure for tinnitus; he has to learn to cope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Mrs. Pausch confirmed Mr. Pausch's evidence that he often awakes during the night or early morning and simply watches TV rather than trying to fall asleep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Pausch has tried putting a water fountain and a fan in his bedroom because it was suggested their sound may act as white noise to mask the tinnitus. Those measures were short-lived, even if effective, and abandoned because Mrs. Pausch found them annoying. He has not attempted an under pillow device which is marketed for tinnitus or hearing aids specifically designed for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2010 or 2011, Mr. Pausch attended a group session at St. Paul's Hospital offering support and follow-up for people suffering from tinnitus. The goal is to assist patients to cope with the condition since there is no cure. One to one counselling sessions are available at a cost of $250 for the first session and $120 for each thereafter. Each group session costs $75. Mr. Pausch only attended a group session once and has not attempted one to one counselling.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Pausch saw his family doctor soon after the 2008 Scan. That doctor's clinical notes were accepted into evidence as authentic by consent. The doctor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notation about hearing issues until the entry for January 31, 2008, where the phrase "still ringing in ears" appears, implying the doctor had been told at a previous appointment about the tinnitus. When asked about this, Mr. Pausch said he "cannot recall" telling the doctor about his hearing problems at the first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notes are not helpful because the lack of a notation of tinnitus is not determinative that Mr. Pausch did not tell his doctor about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What is more relevant is Mr. Pausch's testimony that he "cannot recall" whether he told his doctor at the first visit about his issues with his hearing. Given that the first visit was about 10 days after the 2008 Scan, when it would be clear the issues were not temporary, it is surprising that Mr. Pausch cannot remember telling his doctor about it. This is even more curious given Mr. Pausch's claim that he was advised by someone at the UBC clinic either the day of or day after to see his family doctor about the ringing in his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Pausch also confirmed he suffered from other health issues. The only ones relevant to this case are injuries he sustained in his neck, back and elbow, the latter requiring surgery. These injuries caused pain and may have interfered with his sleep. Mrs. Pausch testified that back pain often caused her husband to wake up. Similarly, Mr. Pausch cannot determine what might wake him during the night, but he said the tinnitus makes it difficult for him to fall asleep.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Audio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Pausch's doctor referred Mr. Pausch to a specialist. The first specialist he saw retired, so the follow-up was with Dr. Steinberg. Dr. Steinberg did not testify, but some of his documents were entered into evidence and were reviewed by an expert, Dr. David, who did testify.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proffered Mr. Richard Myszkowski as an expert but in reasons delivered October 20, 2014, indexed as </w:t>
      </w:r>
      <w:hyperlink r:id="rId90" w:history="1">
        <w:r>
          <w:rPr>
            <w:rFonts w:ascii="arial" w:eastAsia="arial" w:hAnsi="arial" w:cs="arial"/>
            <w:i/>
            <w:color w:val="0077CC"/>
            <w:sz w:val="20"/>
            <w:u w:val="single"/>
            <w:shd w:val="clear" w:color="auto" w:fill="FFFFFF"/>
            <w:lang w:val="en-US" w:eastAsia="en-US" w:bidi="ar-SA"/>
          </w:rPr>
          <w:t>2014 BCSC 2036</w:t>
        </w:r>
      </w:hyperlink>
      <w:r>
        <w:rPr>
          <w:rFonts w:ascii="arial" w:eastAsia="arial" w:hAnsi="arial" w:cs="arial"/>
          <w:color w:val="000000"/>
          <w:sz w:val="20"/>
          <w:lang w:val="en-US" w:eastAsia="en-US" w:bidi="ar-SA"/>
        </w:rPr>
        <w:t>, I excluded portions of his report. What remained as admissible evidence were his answers to two questions: (1) what is the responsibility of the MRI technologist conducting the MRI with regard to hearing protection; and (2) what steps must the MRI technologist take in order to protect the patient's hearing? In answer to the second question, his report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technologist must provide earplugs, ear bud headphones, or full covering headphones to every patient having an MRI scan. An explanation of the noise of an MRI scan should also be explained to the patient. Proper instructions for use should be given to the patient. Once given, comfort and positioning of the headphones or earplugs should be checked by the technologist.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regard to the first question, the following steps are most relevant to Mr. Pausch's claim (the rest of the steps identified by Mr. Myszkowski were generally consistent with both Mr. Curry's and Ms. Smith's evidence):</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full coverage headphones are to be used, the headphones are cleaned prior to each patient.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cleaning, if there is any damage to the foam or tubes running to the headphones, it would be addressed and new headphones provided or tubing reconnected.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Myszkowski agreed this is not an in-depth examination but a quick check done while cleaning. This step is slightly different at UBC because it used disposable paper/fabric covers. The reason for that is rubbing alcohol may damage the plastic or rubber components of the headset. Nevertheless, there is an opportunity for the technologist to handle and examine the headset. Mr. Myszkowski's report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technologist will check that the full coverage headphones or ear buds are placed correctly and that they are comfortable to last the duration of the examination. If they are not comfortable, they should be repositioned to ensure patient comfort and effectiveness.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Myszkowski confirmed in cross-examination that the patient is in the best position to know if the headset or ear plugs are properly placed. He agreed that if the patient expresses no concern about ear plugs or headset, and a basic visual inspection is done, then it is safe to proceed with the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note that Ms. Smith's and Mr. Curry's evidence was consistent overall with Mr. Myszkowski's.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Eytan David is an otolaryngologist, also referred to as an ears, nose and throat (ENT) doctor, who gave opinion evidence on behalf of Mr. Pausch. He was a credible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His impressions after reviewing the medical records provided to him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Mechanism of possible injury including prolonged MRI scanning, and onset and progression of symptoms over time, is suggestive of causal connection between MRI scanning and [Mr. Pausch's] symptoms of tinnitus. </w:t>
      </w:r>
      <w:r>
        <w:rPr>
          <w:rFonts w:ascii="arial" w:eastAsia="arial" w:hAnsi="arial" w:cs="arial"/>
          <w:color w:val="000000"/>
          <w:sz w:val="20"/>
          <w:u w:val="single"/>
          <w:lang w:val="en-US" w:eastAsia="en-US" w:bidi="ar-SA"/>
        </w:rPr>
        <w:t>There appears to have been significant deterioration in measured audiograms pre and post MRI suggestive of noise induced hearing loss in the frequency specific range between 3,000-6,000 Hz.</w:t>
      </w:r>
      <w:r>
        <w:rPr>
          <w:rFonts w:ascii="arial" w:eastAsia="arial" w:hAnsi="arial" w:cs="arial"/>
          <w:color w:val="000000"/>
          <w:sz w:val="20"/>
          <w:lang w:val="en-US" w:eastAsia="en-US" w:bidi="ar-SA"/>
        </w:rPr>
        <w:t xml:space="preserve"> In the context of no other unprotected noise exposure in the interim, a causal connection between MRI scanner and noise induced hearing loss can be stated more likely than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His ultimate conclusions were: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medical evidence of interval deterioration in hearing testing pre and post the 2008 Scan.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 is a result of this measurable deterioration in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testimony, Dr. David explained three events that can be causatively linked to tinnitus, based on a meta-analysis of the medical literature: head injuries, noise-induced trauma and pre and post-incident change in hearing. Dr. David confirmed that it is possible for noise trauma to be sufficient, independent of documented change in hearing, to link the trauma to tinnitus. He also agreed that it may be possible for a person more vulnerable to loud noises to be wearing hearing protection appropriately and still suffer injury when undergoing an MRI. The reason is that each individual has a different tolerance to loud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David based his conclusions on an examination and comparison of some, not all, of Mr. Pausch's hearing tests and the fact that Mr. Pausch reported the ringing in his ears immediately after the 2008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challenged Dr. David's methodology of comparing hearing test results. There were nine test results entered into evidence: five were done by WorkSafeBC's mobile clinics on behalf of the District, one by Dr. Steinberg (the specialist to whom Mr. Pausch was referred), one at St. Paul's Hospital, one at Costco and one with Dr. David. They range from October 2, 2002 to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David decided to compare the March 2007 WorkSafeBC test to the October 8, 2008 test done at St. Paul's Hospital to determine pre and post MRI hearing levels. He had confidence in the latter because he knows the setting and methodology of tests done at St. Paul's Hospital are reliable and match his own process. He was reluctant to rely on WorkSafeBC tests because those are done in mobile units by contractors and the testing conditions are unknown and may be significantly inconsistent with tests done in a medical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says I should discount Dr. David's opinion because he had no logical reason to prefer the March 2007 WorkSafeBC test over earlier ones (done in October 2002 and December 2003). The defendant further points out that using either an average or one of the earlier tests would likely have changed Dr. David's opinion. It is accepted that a change of more than 10 dB between two tests signals a change in hearing. The defendant suggested Dr. David was "cherry-picking" the one test that resulted in illustrating interval hearing loss because at no frequency is there more than a 10 dB change between the St. Paul's Hospital and the 2002/2003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David explained the March 2007 test was the one closest in time before the 2008 Scan and that is why he used it. In my view, that is logical. This test was less than a year before the 2008 Scan; the other two were both more than four years before the 2008 Scan. Given there was no known qualitative difference between the three WorkSafeBC tests, it does make intuitive sense to pick the one closest to the event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the defendant did point out other qualities of the March 2007 test that raise questions in my mind about Dr. David's opinion. Most notably, it shows that, at frequencies of 1K in the left ear and 3K in the right ear, Mr. Pausch detected sound at 0 dB, meaning he detected sound when none was played. No other test (except Dr. Steinberg's, which Dr. David did not rely on) contained a zero result. No explanation was provided for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Also, the March 2007 test appears to show an improvement in Mr. Pausch's hearing from the previous tests: in his left ear at 3K and 4K frequencies (those being most relevant in terms of interval hearing loss most likely to lead to tinnitus), and in the right ear at 1K, 2K and 25K. As I understood the evidence, noise-induced hearing loss does not improve because it is caused by nerve damage. Given that, the March 2007 test results are odd.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I found Dr. David credible and reliable and neutral. I do not accept the defendant's suggestion that he was "cherry-picking" the test most favourable to Mr. Pausch, but the anomalies in the March 2007 test raise significant empirical concerns about Mr. Pausch's hearing before the 2008 Scan, therefore, I approach Dr. David's opinion with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The 2009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early 2009, Mr. Pausch had another MRI scheduled at UBC Hospital. He called the clinic ahead of his appointment to inform it of his difficulties at his last MRI scan. Ms. Smith recalled getting a message to call Mr. Pausch in January 2009. A phone message to call Mr. Pausch dated January 13, 2009 was put into evidence. Mr. Pausch expressed concern to Mrs. Smith about his upcoming MRI scan because of what he felt had happened in 2008. She set up a time for them to meet in her office. She had the impression the main purpose of that meeting was to expedite Mr. Pausch's MRI. When a cancellation came up on January 30, Mr. Pausch took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Smith was challenged in cross-examination about the timing and content of that meeting, but her evidence did not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Smith performed the 2009 Scan. She had a good recollection of that procedure because of her previous contact with him. Because of his concern with what he said happened at the 2008 Scan, she took extra precautions for hearing protection: Mr. Pausch wore both ear plugs and a headset and she wedged large foam pieces (which are typically used to help support a patient in a particular position when needed) between the CLT coil and the headset he was 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Pausch's recollection differs. He said after getting on the table, Ms. Smith put the headset on him, he lay down, she adjusted his head, wedged "something" between his ears and the machine and then removed the headset.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Smith flatly denied taking the headset off. She also explained that patients lie down before the headset is put on because it could be bumped and then need to be re-adjusted if put on earlier. She wedged some foam between his headset and the machine for extra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on a balance of probabilities that Ms. Smith's recollection is accurate. Mr. Pausch's situation was unique in her experience which is why her interactions with him stand out in her memory. She recalls the phone conversation and their meeting; she has a specific recollection of performing the 2009 Scan and of wedging foam beside Mr. Pausch's head. All of these actions were unusual so it is reasonable her recollection of the events would be more accurate. Also, both she and Mr. Curry confirmed it was standard practice for patients to lie down and then be given a headset.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Mr. Pausch's Other Legal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Pausch has commenced at least five other law suits. Three of those were started before January 2008 and include a claim for damages for some of the symptoms he claims in this case were caused by the 2008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Pausch also has instigated approximately 59 claims at WorkSafeBC. He says that prior to the 1990's, any and all safety issues or injuries ("even a paper cut") were supposed to be reported to the designated first aid person. Mr. Pausch believes that person was obliged to send a report about the issue or injury to WorkSafeBC, which automatically generated a new claim number, even if no follow-up was requested or required. There was no evidence from WorkSafeBC to confirm this was the practice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 to Mr. Pausch, that practice changed. Now, not every report to the designated first aid person results in a new claim number. I understood there is some type of screening function performed between receiving information from an employee and a claim number assigned by WorkSafeBC.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Pausch offered this explanation as a way of downplaying the number of claims he had at WorkSafeBC; he claims a number of the claims may simply be incident reports for which no follow-up was needed. However, a majority of Mr. Pausch's WorkSafeBC claims were opened after 1989, when he says the system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Most significantly, in 2012, Mr. Pausch filed a hearing loss claim with WorkSafeBC. His claim was accepted because WorkSafeBC found that he suffers from industrial hearing loss as a result of the work he does. Mr. Pausch, however, was also seeking compensation for tinnitus as a permanent disability. Relying on Dr. Steinberg, he argued that the tinnitus was related to his work because the industrial hearing loss made him more vulnerable to developing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believes his claim was rejected because the tinnitus arose immediately after the 2008 Scan. He appealed that decision, but the appeal was dismissed. Because his claim was successful, in part, WorkSafeBC pays for his hearing aids. Mr. Pausch says the hearing aids do not assist with the tinnitus. I find Mr. Pausch's litigation and WorkSafeBC history are relevant because they show his willingness to seek compensation for similar symptoms from multiple sources. In particular, he was unable to persuade me his WorkSafeBC claim for tinnitus was anything other than strategic. While he is entitled to pursue all legal avenues for redress, I found his explanations and descriptions of symptoms to be suspicious.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calls into question Mr. Pausch's credibility and emphasizes the following examples as illustrative of inconsistencies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Pausch wrote a letter to the defendant's Director of Patient Relations in February 2009 (more than a year after the 2008 Scan) requesting financial assistance to buy hearing aids and"tinnitus maskers". The letter states"[o]n January 2, 2008 I had a MRI done and the technician said that they had new hearing protection in which I could listen to the music of my choice". Nowhere in the letter does it state that he was told ear plugs were not available because they ran out of supply, which is odd because that is a chief complaint in this case and a fact pled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Twice the letter says he had worn "ear plugs and ear muffs" for past MRI scans, suggesting he wore both simultaneously. This contradicts his testimony where he insisted he had always worn only earplugs prior to the 2008 Scan. He claimed his letter was simply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his answer is too simplistic. Mr. Pausch's evidence (supported by his wife and son) was emphatic that he is almost obsessive about hearing protection. He was adamant that he preferred ear plugs and claimed to rarely wear headphones. Given that, it is hard to accept that when writing a letter seeking redress for something he says caused a debilitating condition like tinnitus, he would be careless with his words, especially with regard to the critical event. The timing is also suspicious because the letter was written shortly after the 2009 Scan where he did wear both ear plugs and headphones.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Pausch claims that he had only mild hearing issues prior to 2008, but the 2008 Scan "pushed him over the edge" and directly led to the tinnitus. His evidence on the extent of his hearing difficulties prior to the 2008 Scan was inconsistent and confusing. As he was taken to a number of forms he filled out himself, his evidence would vary as to what he meant by things that he wrote and often that testimony differed in a significant way from the ordinary interpretation of the document, from his own previous testimony or from evidence given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also demonstrated selective memory. While able to describe some previous litigation in detail, he claimed not to have any recollection of one lawsuit he filed. At times his understanding and explanation of policy and law relating to WorkSafeBC claims were sophisticated; at other times he claimed not to understand or to be ignorant of matters relating to his own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all these reasons, I find Mr. Pausch's credibility is impaired and I approach his own description of the state of his hearing prior to the 2008 Scan with caution. I also question the events as described by him on January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fail to meet the requisite standard of care required of an MRI technologist?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is yes, was that failure a proximate 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parties agree on the applicable legal principles. The defendant referred to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which sets out four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(1) the defendant owes a duty of care to the plaintiff; (2) the defendant breached the standard of care; (3) the plaintiff suffered injury and; (4) the injury was caused by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admits that it owed a duty of care to Mr. Pausch, so the plaintiff must prove on a balance of probabilities that the standard was breached and that the breach caused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WAS THE STANDARD OF CARE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agrees it had the responsibility to ensure patient safety when conducting an MRI scan. The dispute arises over what needs to be done in terms of hearing protection to meet the standard of care. In this case, the plaintiff says that Mr. Curry failed to check whether Mr. Pausch was properly wearing the hearing protection and that failure breached the standard of care. The specific question is, what constitutes a proper check of hearing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points to the defendant's failure to adduce expert evidence as a factor weighing in favour of his case. The defendant notes the plaintiff had no expert evidence about the applicable standard of care once I excluded portions of Mr. Myszkowski's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the question about standard of care posed in this case does not require expert evidence. The proper placement of a headset (or ear plugs) is within the common knowledge and competence of the average person. There is no special skill or instruction required for a person to properly don headphones or ear plugs. Nor is the answer to the question beyond the court's ability to answer based on the evidence of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says it is common sense that the overriding duty to ensure patient safety would necessitate that the MRI technologist check to see hearing protection is used properly. I agree, but that does not answer the more specific question of what exactly needs to be done to constitute "checking to see hearing protection is used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says I should not accept Mr. Curry's testimony that he visually checked Mr. Pausch's hearing protection. This position is explained in the plaintiff's written argument at paras. 55 and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Curry testified in his direct examination that during the time the patient put the headphones on, and while he was standing next to the patient positioning them and performing the landmarking tasks, he was performing a "visual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Curry did not explain what he was doing as part of this visual inspection apart from being in close proximity to the patient. As noted, he agreed that he was not specifically checking the seal between the headset and the patient's head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says because there is no mention of a visual check in Mr. Curry's July 2014 affidavit (in which he describes his regular practice), I should discount his claim that he visually checked the headset placement. The plaintiff also says evidence of usual practice is not direct evidence of what was done in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do not agree with the plaintiff. The facts pled in the notice of civil claim do not identify the failure to check as an element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the main complaint is that the defendant "ran out" of ear plugs. The defendant points out that it was not until the trial that it became apparent the "check" was the main focus. More importantly, as the above quotes recognized, the "visual check" did not really constitute a separate test within Mr. Curry's practice and was nothing more sophisticated than looking at the headset after being placed. For those reasons, the failure to mention "visual check" in his affidavit is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 says evidence of one's usual practice can be relied upon to find what was done on the day in question, citing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465: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that way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Chasse v. Evanson</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2006 ABQB 342</w:t>
        </w:r>
      </w:hyperlink>
      <w:r>
        <w:rPr>
          <w:rFonts w:ascii="arial" w:eastAsia="arial" w:hAnsi="arial" w:cs="arial"/>
          <w:color w:val="000000"/>
          <w:sz w:val="20"/>
          <w:lang w:val="en-US" w:eastAsia="en-US" w:bidi="ar-SA"/>
        </w:rPr>
        <w:t xml:space="preserve"> at para. 75, for the proposition that Mr. Curry's usual practice is not direct evidence of whether he met the standard of care during the 2008 Scan; it is only circumstantial evidence from which an inference can be drawn. This principle is no different than what the defendant relies on. Whether by direct evidence or inference, the issue is whether the defendant's conduct breached the standard of care on the day in question. In fact, in </w:t>
      </w:r>
      <w:r>
        <w:rPr>
          <w:rFonts w:ascii="arial" w:eastAsia="arial" w:hAnsi="arial" w:cs="arial"/>
          <w:i/>
          <w:color w:val="000000"/>
          <w:sz w:val="20"/>
          <w:lang w:val="en-US" w:eastAsia="en-US" w:bidi="ar-SA"/>
        </w:rPr>
        <w:t>Chasse</w:t>
      </w:r>
      <w:r>
        <w:rPr>
          <w:rFonts w:ascii="arial" w:eastAsia="arial" w:hAnsi="arial" w:cs="arial"/>
          <w:color w:val="000000"/>
          <w:sz w:val="20"/>
          <w:lang w:val="en-US" w:eastAsia="en-US" w:bidi="ar-SA"/>
        </w:rPr>
        <w:t xml:space="preserve"> at para. 77, the court did conclude it could infer from the defendant's evidence about his invariable practice that he met the standard of care, citing </w:t>
      </w:r>
      <w:r>
        <w:rPr>
          <w:rFonts w:ascii="arial" w:eastAsia="arial" w:hAnsi="arial" w:cs="arial"/>
          <w:i/>
          <w:color w:val="000000"/>
          <w:sz w:val="20"/>
          <w:lang w:val="en-US" w:eastAsia="en-US" w:bidi="ar-SA"/>
        </w:rPr>
        <w:t>Belknap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of Mr. Myszkowski, Ms. Smith and Mr. Curry was remarkably similar in terms of what general steps to take when conducting an MRI. Mr. Pausch's recollection of the 2008 Scan was poor; when asked a series of questions about his position, who put the headset on and when that was done, he could not recall. In the face of that, I accept Mr. Curry's testimony that he would normally visually check the placement of the headsets. I also accept the "visual check" was nothing more than looking at the headset. Mr. Myszkowski's evidence suggests such a check would be adequate. He also agreed that if the patient indicated he or she was comfortable after placing the headphones or ear plugs, a visual check was sufficient to ensure hearing protection was adequate and the technologist could proceed with the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says Mr. Curry failed to specifically check to see if the seal was complete between the cups of the headset and Mr. Pausch's head. He points to Ms. Smith's evidence that she did that when she performed the 2009 Scan. But Ms. Smith was clear that, because of Mr. Pausch's specific concerns, she took extra steps with regard to hearing protection. I did not understand her evidence to be that checking the seal was an expectation for standard MRI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More persuasive, however, is Mr. Pausch's own evidence that he could not recall if he felt anything was wrong with the placement of the headphones. Mr. Myszkowski agreed that the patient is in the best position to determine if headphones are properly worn. This is common sense. It is also highly relevant that Mr. Pausch is fastidious about hearing protection. I believed his testimony that if he thought there was something wrong with the headphones he would have asked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says none of these facts about Mr. Pausch exempt the defendant from conducting a proper check. That may be true, but his evidence does tend to prove that the headphones were, in fact, properly placed during the 2008 Scan. What remains to be determined is, what is a proper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Properly wearing headphones and ear plugs is an everyday, simple and common task. There is no magic or skill to "ensuring" they are properly worn. In my view, it is impossible, without input from the patient, to know whether headphones or ear plugs are properly placed. In the case of ear plugs, a visual check can only determine if the ear plug has fallen out or not. Whether it is correctly placed can only be known by the patient who will be able to feel if it has expanded in the ear canal and is likely to stay in place. The MRI headset must be put on the patient when he or she is lying down so it is impossible to thoroughly view its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my view, the patient's feedback is the most reliable "check" that hearing protection is worn properly. A visual check by the MRI technologist is an additional measure in case the headphones have become obviously misaligned or the ear plugs have fallen out,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for whatever reason, the patient has failed to alert the technologist. Such a visual check is easily and quickly done. Mr. Myszkowski's evidence supports this conclusion as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a proper check requires the MRI technologist to get feedback generally from the patient and to look at the patient once the hearing protection has been placed to make sure the ear plugs have not fallen out or the headset has not become obviously misaligned. I find it is more likely than not that Mr. Curry did these two things and, therefore, he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notice of civil claim also says ear plugs were not available on January 2, 2008, and the defendant is liable for not ensuring an adequate supply. Mr. Pausch says he was told the clinic had "run out" of ear plugs.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was the clinic had a standing order and earplugs were in abundance around the clinic, including two boxes in the MRI room itself. Ms. Smith and Mr. Curry said they were never aware of there not being enough earplugs at the clinic. I accept their evidence and I, therefore, find that it is highly unlikely that the clinic would have run out of ear plugs or that Mr. Curry said it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Based on the discussion above, I make the following conclusions. In light of the evidence, the standard of care required of an MRI technologist when checking hearing protection provided to a patient involves two things: (1) the technologist must receive feedback from the patient about their comfort level after the ear plugs or headset are placed, and; (2) the technologist must look at the patient for the purpose of seeing whether or not the ear plugs have fallen out or the headset has become obviously misaligned. In my view, it would be unreasonable to place any greater duty on MRI technologists because, by far, the most reliable check on the proper placement of hearing protection is the patient's feedback. He or she is absolutely in the best position to judge whether the earplugs or headsets are placed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also find that nothing more than a visual check done while either putting on hygienic covers or cleaning the "cups" of the headphones is required in terms of "inspecting" the headset for damage. In my view, that visual inspection would catch obvious defects such as ripped or broken portions of the headsets. Any other defect in its function could not be ascertained by an MRI technologist handling the headset. I find that Mr. Curry's visual check was, in effect, the same as recommended by Mr. Myszkowski.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in this case, Mr. Curry met the standard of care required of him. I infer from his description of his usual practice that it is more likely than not that he did perform both elements of a check of the adequacy of hearing protection during the 2008 Scan. In my view, the relative consistency amongst the evidence of Mr. Myszkowski, Ms. Smith and Mr. Curry about the usual practice supports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Even if there was some uncertainty on this point (which there is not), I also find that Mr. Pausch's evidence about the care he has taken with his hearing makes it highly unlikely that the headset was not placed correctly without him noticing or seeking assistance to adjust it. I am satisfied on a balance of probabilities that he did not need or seek such assistance because the headset was properly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Accordingly, I find the plaintiff has failed to establish the 2nd branch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claim fails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it is unnecessary to do so, I will provide my conclusions on causation in the event I am wrong about the breach of standard of care. Again, the legal principles are not in dispute. Put very briefly, the plaintiff has the burden of proving that "but for" the defendant's negligent conduct, the injuries would not have occurred. The description earlier in these reasons about how MRI machines work and the mechanism by which they may cause hearing damage was also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relies first and foremost on his own testimony, supported by his wife, about his tinnitus and increased hearing loss after the 2008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also relies on Dr. David's expert opinion that it is more likely than not that there is a causal connection between the MRI scan and Mr. Pausch's noise-induced hearing loss, which is an accepted cause of tinnitus. The plaintiff emphasizes that the frequencies affected in Mr. Pausch's hearing (3,000 to 6,000 hertz) are those associated with noise-induced hearing loss due to the physical properties and shape of the inner ear. Dr. David referred to this as appearing as "notching" on audiograms.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also relies on case law establishing that it is acceptable to rely on common sense (in this case, the timing of the onset of symptoms in relation to the 2008 Scan) as indicative of causation. I accept that statement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 says that the evidence is insufficient to establish that Mr. Pausch does suffer from tinnitus and/or increased hearing loss. As discussed above, the defendant says less weight can be placed on Dr. David's opinion. It questions the validity of the results of the March 2007 WorkSafeBC audio test, throwing into doubt Dr. David's conclusion that Mr. Pausch did suffer noise-induced hearing loss because either averaging all three prior tests or using any one of the other two does not result in a change in hearing levels for Mr. Pausch above the accepted test/re-test variability of 10 dB.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also says there are serious credibility issues with Mr. Pausch's evidence sufficient for the court to question whether he has exaggerated or overstated evidence about his hearing condition both before and after the 2008 Scan. The defendant refers to the following (some of which is discussed earlier in these reasons) to support its submission that the evidence cannot support a finding of causation:</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inconsistent evidence about whether Mr. Pausch and his wife immediately returned to the clinic to speak to the receptionist.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Mr. Pausch's treating physicians were called to give evidence.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records do not record Mr. Pausch raising any issue about his hearing on either the January 11 or January 18, 2008 visit to his family doctor.</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Pausch's other litigation makes claims for damages for symptoms also claimed in this action.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made by Mr. Pausch in his WorkSafeBC claim relating to hearing loss and tinnitus differ in a way that calls into question the veracity of his testimony at trial. It is put this way in the defendant's final written submissions: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Mr. Pausch has manipulated his evidence to benefit both sides of his dilemma. The defendant submits that the Court should therefore be concerned with his credibility as a witness, and that the Court should conclude it cannot rely upon Mr. Pausch's testimony as a result. He has clearly made sworn statements in chief and cross examination that directly contradict his submissions to the WorkSafeBC, made under a similar promise to tell the truth.</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example is in submissions relating to his WorkSafeBC claim. Mr. Pausch stated he repeatedly complained to his foreman that he had hearing problems at work for about 24 years. This contradicted his evidence that his hearing problems only appeared after the 2008 Scan. When confronted with the document, Mr. Pausch said the claims he made to WorkSafeBC were untrue. In my view, this admission (not being truthful to a public agency in order to receive financial benefit) is a serious stain on a witness's credibility.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Pausch filled out a noise exposure form where it seems to indicate that he was exposed to air tools for 8 hours per day while working for the District from September 1989 to February 2013 with no hearing protection. Mr. Pausch says his answers (making a check mark under a column listed as "no hearing protection") were meant to convey that the hearing protection was not provided by the employer. That is not a reasonable interpretation of the form and I reject his explanation.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Pausch did not give Dr. David the information in the above two paragraphs that he gave to WorkSafeBC.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To these concerns I also add that Mr. Pausch appears to have taken very limited measures to deal with his tinnitus. As he described it, tinnitus can be a debilitating condition. He described the whistling noise as being constant and most difficult to handle in quiet environments because there is nothing to mask it. Despite this, he has not invested in any device specifically made to address tinnitus even though they are available. He gave no reason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More troubling is the fact that he admitted using a fan at night did help (because the noise mimics white noise) but that his wife's comfort put an end to that. I find this evidence difficult to reconcile with a person suffering from a debilitating condition. Surely Mr. Pausch and his wife could figure out a way for the fan to provide noise but not cause discomfort by merely having the fan blow in a different direction, or quite frankly, buying extra bedding. Similarly, a water fountain was abandoned because it had LED lights that Mrs. Pausch found irritating. Again, no explanation was given for why a different fountain without lights was not purchased or the lights simply disconnected.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None of the circumstances discussed above on their own, or in combination with just one or two others, would be sufficient, in my view, to seriously erode Mr. Pausch's credibility or his claim that he suffers from tinnitus. However, taken together, serious questions are raised in my mind about whether he does suffer from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Even if I was satisfied that the evidence proves on a balance of probabilities that he does suffer from tinnitus, I must assess Dr. David's opinion and make a conclusion about causation. As noted in </w:t>
      </w:r>
      <w:r>
        <w:rPr>
          <w:rFonts w:ascii="arial" w:eastAsia="arial" w:hAnsi="arial" w:cs="arial"/>
          <w:i/>
          <w:color w:val="000000"/>
          <w:sz w:val="20"/>
          <w:lang w:val="en-US" w:eastAsia="en-US" w:bidi="ar-SA"/>
        </w:rPr>
        <w:t>Shannahan v. Fraser Health Authority</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2010 BCSC 144</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the plaintiff had produced evidence that certain aspects of his care by FHA employees fell below the applicable standard of care, he has failed to address a further essential element of a successful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action--the requirement of proving causation. The plaintiff must establish that a breach of the standard of care caused or materially contributed to the loss suffered. Causation need not be established at the level of scientific proof or 100 percent certainty, but the plaintiff still has the burden of adducing sufficient evidence to prove causation on a balance of probabilities: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I understand the legal test, it is not enough for Mr. Pausch to persuade me that he has tinnitus and Mr. Curry did not do an adequate check to ensure the headsets were properly placed; he must also prove on a balance of probabilities that the failure to check caused or materially contributed to the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David concluded it was more likely than not the 2008 Scan was a cause of the tinnitus because of his interpretation of the audiograms and the immediate onset of symptoms after the MRI scan. However, Dr. David also testified that each individual's susceptibility to noise is different. Importantly, he confirmed that it is possible that someone could have their hearing damaged during an MRI even if hearing protection was properly placed and free of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have raised valid questions about Dr. David's choice of pre-scan audiogram which justifies lower weight being attached to his conclusions. When combined with my finding about Mr. Pausch's impaired credibility and the possibility for an MRI to damage some individuals hearing absent of problems with hearing protection, I conclude that the plaintiff has failed to prove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For all these reasons, I dismiss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parties requested additional time to provide submissions on costs. They have until January 30, 2015 to submit written submissions no longer than five pages addressing costs. Given the intervening holiday period, I leave it to counsel to work out a reasonable schedule for exchanging between them their submissions before they are submitted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Rai v. Fowler, [2007] B.C.J. No. 2490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27-31,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M045093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2490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1678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153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Kuldeep Rai, Plaintiff, and David Anthony Fowler and David Robert Fowler,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2"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Determination of liability in personal action resulting from motor vehicle accident — Plaintiff's vehicle was rear-ended by defendant's vehicle — Defendant argued that plaintiff's vehicle suddenly veered from slow lane directly in front of defendant's vehicle and then braked suddenly — Plaintiff 70 per cent liable -- plaintiff cut in front of defendant's vehicle — Defendant aware of need for particular caution prior to accident and should have taken at least some available measures to avoid possible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in personal action resulting from motor vehicle accident -- Plaintiff's vehicle was rear-ended by defendant's vehicle -- Defendant argued that plaintiff's vehicle suddenly veered from slow lane directly across or into fast lane in which defendant was starting to pass her, and then braked, and he therefore could not possibly have avoided the collision -- Plaintiff denied veering into defendant's lane and that she was traveling in that lane for some time prior to accident -- HELD: Plaintiff 70 per cent liable -- Court accepted defendant's evidence that plaintiff cut in front of defendant's vehicle immediately before collision -- Plaintiff's action in suddenly switching lanes in front of defendant, before braking, was unreasonable and in breach of her duty of care toward defendant -- No reasonable explanation for plaintiff's sudden braking in fast lane -- In braking in fast lane plaintiff was continuing a pattern of erratic driving, and either misjudged need to reduce speed for traffic or executed the manoeuvre incompetently -- Defendant aware that plaintiff's vehicle was moving irrationally or erratically before accident and was aware of need for particular caution -- Defendant ought reasonably to have anticipated that plaintiff's vehicle would engage in further erratic movement, and before moving forward to pass it he should have taken at least some available measures to avoid possible collision, such as sounding his horn in warning, or waiting for longer than he did to be confident that plaintiff's vehicle was truly settled into its lane of travel and driving rationally and responsibly.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 w:name="Counsel_5"/>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Stanley 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Mark A. McDonald.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4"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H.J. HOLMES J. (orally)"/>
            <w:bookmarkEnd w:id="43"/>
            <w:r>
              <w:rPr>
                <w:rFonts w:ascii="arial" w:eastAsia="arial" w:hAnsi="arial" w:cs="arial"/>
                <w:b/>
                <w:color w:val="000000"/>
                <w:sz w:val="30"/>
                <w:lang w:val="en-US" w:eastAsia="en-US" w:bidi="ar-SA"/>
              </w:rPr>
              <w:t>H.J. HOLMES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Kuldeep Rai was driving three children westbound on Highway #1 nearly three kilometres west of the Mount Lehman overpass when her Mitsubishi sedan was struck from behind by the large Dodge pick-up driven by David Fowler, that was pulling a heavily-laden trailer. The vehicles were travelling at some speed, and Ms. Rai's vehicle was sent in a trajectory across the wide median, coming to rest not far from the eastbound lanes of the freeway. Although the rear of her vehicle was forced into the back seat passenger area, fortunately there is no indication that any of the children were seriously injured. Ms. Rai's own injuries, which she alleges as chronic pain from soft tissue damage, are the source of her claims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reasons relating to scheduling and the unavailability of a key witness as to Ms. Rai's injuries, the parties ask for a determination of their respective liability for the accident, before they complete the evidence and their submissions concerning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common ground that, absent unusual circumstances, liability for a rear-end collision generally falls to the vehicle following. Mr. Fowler says that extraordinary circumstances existed here, because Ms Rai's vehicle suddenly veered from the slow lane directly across or into the fast lane in which Mr. Fowler was starting to pass her, and then braked, and he therefore could not possibly have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Rai denies that her vehicle veered into or across the fast lane in front of Mr. Fowler. She agrees that she braked in the fast lane in front of Mr. Fowler immediately before the accident, but says that she had been driving in that lane over the course of the several preceding kilometres, and that she braked and slowed only because the line of cars in front of her also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for determination are therefore these: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as Mr. Fowler contends, Ms. Rai's vehicle suddenly veered in front of his vehicle before braking,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Ms. Rai's vehicle did suddenly veer in front of Mr. Fowler's vehicle and brake, whether and to what extent Mr. Fowler ought reasonably to have anticipated those or similar manoeuvres and adjusted his own driving to avoid a possible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DID MS. RAI'S VEHICLE SUDDENLY VEER IN FRONT OF MR. FOWLER'S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took place at or immediately before a roadway across the median that allows emergency vehicles only to make u-turns across the freeway. The defence contended in the trial that Ms. Rai suddenly determined to use that roadway to make a u-turn, likely because she had inadvertently missed the exit that would have taken her to the children's school. The accident took place at about 8:15 a.m. on September 14, 2004, and it was common ground that Ms. Rai was driving her daughter and two nieces to their two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Rai rejected the defence suggestion that she tried or intended to make a u-turn on the roadway across the median, and abundant evidence supported her position on this matter. Ms. Rai provided considerable and persuasive detail about her intention to first deliver the wallet that her husband had forgotten to take to work, and then to take the children to school. Despite extensive cross-examination, her account of her intended route (which might have included meeting her husband at a mid-point if she could reach him by cell phone) was convincing. The logic of her intended route, as she described it, was borne out by the evidence of both Mr. Rai and his employer or co-worker Barry Harding as to the distances and travel times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therefore do not accept the suggestion that Ms. Rai intended or tried to make a u-turn by way of the roadway across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Fowler testified that for some time before the accident, Ms. Rai's vehicle travelled in the slow lane but wandered toward and sometimes into the fast lane, as if the driver were distracted. He testified that once the Rai vehicle appeared to have settled in the slow lane, he began to pass it. It was at that point that it suddenly veered from the slow lane into and across the fast lane in front of him, in what he took to be an attempt to take the u-turn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reasons that follow, I find that even though Ms. Rai did not intend or attempt to take the u-turn roadway, she did cut quickly in front of Mr. Fowler's vehicle as he described. In short, I accept Mr. Fowler's evidence as corroborated by the evidence of an independent witness, Gordon Gladish, and I do not rely on Ms. Rai's evidence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have briefly described Mr. Fowler's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independent witness, Mr. Gladish, is a commercial truck driver of more than 20 years' experience, who was following Mr. Fowler's vehicle and trailer at the time of the accident. Mr. Gladish testified that a little car made an abrupt turn from the right lane into the left lane in front of the Fowler truck, and that Mr. Fowler had no real choice but to brake and to collide with the little car. He testified that the little car came across the road "incredibly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Gladish, like Mr. Fowler, assumed that the Rai vehicle was headed toward the u-turn roadway, and I have found that it was not. However, that finding does not affect the quality or reliability of the observations of Mr. Gladish and Mr. Fowler as to the Rai's vehicle's actual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suggested that Mr. Gladish was not able to confirm that the little vehicle that turned abruptly in front of Mr. Fowler's vehicle was the same vehicle (Ms. Rai's) as was hit by Mr. Fowler's vehicle and sent, in Mr. Gladish's words, "careening off into the weeds". Mr. Gladish, in his raised position in his truck, had an excellent view, but fairly conceded that he could not at all times see directly in front of the Fowler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unrealistic the suggestion that two small vehicles may have been involved, one suddenly and dangerously cutting in front of Mr. Fowler and the other, Ms. Rai's vehicle, braking, starting to resume speed, and being hit from behind by Mr. Fowler. It was not suggested to Mr. Fowler that two such vehicles may have existed, and his account of the events clearly suggested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Rai denied changing lanes rapidly in front of Mr. Fowler, or, earlier, wandering within the slow lane toward or over the dividing line between the lanes. She maintained that for the preceding approximately three kilometres, she drove in the left (fast) lane, and did not change lanes. However, I am unable to accept Ms. Rai's evidence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Rai provided relatively little detail about her driving immediately before the accident, and some of the detail she did provide does not appear reliable. For example, it was Ms. Rai's firm evidence that as she braked for the traffic she turned her steering wheel to the left (so as to see what was causing the traffic to slow); she testified that she slowed from about 80 kilometres per hour to about 30-40 kilometres per hour, before beginning to once again resume speed, never in that sequence coming to a stop. She resisted the implicit suggestion in cross examination that she must at some point before the accident have straightened the steering wheel. Clearly, Ms. Rai is mistaken as to the particular driving actions she took or as to their sequence or duration, because by her account on its face, her vehicle would have driven in a left-ward arc off the highway, if not a circle,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making this observation, I give little weight to Ms. Rai's agreement, under cross examination, that she turned her steering wheel to "ten o'clock", when she attempted to see what was causing the traffic ahead of her to slow. Her demeanour and her response to the cross-examination on this point indicated that she did not fully understand the references to positioning by reference to the hours on the clock.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Rai had little if any recollection or explanation of certain other matters that one would expect to feature in her memory, such as how far to the left of the roadway her vehicle was positioned when it was hit. She agreed that it was toward the yellow line at the side of the road, possibly across it and on the rumble strip; however, her evidence varied on this point. The driver of a vehicle travelling at least 30-40 kilometres per hour would almost inevitably be aware if her vehicle were travelling on a rumble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Rai had difficulty answering questions about the details of her driving immediately before the accident, without reverting to the beginning of her full account of the events; she tended to repeat that account always in similar language. This gave the impression that her memory of the events immediately before the accident is consciously or unconsciously rehearsed, and may therefore be limited or revised.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Cope submits that aspects of Ms. Rai's testimony are corroborated by the evidence of Ramandeep Rai - notably that Ms. Rai braked before the accident -- but I am unable to agree. Ramandeep Rai, Ms. Rai's niece, was the eldest child in Ms. Rai's vehicle at 11 years of age; she was 14 when she gave her evidence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Ramandeep Rai undoubtedly attempted to testify truthfully and accurately, her evidence provided no assistance. Her account of the accident was both confused and confusing, I find likely as a result of all of her limited observations at the time (when she was considerably shorter and could not see over the dash of the vehicle), her lapse or unconscious revision of memories, and her difficulties, as a young person, with the oral articulation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Each side relied in part on the written report and oral testimony of professional engineers, specialists in accident reconstruction. In brief, it was the opinion of the defence expert that at the time of impact the Rai vehicle was positioned with its left rear corner about 57 cm onto the shoulder of the fast lane, and its left front corner yet further onto the shoulder, a short distance before the u-turn road; this evidence would tend to indicate that Ms. Rai was turning toward the left immediately before the collision, likely heading for the u-turn road. The expert retained by Ms. Rai to critique the report of the defence expert came to the contrary opinion that at the time of the collision both vehicles were facing straight ahead, although Ms. Rai's vehicle was positioned further to the left on the road than was Mr. Fowler's.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feel I must explain why I do not find the expert evidence to be helpful. The defence expert is evidently a highly-regarded and experienced professional. I can only assume that in giving his testimony in this trial he had an "off day" of some sort that caused him to forget his responsibility to assist the court, rather than to act as an advocate. His attitude (which included sarcasm) not only left me unable to conclude that he approached the matter with an open mind, but also interfered with the content of his evidence: in several instances he simply dismissed as ridiculous what appeared to me to be reasonable suggestions put to him in cross-examination, and thus in those areas failed to fully explain the foundation for areas of his opinion that were challenged or were contradicted by the opposing expert evidence. Findings of fact in these disputed areas would thus lack a full evidentiary basis, and in my view cannot reliably be made. This is all the more the case because of the facts that both experts based their opinions on the documentary reports and photographs of the accident scene and the vehicle damage (and not on first-hand examination of the scene or the vehicles), and, to a lesser extent, that the defence expert based his opinion in part on an assumption that skid marks on the roadway were left by the Fowler vehicle, and this was not proven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all these reasons, on the basis of the oral testimony of the witnesses to the events, I find that Ms. Rai's vehicle veered suddenly from the slow lane into the fast lane in which Mr. Fowler was starting to pass her, immediately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WAS MR. FOWLER NEGLIGENT IN FAILING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question then is whether in all the circumstances, Mr. Fowler was negligent if failing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Ms. Rai bears the burden of proving that Mr. Fowler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on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driver of a following vehicle bears a duty to drive at a distance from the leading vehicle that allows reasonably for the speed, the traffic, and the conditions. This duty is expressly set out in the British Columbia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162(1) 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duty requires the driver of a following vehicle to allow safely for emergencies that may arise, as Baker J. explained in </w:t>
      </w:r>
      <w:r>
        <w:rPr>
          <w:rFonts w:ascii="arial" w:eastAsia="arial" w:hAnsi="arial" w:cs="arial"/>
          <w:b/>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operator of a motor vehicle, following other vehicles, should keep his vehicle under sufficient control at all times to be able to deal with an emergency such as the sudden stopping of a vehicle in the line of vehicles ahead and the telescope effect that results, as each successive driver attempts to bring his or her vehicle to a 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that case, the plaintiff, in the following vehicle, alleged that the defendant in the lead vehicle caused the collision by stopping abruptly and in breach of his duties to drive reasonably, as described by the statutory duties set out above. Baker J. disagreed. It was not a case "where a [leading] driver has stopped unexpectedly and for no good reason"; rather, the stop-and-start line of traffic made sudden stops neither unexpected nor unjustified (para. 22). The ordinary rule therefore prevailed, and the plaintiff, in the following vehicle, was entirely at fault for the rear-end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Cope submits that when she braked in front of Mr. Fowler, Ms. Rai similarly reacted reasonably and predictably to the slowing of the traffic ahead of her. He submits that even if Ms. Rai's driving was irrational or erratic -- and I find that her abrupt lane change in front of Mr. Fowler was both -- Mr. Fowler failed to safely accommodate the risk she thus created, as he was required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Cope relies in this regard on the reasons of Madam Justice Kirkpatrick (then of this court) in </w:t>
      </w:r>
      <w:r>
        <w:rPr>
          <w:rFonts w:ascii="arial" w:eastAsia="arial" w:hAnsi="arial" w:cs="arial"/>
          <w:b/>
          <w:i/>
          <w:color w:val="000000"/>
          <w:sz w:val="20"/>
          <w:lang w:val="en-US" w:eastAsia="en-US" w:bidi="ar-SA"/>
        </w:rPr>
        <w:t>Stanowski v. Sammat</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[1993] B.C.J. No. 1455</w:t>
        </w:r>
      </w:hyperlink>
      <w:r>
        <w:rPr>
          <w:rFonts w:ascii="arial" w:eastAsia="arial" w:hAnsi="arial" w:cs="arial"/>
          <w:color w:val="000000"/>
          <w:sz w:val="20"/>
          <w:lang w:val="en-US" w:eastAsia="en-US" w:bidi="ar-SA"/>
        </w:rPr>
        <w:t xml:space="preserve"> (S.C.) at para. 29, where she assigned 10% liability to the plaintiff, who, driving on the Lougheed Highway, failed to fully anticipate and accommodate for the defendant's actions in driving onto the highway from a vegetable stand and executing a u-turn in front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requires that a driver pay due care and attention to other vehicles on the road. It even extends to what one might characterize as erratic or irrational manoeuvres by other drivers. Here, Mr. Stanowski had a clear view of the road with which he was familiar. He was aware that cars stopped at the vegetable stand. It is not outside the realm of possibility that a car might make a U-turn from the vegetable stand. Driving with due care and attention assumes that one must be on the lookout for unexpected manoeuvres by other drivers. The burden imposed upon drivers is reasonably high. Mr. Stanowski was travelling in wet weather on a road where he could be reasonably expected to encounter other drivers moving onto the highway in unexpected ways. Had he reduced the speed at which he was travelling when he first saw the defendant's car, he might have avoided the collision.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Tucker (Public Trustee of) v. Asleson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at 195-6, Madam Justice Southin noted that drivers are entitled to assume that other drivers will obey the rules of the road, and are required to anticipate, in other drivers, "only those follies which according to the teachings of experience commonly occur". By implication, and as explained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from which Southin J.A. quoted, a driver may bear liability if he or she became aware of another driver's disregard of the law, or by the exercise of reasonable care should have become aware, and unreasonably failed to avoid the accident that followed from that disregard.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Rai's action in suddenly switching lanes in front of Mr. Fowler, before braking, was unreasonable and in breach of her duty of care toward Mr. Fowler. There appears to be no rational explanation for Ms. Rai's sudden swerve into the fast lane in front of Mr. Fowler, or, I find, for her sudden braking in that lane. I am not persuaded that traffic in that lane had suddenly braked such that Ms. Rai was in turn required to brake. More likely, I find, is that in braking in the fast lane Ms. Rai was continuing a pattern of erratic driving, and either misjudged the need to reduce speed for the traffic or executed the manoeuvre incompetently. In either event, she paid no regard to the fact that her vehicle had cut in front of Mr. Fowler's and left him insufficient space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same time, Mr. Fowler, by his own account of the events, was aware that Ms. Rai's vehicle was moving irrationally or erratically before the accident. As I noted earlier, he testified that it moved within or between lanes as the driver were distracted, and that it was only when vehicle appeared to be well-settled in the slow lane that he decided to pass it. In these circumstances, he was aware of the need for particular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Nonetheless, Mr. Fowler maintained a high speed. He estimated that when he began to pass the Rai vehicle he was travelling at about 60-80 kph. However, I find more reliable Mr. Gladish's estimate that his own and Mr. Fowler's vehicle, which he followed, travelled at a consistent speed of about 105 kph. The posted speed was 100 kph. Mr. Fowler gave no reason for driving at less than the posted speed in the fast lane, and I find it likely that he drove at the speed Mr. Gladish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traffic was heavy enough that, by Mr. Gladish's assessment, it was fortunate (and a credit to Mr. Fowler's decision to brake rather than to swerve to avoid the Rai vehicle) that other vehicles were not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Mr. Fowler ought reasonably to have exercised more caution than he did before passing the Rai vehicle, which immediately before, was clearly travelling in an erratic and unsafe fashion. The vehicles were travelling at a high speed in reasonably heavy traffic. In all the circumstances, Mr. Fowler ought reasonably to have anticipated that the Rai vehicle would engage in further erratic movement, and before moving forward to pass it he should have taken at least some of the available measures to avoid possible collision, such as sounding his horn in warning, or waiting for longer than he did to be confident that the Rai vehicle was truly settled into its lane of travel and driving rationally and responsibly.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all the circumstances, I apportion 30% liability for the accident to Mr. Fowler, and 70% liability to Ms. 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Those are my reasons as to liability. Is there any clarification required and what should the next steps be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COPE: None at this point. I'm sure that my friend and I will get back to you if more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McDONALD: Should we address costs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COPE: Well, costs are in accordance with section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is it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I'm not sure that I can address costs knowing that - well, without knowing whether I'm to go on and address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McDONALD: Well, I think it's left to my friend and I now to talk and see what we can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COPE: Let us apply our minds to what we've been given to date and let us come back. I'm sure we're going to have to come back for some time, it won't be more than half a day or a day, but there's issues that arise here that -- in terms of talking about costs I will certainly want to raise the issue about the expert's costs because these are costs that were forced - I'm talking about the -- Mr. Brown, these are costs that were forced upon the defendant - pardon me, upon the plaintiff because it was in response 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I understand where you're going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COPE: Yeah, so apart from that I can't see any problems. And I would begin with my friend on this basis, once we deal with the issue of quantum that section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applies like my client gets 30 percent of her costs, he gets 70 percent of his costs and the set off is there. That's the way I'm expecting things to unfold.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McDONALD: Well, I'll be talking to my friend about that.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COPE: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All right.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Roeder v. Chamberlain, [2008] B.C.J. No. 893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167 A.C.W.S. (3d) 695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Roeder, Larry Mashburn, James Mashburn and William Gordon Buchanan, Plaintiffs, and Andrew Chamberlain and Davies and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 xml:space="preserve">Conflict of laws — Jurisdiction — Domestic issues (between Canadian jurisdictions) — Determination of — Real and substantial connection — Motion by plaintiff, a US resident, for leave to serve claim on defendant in Alberta — Motion by defendant, an Alberta lawyer, to stay action for lack of jurisdiction — Plaintiff sued defendant for breach of retainer agreement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Lawyer consent to escrow agent releasing plaintiff's shares in British Columbia company to purchaser in British Columbia without obtaining required Stock Exchange approval — Plaintiff's motion allowed — Defendant's motion dismissed — Real and substantial connection between the facts in this proceeding and British Columbia — Alleged tort was committed in British Columbia.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6"/>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for leave to serve the claim on the defendant in Alberta. Motion by the defendant to stay the action for lack of jurisdiction. The plaintiff, a US resident, sued the defendant, an Alberta lawyer, for breach of his retainer agreement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sale of the plaintiff's shares in a British Columbia company. The defendant consented to the shares being deliver to the purchaser by the escrow agent without the approval of the Stock Exchange, a term of the share purchase agreement. The defendant submitted that as this proceeding was between a non-resident plaintiff and a non-resident defendant and concerned an alleged wrongful act that occurred in Alberta, the pleadings did not allege facts sufficient to establish territorial competence.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5"/>
            <w:bookmarkEnd w:id="46"/>
            <w:r>
              <w:rPr>
                <w:rFonts w:ascii="arial" w:eastAsia="arial" w:hAnsi="arial" w:cs="arial"/>
                <w:color w:val="000000"/>
                <w:sz w:val="20"/>
                <w:lang w:val="en-US" w:eastAsia="en-US" w:bidi="ar-SA"/>
              </w:rPr>
              <w:t>HELD: Plaintiff's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motion dismissed. There was a real and substantial connection between the facts in this proceeding and British Columbia, and that the alleged tort was committed in British Columbia. The defendant's consent to release the shares was communicated by telephone to the escrow agent in Vancouver. The breach of the standard of care was committed once the erroneous advice had been communicated. Because it was received and acted upon by the agent in British Columbia, the alleged negligent act occurred in British Columbia. All or most of the contractual obligations of the parties to the share purchase agreement were to be performed in British Columbia. The retainer was governed by the law of British Columbia because its subject matter was so governed. The damage was sustained in British Columbia. The plaintiff's connection to British Columbia arose through his brokerage account in Vancouver that received the proceeds of sale of his shares. The defendant failed to establish that Alberta was a more appropriate forum. There was no basis on which to decline jurisdiction.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2"/>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Jurisdiction and Proceedings Transfer Act, </w:t>
      </w:r>
      <w:hyperlink r:id="rId114" w:history="1">
        <w:r>
          <w:rPr>
            <w:rFonts w:ascii="arial" w:eastAsia="arial" w:hAnsi="arial" w:cs="arial"/>
            <w:i/>
            <w:color w:val="0077CC"/>
            <w:sz w:val="20"/>
            <w:u w:val="single"/>
            <w:shd w:val="clear" w:color="auto" w:fill="FFFFFF"/>
            <w:lang w:val="en-US" w:eastAsia="en-US" w:bidi="ar-SA"/>
          </w:rPr>
          <w:t>S.B.C. 2003, c. 28, s. 3</w:t>
        </w:r>
      </w:hyperlink>
      <w:r>
        <w:rPr>
          <w:rFonts w:ascii="arial" w:eastAsia="arial" w:hAnsi="arial" w:cs="arial"/>
          <w:color w:val="000000"/>
          <w:sz w:val="20"/>
          <w:lang w:val="en-US" w:eastAsia="en-US" w:bidi="ar-SA"/>
        </w:rPr>
        <w:t>, s. 10, s. 10(e), s. 10(g), s. 11, Rules of Court Rule 14(6.3)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John H. Frank.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Craig A.B. Ferris.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59"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A.W. MacKENZIE J."/>
            <w:bookmarkEnd w:id="50"/>
            <w:r>
              <w:rPr>
                <w:rFonts w:ascii="arial" w:eastAsia="arial" w:hAnsi="arial" w:cs="arial"/>
                <w:b/>
                <w:color w:val="000000"/>
                <w:sz w:val="30"/>
                <w:lang w:val="en-US" w:eastAsia="en-US" w:bidi="ar-SA"/>
              </w:rPr>
              <w:t>A.W.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John Roeder, claims damages against the defendant, Andrew Chamberlain, an Alberta lawyer, for breach of his retainer agreement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sale of shares in Keywest Resources Ltd. ("Keywest"), a British Columbia incorporated company that traded on the Vancouver Stock Exchange (the "VSE"). The allegations arise from Mr. Chamberlain giving his consent to the trustee in Vancouver to deliver the free trading shares of Keywest, and the accompanying control documents to the purchaser, Mr. Pinchin, contrary to the terms of the share purchase agreement (the "SPA") which required, as a condition precedent, the approval of the VSE.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other defendant in this action, Davies &amp; Company, was a law firm that has since disbanded, and the only plaintiff with any interest in the action is Mr. Roeder. Therefore, when I refer to the "plaintiff" I mean Mr. Roeder, and by the "defendant" I mean Mr. Chamberlain.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applications before the Court: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applies pursuant to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for leave to serve the writ of summons and amended statement of claim on the defendant in Edmonton, Alberta;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applies under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for an order dismissing or staying this proceeding on the ground that the writ of summons and amended statement of claim do not allege facts which, if true, would establish that the Court has jurisdiction over the defendant, or, on the ground that the Court does not have jurisdiction over the defendant for the claim in this proceeding; or staying it on the ground that the Court ought to decline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agreed to my direction under Rule 14(6.3) that counsel for the defendant could appear without the defendant officially attorning to the Court's jurisdiction, given the 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issues are whether, under ss. 10(e) and (g)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or on application of common law factors, there is a real and substantial connection between British Columbia and the facts on which the proceeding is based so as to give this Court territorial competence under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this Court has territorial competence, should it decline jurisdiction pursuant to s.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on the ground that a court of another state is a more appropriate forum to hear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lives in Boise, Idaho. He orally retained the defendant to act as counsel in the transfer of the plaintiff's control interest in Keywest, consisting of 701,150 free trading shares, 1,088,850 escrow shares and directors' resignations, to the purchaser Mr. Pinchin, pursuant to the SPA and appointment of trustee agreement, both in writing and dated April 29,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Under the SPA, it was a condition precedent to the transfer of 276,150 of the free trading shares, the escrow shares and the directors' resignations (the "Control Documents") that the prior approval of the VSE to this change in control would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relevant clauses of the SPA are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will follow the terms of the trust arrangement agreed upon between the Vendors and the Purchaser in respect of the delivery to the Purchaser of all or a part of the shares and the documents referred to in Clause 2. The trust arrangements will require that the Purchaser make arrangements for payment of the Purchase Price in instalments. The instalments will be paid against delivery of a portion of the Free-Trading Shares, which for the purposes of this Agreement, will be referred to as the "Working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0"/>
        <w:gridCol w:w="16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of</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Free-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Payment</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Trading</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Shares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Payment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046"/>
        <w:gridCol w:w="1987"/>
        <w:gridCol w:w="941"/>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Commencement</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Instalment)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5, 1993)</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1255"/>
        <w:gridCol w:w="1882"/>
        <w:gridCol w:w="941"/>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30, 1993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(Second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Instalment)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8"/>
        <w:gridCol w:w="1359"/>
        <w:gridCol w:w="1882"/>
        <w:gridCol w:w="941"/>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31,</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Instalment)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150"/>
        <w:gridCol w:w="1882"/>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425,000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date that the Third Instalment is to be paid will be referred to as the "Closing Date".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Clause 7, at such time as the Trustee has received each of the instalments described in Clause 4 above, the Trustee will cause the number of Working Shares for which payment is received to be delivered to the direction of the Purchaser (together with Stock Powers of Attorney, if required). The Purchaser may make an instalment payment in an amount greater than the minimum payment indicated, and he may accelerate the payment dates, in which case appropriate adjustments will be made as to the number of Working Shares to be delivered, on the basis of $2.00 for each Working Share paid for. Upon delivery of any of the Working Shares to the Purchaser, the Trustee shall release that portion of the Purchase Price for which such Shares are delivered, to the direction of the Vendors.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Closing Date, and provided the Purchase Price has been paid in full, the Trustee will deliver to the direction of the Purchaser, the remaining Free-Trading Shares they then hold (being 276,150 shares), and all of the remaining documents referred to in Clause 2 (stock powers of attorney and documents to effect transfer of the Escrow shares,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obligations to complete the transaction hereby contemplated shall be subject to the following conditions precedents: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Company receive shareholder approval if required to the change of control;</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Company receive shareholder approval if required, to the disposition of all or substantially all of the Company's assets;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Company receive shareholder approval if required, to the reallocation of funds raised by the Company pursuant to its Prospectus Offering;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Agreement and the transactions described in Paragraph 10(a), (b), and (c) receive the approval of regulatory authorities of the Company including but not limited to the Vancouver Stock Exchange which approval shall be approved not later than August 30, 1993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conditions set forth in this Clause except those that may require shareholder and regulatory authorities [sic] approval are for the exclusive benefit of the Purchaser and the Purchaser may waive any of the said conditions at any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any other provision of this Agreement, </w:t>
      </w:r>
      <w:r>
        <w:rPr>
          <w:rFonts w:ascii="arial" w:eastAsia="arial" w:hAnsi="arial" w:cs="arial"/>
          <w:color w:val="000000"/>
          <w:sz w:val="20"/>
          <w:u w:val="single"/>
          <w:lang w:val="en-US" w:eastAsia="en-US" w:bidi="ar-SA"/>
        </w:rPr>
        <w:t>this Agreement will terminate: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event any of the condition precedents described herein in Clause 10 have not been satisfied and provided the Purchaser has not waived any of the said conditions that may be waived;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the Purchaser does not pay the Third Instalment to the Trustee on the required date provided the Closing Date is not extended;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Purchaser does not complete the First and Second Instalments on the dates set out hereinbefore, then in such event, the Vendor shall have the option to terminate the Agreement;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event shareholder approval, if required, and regulatory authorities [sic] approval that the transaction herein contemplated is not obtained by the Closing Date, provided the Closing Date is not extended;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event of a termination of this Agreement, all of the shares and documents then held by the Trustee and not otherwise released to the Purchaser shall be returned to the Vendors</w:t>
      </w:r>
      <w:r>
        <w:rPr>
          <w:rFonts w:ascii="arial" w:eastAsia="arial" w:hAnsi="arial" w:cs="arial"/>
          <w:color w:val="000000"/>
          <w:sz w:val="20"/>
          <w:lang w:val="en-US" w:eastAsia="en-US" w:bidi="ar-SA"/>
        </w:rPr>
        <w:t xml:space="preserve"> and any of the Purchase Price instalments which may then be held by the Trustee and not yet paid to the Vendors shall be returned to the Purchaser, neither the Vendors or the Purchaser shall have any claim against the other in respect of any matter arising from and during the term of Agreement.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notices, payments and other required communications (herein collectively called the "Notices") to the parties hereto shall be delivered in person, by telax, telegraph or other electronic communications or by double-registered mail to each party at the following address: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 throughout]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Central to the plaintiff's claim against the defendant is that on June 15, 1993, B.C. lawyer Robin Blues, acting as escrow agent for the Control Documents in Vancouver, telephoned the defendant in Edmonton to request his consent to deliver the Control Documents to the purchaser. Although this request for delivery was contrary to the express terms of the SPA that required VSE approval, the defendant consented to the delivery. Thus, the defendant's act of giving consent to Mr. Blues gives rise to the allegation that the defendant breached the retainer agreement and his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receiving the defendant's consent, Mr. Blues delivered the Control Documents, including the 276,150 free trading shares, to the purchaser, as follows:</w:t>
      </w:r>
      <w:r>
        <w:rPr>
          <w:rFonts w:ascii="arial" w:eastAsia="arial" w:hAnsi="arial" w:cs="arial"/>
          <w:sz w:val="20"/>
          <w:lang w:val="en-US" w:eastAsia="en-US" w:bidi="ar-SA"/>
        </w:rPr>
        <w:cr/>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140,000 of those shares were delivered by way of a transfer from the trustee's stock trust account located at the offices of Yorkton Securities Inc. in Vancouver to accounts in the name, or under the control of the purchaser, Mr. Pinchin, also at the offices of Yorkton in Vancouver; and</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shares and documents were picked up by Mr. Pinchin at the offices of the trustee in Vancouver and, with respect to the shares only, placed in a brokerage account at Pacific International Securities Ltd.,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shares remain at these brokerage houses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Under the plaintiff's instructions, the defendant wrote a letter dated August 5, 1993 requesting that the trustee retrieve the Control Documents from the purchaser, but the trustee was unable to retrieve the shares, or the other Control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 unauthorized change in control of Keywest came to the attention of the British Columbia Securities Commission (the "Commission"), it issued a freeze order on July 12, 1993 over Keywest's assets. On July 19, 1993, a cease trade order was issued over Keywest's shares. It was a temporary order, but it was confirmed on April 4, 1995. It remains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and lawyer Mr. Baconyi appeared for Keywest at the hearing to seek a review of the Commission's decision not to rescind the cease trade order. The defendant made all 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Commission brought regulatory enforcement proceedings against Keywest and its directors, including the plaintiff and Mr. Pinchin, who received regulatory sanctions.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To explain some of the history here, in April 2003, the plaintiff's action in this Court against escrow agent Mr. Blues was tried by Pitfield J., who found that Mr. Blues had breached the SPA by delivering the Control Documents to Mr. Pinchin without VSE approval, but that Mr. Chamberlain's "concurrence" or acquiescence in the breach, combined with the delay of Mr. Chamberlain and the plaintiff in pursuing a remedy, barred the plaintiff from seeking a remedy: </w:t>
      </w:r>
      <w:r>
        <w:rPr>
          <w:rFonts w:ascii="arial" w:eastAsia="arial" w:hAnsi="arial" w:cs="arial"/>
          <w:b/>
          <w:i/>
          <w:color w:val="000000"/>
          <w:sz w:val="20"/>
          <w:lang w:val="en-US" w:eastAsia="en-US" w:bidi="ar-SA"/>
        </w:rPr>
        <w:t>Roeder v. Morton &amp; Company</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2003 BCSC 1259</w:t>
        </w:r>
      </w:hyperlink>
      <w:r>
        <w:rPr>
          <w:rFonts w:ascii="arial" w:eastAsia="arial" w:hAnsi="arial" w:cs="arial"/>
          <w:color w:val="000000"/>
          <w:sz w:val="20"/>
          <w:lang w:val="en-US" w:eastAsia="en-US" w:bidi="ar-SA"/>
        </w:rPr>
        <w:t xml:space="preserve">. At the appeal, on the issue whether the trial judge ought to have found that Mr. Blues relied on Mr. Chamberlain's consent, Finch C.J. for the court, found that Mr. Chamberlain "induced" Mr. Blues to release the Control Documents to Mr. Pinchin without VSE approval: </w:t>
      </w:r>
      <w:r>
        <w:rPr>
          <w:rFonts w:ascii="arial" w:eastAsia="arial" w:hAnsi="arial" w:cs="arial"/>
          <w:b/>
          <w:i/>
          <w:color w:val="000000"/>
          <w:sz w:val="20"/>
          <w:lang w:val="en-US" w:eastAsia="en-US" w:bidi="ar-SA"/>
        </w:rPr>
        <w:t>Roeder v. Blues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2004 BCCA 649</w:t>
        </w:r>
      </w:hyperlink>
      <w:r>
        <w:rPr>
          <w:rFonts w:ascii="arial" w:eastAsia="arial" w:hAnsi="arial" w:cs="arial"/>
          <w:color w:val="000000"/>
          <w:sz w:val="20"/>
          <w:lang w:val="en-US" w:eastAsia="en-US" w:bidi="ar-SA"/>
        </w:rPr>
        <w:t>. Mr. Chamberlain was not a party to those proceedings, but was subpoenaed as a witness. Obviously, a court hearing the within action would find its own facts based on the evidence before it, but the litigation history partly explains the age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no other proceedings in any jurisdiction regarding the performance of the defendant's legal services under this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codifies a number of jurisdictional factors. The Court will have jurisdiction if there is a "real and substantial connection" between British Columbia and the facts on which the action is based. The sections relevant to this issue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Proceedings against a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 court has territorial competence in a proceeding that is brought against a person only if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the plaintiff in another proceeding in the court to which the proceeding in question is a counterclaim,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proceeding that person submits to the court's jurisdiction,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plaintiff and that person to the effect that the court has jurisdiction in the proceeding,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Real and substantial connection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contractual obligations,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obligations, to a substantial extent, were to be performed in British Columbia,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express terms, the contract is governed by the law of British Columbia ...</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sets out certain facts that are presumed to constitute a real and substantial connection between British Columbia and the facts on which a proceeding is based. The plaintiff says this proceeding satisfies the criteria in ss. 10(e) and (g). The plaintiff also relies on other connecting factors, including that he sustained damages in British Columbia, both parties had a presence in British Columbia, and material witnesses reside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submits this Court lacks territorial competence because:</w:t>
      </w:r>
      <w:r>
        <w:rPr>
          <w:rFonts w:ascii="arial" w:eastAsia="arial" w:hAnsi="arial" w:cs="arial"/>
          <w:sz w:val="20"/>
          <w:lang w:val="en-US" w:eastAsia="en-US" w:bidi="ar-SA"/>
        </w:rPr>
        <w:cr/>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proceeding does not fall within either subsection 10(e) or (g)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so there is no presumption of a real and substantial connection;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other real and substantial connection between British Columbia and the facts on which the proceeding against Mr. Chamberlain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general, the defendant submits this proceeding is between a non-resident plaintiff and a non-resident defendant, and concerns an alleged wrongful act that occurred in Edmonton, Alberta. He submits the parties could only have had a reasonable expectation that any dispute between them would be litigated where the defendant practiced law, so this Court lacks jurisdiction or should decline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says that during the course of his retainer, he exclusively performed legal services in Edmonton. Specifically, all the telephone discussions with respect to his retainer were initiated or received in Edmonton, and all the documents were prepared, revised or reviewed in Edmonton. I observe that this submission overlooks the heart of this case; that a telephone communication from the defendant was received and acted upon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says his entire file is located in Edmonton. But he does acknowledge that pursuant to an authorization provided by Keywest, he provided a copy to plaintiff's counsel of all documents which Keywest was entitled to receive from his file. He says that at no time relevant to the cause of action did he travel to British Columbia to perform legal services under his retainer. He did, however, bill for his presence at the Commission hearings after his June 15, 1993 telephone call to Mr. Blues in which he provided his consent. The defendant responds that those Commission hearings in British Columbia were in 1994. I note that all relevant documents are now in British Columbia and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also argues that during the course of his retainer, he dealt primarily with the plaintiff who gave him instructions on behalf of Keywest mainly by telephone. The plaintiff was physically located in various jurisdictions including Alberta, Saskatchewan, Idaho and British Columbia. The defendant also met with the plaintiff in Edmonton regarding this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to the defendant's position that there is no presumed real or substantial connection under either ss. 10(e) or (g) because he was to perform his work under the retainer agreement in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 underscores that this Court need be "very disciplined" as to what the relevant facts are in this case. He says the pleadings establish the material facts, not the "hodgepodge" of facts the plaintiff relies on. The defendant relies on </w:t>
      </w:r>
      <w:r>
        <w:rPr>
          <w:rFonts w:ascii="arial" w:eastAsia="arial" w:hAnsi="arial" w:cs="arial"/>
          <w:b/>
          <w:i/>
          <w:color w:val="000000"/>
          <w:sz w:val="20"/>
          <w:lang w:val="en-US" w:eastAsia="en-US" w:bidi="ar-SA"/>
        </w:rPr>
        <w:t>Roth v. Interlock Services Inc.</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2004 BCCA 407</w:t>
        </w:r>
      </w:hyperlink>
      <w:r>
        <w:rPr>
          <w:rFonts w:ascii="arial" w:eastAsia="arial" w:hAnsi="arial" w:cs="arial"/>
          <w:color w:val="000000"/>
          <w:sz w:val="20"/>
          <w:lang w:val="en-US" w:eastAsia="en-US" w:bidi="ar-SA"/>
        </w:rPr>
        <w:t xml:space="preserve"> where Smith J.A. for the court said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correct approach to the question of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outlined in two decisions of this Court which were pronounced the same day: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(2000), 77 B.C.L.R. (3d) 35</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2000 BCCA 404</w:t>
        </w:r>
      </w:hyperlink>
      <w:r>
        <w:rPr>
          <w:rFonts w:ascii="arial" w:eastAsia="arial" w:hAnsi="arial" w:cs="arial"/>
          <w:color w:val="000000"/>
          <w:sz w:val="20"/>
          <w:lang w:val="en-US" w:eastAsia="en-US" w:bidi="ar-SA"/>
        </w:rPr>
        <w:t xml:space="preserve"> at paras. 14-16, leave to appeal to S.C.C. refused, </w:t>
      </w:r>
      <w:hyperlink r:id="rId119" w:history="1">
        <w:r>
          <w:rPr>
            <w:rFonts w:ascii="arial" w:eastAsia="arial" w:hAnsi="arial" w:cs="arial"/>
            <w:i/>
            <w:color w:val="0077CC"/>
            <w:sz w:val="20"/>
            <w:u w:val="single"/>
            <w:shd w:val="clear" w:color="auto" w:fill="FFFFFF"/>
            <w:lang w:val="en-US" w:eastAsia="en-US" w:bidi="ar-SA"/>
          </w:rPr>
          <w:t>[2000] S.C.C.A. No. 476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AG Armeno Mines and Minerals Inc. v. PT Pukuafu Indah</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(2000), 77 B.C.L.R. (3d) 1</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2000 BCCA 405</w:t>
        </w:r>
      </w:hyperlink>
      <w:r>
        <w:rPr>
          <w:rFonts w:ascii="arial" w:eastAsia="arial" w:hAnsi="arial" w:cs="arial"/>
          <w:color w:val="000000"/>
          <w:sz w:val="20"/>
          <w:lang w:val="en-US" w:eastAsia="en-US" w:bidi="ar-SA"/>
        </w:rPr>
        <w:t xml:space="preserve"> at paras. 14, 19. The first step is to examine the plaintiff's pleading to determine whether it alleges "jurisdictional" facts sufficient to establish a real and substantial connection to the defendant or to the cause of action. Affidavit evidence of facts relevant to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admissible when the facts are not alleged in the plaintiff's pleading because they are not material facts, or when they are, are not particularized in the pleading in sufficient detail to enable determination of the issue. If those unpleaded jurisdictional facts are contentious, the plaintiff bears the burden of showing a good arguable case that they can be established. Affidavit evidence is also admissible for the purpose of demonstrating that the plaintiff's claim is tenuous and without merit. In that situation, the plaintiff must show a good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the defendant says the facts to be considered here are those in para. 27 of the amended statement of claim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breached the retainer agreement, or, in the alternative, breached their duty of care to the Plaintiffs, by consenting to the Trustee delivering the 276,150 free trading shares, stock powers of attorney and directors resignations to Mr. Pinchin. The Defendant did not attempt to recover the 276,150 free trading shares and accompanying transfer of control documents until August 5, 1993, when he requested that the Trustee retrieve these documents from Mr. Pinchin. </w:t>
      </w:r>
      <w:r>
        <w:rPr>
          <w:rFonts w:ascii="arial" w:eastAsia="arial" w:hAnsi="arial" w:cs="arial"/>
          <w:color w:val="000000"/>
          <w:sz w:val="20"/>
          <w:u w:val="single"/>
          <w:lang w:val="en-US" w:eastAsia="en-US" w:bidi="ar-SA"/>
        </w:rPr>
        <w:t>The Trustee was unable to retrieve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 says it is important to observe this is not a claim of negligent advice or negligent misrepresentation. Instead, it is a breach of a retainer agreement by the alleged act of providing consent to the trustee, or alternatively,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emphasizes that the alleged breach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narrow. He also submits the damages from the alleged wrongful act occurred in Edmonton because under clause 14 of the SPA, the shares and documents were to be returned to Edmonton in the circumstances of failure to obtain VSE approval. He acknowledges that Mr. Blues' receipt of the defendant's consent in British Columbia is an element of causation or damages, but says that British Columbia is not where the plaintiff suffered damage. According to the defendant, the events in British Columbia, including Mr. Blues' receipt of the defendant's consent, was only part of what was set in motion by the defendant's impugned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acknowledges that no rigid formula should be applied to determine the location of a tort for the purposes of a real and substantial connection analysis. However, he submits that an Alberta lawyer providing legal services to a non-British Columbia resident who has a British Columbia agent for British Columbia law purposes would not have a reasonable expectation that a legal claim against him would be brought in British Columbia. Rather, the parties must have expected a claim would be brought where the legal services were provided, in this case,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relation to the contract action, the defendant submits the contract at issue is the retainer agreement, not the SPA. He points to the amended statement of claim that alleges, "in April, 1993, the Plaintiffs entered into a retainer agreement with the Defendants to negotiate the terms and conditions of the sale of their control interest in Keywest to Tim Pinchin and to represent the Plaintiffs' interests in carrying out the terms and conditions of such sale". At paras. 26-27, the plaintiff submits "It was an implied condition of the retainer agreement ... to exercise the care and skill of a reasonably competent solicitor", and, "the Defendants breached the retainer agreement ... by consenting to the Trustee delivering the 276,150 free trading shares, stock powers of attorney and directors resignations to Mr. Pinchin". The defendant says there is no pleading that he was expected to provide legal services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recognizes that in </w:t>
      </w:r>
      <w:r>
        <w:rPr>
          <w:rFonts w:ascii="arial" w:eastAsia="arial" w:hAnsi="arial" w:cs="arial"/>
          <w:b/>
          <w:i/>
          <w:color w:val="000000"/>
          <w:sz w:val="20"/>
          <w:lang w:val="en-US" w:eastAsia="en-US" w:bidi="ar-SA"/>
        </w:rPr>
        <w:t>Moran v. Pyle National (Canada) Ltd.,</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the court said there was no inflexible rule to determine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for breach of contract. However, he argues the breach of contract referred to in the pleadings is the retainer agreement made and performed exclusively in Edmonton. The plaintiff is not and was not resident in British Columbia, and no damage occurred in British Columbia. Therefore, there is no breach of contract for services substantially to be performed in British Columbia to satisfy s. 10(e)(i)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submits that even considering common law factors as to whether there is a real and substantial connection between the facts giving rise to the claim and British Columbia, the plaintiff has failed to show a good arguable case. He submits that the claim is not for breach of the SPA but for the provision of legal services that were to be performed in Alberta; there is no connection between the defendant and British Columbia; and that an agent, Taylor, Visosky, a law firm, was retained by the defendant as an agent to do some work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 relies on eight factors the court articulated in </w:t>
      </w:r>
      <w:r>
        <w:rPr>
          <w:rFonts w:ascii="arial" w:eastAsia="arial" w:hAnsi="arial" w:cs="arial"/>
          <w:b/>
          <w:i/>
          <w:color w:val="000000"/>
          <w:sz w:val="20"/>
          <w:lang w:val="en-US" w:eastAsia="en-US" w:bidi="ar-SA"/>
        </w:rPr>
        <w:t>Muscutt v. Courcelles</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(2002), 60 O.R. (3d) 20</w:t>
        </w:r>
      </w:hyperlink>
      <w:r>
        <w:rPr>
          <w:rFonts w:ascii="arial" w:eastAsia="arial" w:hAnsi="arial" w:cs="arial"/>
          <w:color w:val="000000"/>
          <w:sz w:val="20"/>
          <w:lang w:val="en-US" w:eastAsia="en-US" w:bidi="ar-SA"/>
        </w:rPr>
        <w:t xml:space="preserve"> (Ont. C.A.) at paras. 75-110 relevant to assessing whether there is a real and substantial connection at common law. He agrees the test cannot be reduced to a fixed formula, but requires a considerable measure of judgment and flexibility. The eight factors include:</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between the forum and the plaintiff's claim. The defendant says his services were performed in Alberta;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between the forum and the defendant. The defendant submits there is no connection here, and he retained a British Columbia agent for certain British Columbia legal advice;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unfairness to the defendant in assuming jurisdiction. It would be unfair to the defendant for this Court to assume jurisdiction. He submits he expected to be measured by the standards of professional conduct in Alberta, and that this weighs heavily in his favour;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unfairness to the plaintiff in not assuming jurisdiction. The defendant submits there would be no such unfairness here;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involvement of other parties to the suit. The defendant points out there are no other parties to this proceeding;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willingness to recognize and enforce an extra-provincial judgment rendered on the same jurisdictional basis. The defendant recognizes this is not relevant to this case;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case is interprovincial or international in nature. The defendant acknowledges that while it is an interprovincial matter, no issues of comity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short, the defendant submits the pleadings do not allege facts sufficient to establish territorial competence, so this Court should dismiss the plaintiff's application to serve the writ of summons and amended statement of claim outside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relies on s. 10(e)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to submit a real and substantial connection between British Columbia and the facts is presumed because the proceeding concerns contractual obligations which were to a substantial extent to be performed in British Columbia. Additionally, by its express terms, the law of British Columbia governs the SPA the defendant was retained to negotiate and prepare. Also, the plaintiff argues the proceeding concerns a tort committed in British Columbia within the meaning of s. 10(g)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Lloyd's Underwriters v. Cominco Ltd.,</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2007 BCCA 249</w:t>
        </w:r>
      </w:hyperlink>
      <w:r>
        <w:rPr>
          <w:rFonts w:ascii="arial" w:eastAsia="arial" w:hAnsi="arial" w:cs="arial"/>
          <w:color w:val="000000"/>
          <w:sz w:val="20"/>
          <w:lang w:val="en-US" w:eastAsia="en-US" w:bidi="ar-SA"/>
        </w:rPr>
        <w:t xml:space="preserve"> at para. 55 where Newbury J.A. for the court observed that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not intended simply as a restatement or codification of existing law but does effect some substantive (albeit not dramatic) changes in the previous law". She cited an example of substantive change, namely that some of the longstanding criteria, such as defendant's domicile in the province, have given way to the more flexible and practical test of "real and substantial connection". The plaintiff submits that if there is any change in the law, the shift favours his position in seeking to have the Court exercise its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or territorial competence, because it is recognized as broader in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also relies on </w:t>
      </w:r>
      <w:r>
        <w:rPr>
          <w:rFonts w:ascii="arial" w:eastAsia="arial" w:hAnsi="arial" w:cs="arial"/>
          <w:b/>
          <w:i/>
          <w:color w:val="000000"/>
          <w:sz w:val="20"/>
          <w:lang w:val="en-US" w:eastAsia="en-US" w:bidi="ar-SA"/>
        </w:rPr>
        <w:t>UniNet Technologies Inc. v. Communication Services Inc.</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2005 BCCA 114</w:t>
        </w:r>
      </w:hyperlink>
      <w:r>
        <w:rPr>
          <w:rFonts w:ascii="arial" w:eastAsia="arial" w:hAnsi="arial" w:cs="arial"/>
          <w:color w:val="000000"/>
          <w:sz w:val="20"/>
          <w:lang w:val="en-US" w:eastAsia="en-US" w:bidi="ar-SA"/>
        </w:rPr>
        <w:t xml:space="preserve"> in which our Court of Appeal, in its last statement before the enactment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set out a definitive test for when a court ought to exercise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regarding a breach of contract or tort. At para. 20 the court affirmed that to establish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the plaintiff must show a real and substantial connection between the court and either the defendant or the subject-matter of the litigation. However, it noted at para. 21 this test still requires a consideration of the traditional factors including the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of the tort or the place of performance of the contract. It noted there are no hard and fast rules to taking jurisdiction. At para. 26 it found the real and substantial connection test is broad enough to encompass a connection between the cause of action or the subject matter of the action to the extent that they may be different. The plaintiff relies on this test to support his position that this Court has jurisdiction over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Section 10(g) of the CJPTA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most compelling argument is that the defendant's consent to release the Control Documents was communicated by telephone to the escrow agent in Vancouver after which the agent released the Control Documents to the purchaser. The breach of the standard of care was committed once the erroneous advice had been communicated. Because it was received and acted upon by Mr. Blues in British Columbia, the alleged negligent act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agree with the plaintiff that similar reasoning was applied in </w:t>
      </w:r>
      <w:r>
        <w:rPr>
          <w:rFonts w:ascii="arial" w:eastAsia="arial" w:hAnsi="arial" w:cs="arial"/>
          <w:b/>
          <w:i/>
          <w:color w:val="000000"/>
          <w:sz w:val="20"/>
          <w:lang w:val="en-US" w:eastAsia="en-US" w:bidi="ar-SA"/>
        </w:rPr>
        <w:t>Canadian Commercial Bank v. Carpenter</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(1989), 62 D.L.R. (4th) 734</w:t>
        </w:r>
      </w:hyperlink>
      <w:r>
        <w:rPr>
          <w:rFonts w:ascii="arial" w:eastAsia="arial" w:hAnsi="arial" w:cs="arial"/>
          <w:color w:val="000000"/>
          <w:sz w:val="20"/>
          <w:lang w:val="en-US" w:eastAsia="en-US" w:bidi="ar-SA"/>
        </w:rPr>
        <w:t xml:space="preserve"> (B.C.C.A.) and that decision supports his position. In </w:t>
      </w:r>
      <w:r>
        <w:rPr>
          <w:rFonts w:ascii="arial" w:eastAsia="arial" w:hAnsi="arial" w:cs="arial"/>
          <w:b/>
          <w:i/>
          <w:color w:val="000000"/>
          <w:sz w:val="20"/>
          <w:lang w:val="en-US" w:eastAsia="en-US" w:bidi="ar-SA"/>
        </w:rPr>
        <w:t>Canadian Commercial Bank</w:t>
      </w:r>
      <w:r>
        <w:rPr>
          <w:rFonts w:ascii="arial" w:eastAsia="arial" w:hAnsi="arial" w:cs="arial"/>
          <w:color w:val="000000"/>
          <w:sz w:val="20"/>
          <w:lang w:val="en-US" w:eastAsia="en-US" w:bidi="ar-SA"/>
        </w:rPr>
        <w:t>, the defendants subscribed for units in two limited partnerships formed in Alberta to purchase oil rigs for lease or operation in Alberta or the United States. In the course of subscribing for the units, the defendants gave promissory notes to the general partner, who assigned them to the plaintiff bank. On the failing of the limited partnership, the plaintiff claimed against the defendants as a holder in due course. The defendants commenced third party proceedings on the basis that the notes were conditional, based on legal advice given by Alberta lawyers. The Alberta lawyers contested jurisdiction. The court set aside the third party notices and declined jurisdiction on the basis that British Columbia was not the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on appeal, the court found that since the legal advice in question was communicated by telephone by Alberta lawyers to persons in British Columbia, the negligent act was not complete and therefore not committed until the advice had been received in British Columbia. The court said at p. 741: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clear that the tort of misrepresentation or negligent advice, which is what is complained of here, is only committed and complete when, and where, the misrepresentation or negligent advice is received. It is true that Mah Toy [the Alberta lawyer] was in Calgary when he gave the advice complained of, but that advice was received by and on behalf of the appellants in this jurisdiction. Clearly, by this standard, the tort was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agree with the plaintiff that the </w:t>
      </w:r>
      <w:r>
        <w:rPr>
          <w:rFonts w:ascii="arial" w:eastAsia="arial" w:hAnsi="arial" w:cs="arial"/>
          <w:b/>
          <w:i/>
          <w:color w:val="000000"/>
          <w:sz w:val="20"/>
          <w:lang w:val="en-US" w:eastAsia="en-US" w:bidi="ar-SA"/>
        </w:rPr>
        <w:t>Canadian Commercial Bank</w:t>
      </w:r>
      <w:r>
        <w:rPr>
          <w:rFonts w:ascii="arial" w:eastAsia="arial" w:hAnsi="arial" w:cs="arial"/>
          <w:color w:val="000000"/>
          <w:sz w:val="20"/>
          <w:lang w:val="en-US" w:eastAsia="en-US" w:bidi="ar-SA"/>
        </w:rPr>
        <w:t xml:space="preserve"> case is very similar to this case with a distinction that makes no difference; it is regarding the advice communicated by a lawyer to a client. Here, the advice, or consent, was provided by an Alberta lawyer to an escrow agent. It makes no difference that the lawyer's consent was not to the client because it was given pursuant to a retainer. In both cases, it is the duty of care exercised in relation to the advice or consent given that is important. Therefore it does not matter if the advice is given to a client or to an escrow agent as it was still given in the scope of the retainer and subject to the duty of care imposed on the lawyer with respect to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find the plaintiff's position further supported by the Supreme Court of Canada in </w:t>
      </w:r>
      <w:r>
        <w:rPr>
          <w:rFonts w:ascii="arial" w:eastAsia="arial" w:hAnsi="arial" w:cs="arial"/>
          <w:b/>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where the defendants claimed that the plaintiff's action was statute-barred. McLachlin C.J.C. discussed the relevant limitation period at para. 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limitation period for negligent investigation begins to run when the cause of action is complete. This requires proof of a duty of care, breach of the standard of care, compensable damage, and causation.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not when the negligent act is committed, but rather when the harmful consequences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Moran</w:t>
      </w:r>
      <w:r>
        <w:rPr>
          <w:rFonts w:ascii="arial" w:eastAsia="arial" w:hAnsi="arial" w:cs="arial"/>
          <w:color w:val="000000"/>
          <w:sz w:val="20"/>
          <w:lang w:val="en-US" w:eastAsia="en-US" w:bidi="ar-SA"/>
        </w:rPr>
        <w:t>, the Supreme Court of Canada considered how a court ought to determine where a tort has been committed, and applied the following test at p. 408-9: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in determining where a tort has been committed, it is unnecessary, and unwise, to have resort to any arbitrary set of rules. The place of acting and the place of harm theories are too arbitrary and inflexible to be recognized in contemporary jurisprudence. In the </w:t>
      </w:r>
      <w:r>
        <w:rPr>
          <w:rFonts w:ascii="arial" w:eastAsia="arial" w:hAnsi="arial" w:cs="arial"/>
          <w:i/>
          <w:color w:val="000000"/>
          <w:sz w:val="20"/>
          <w:lang w:val="en-US" w:eastAsia="en-US" w:bidi="ar-SA"/>
        </w:rPr>
        <w:t>Distillers'</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Distillers Co. (Bio-chemicals) Ltd. v. Thompson</w:t>
      </w:r>
      <w:r>
        <w:rPr>
          <w:rFonts w:ascii="arial" w:eastAsia="arial" w:hAnsi="arial" w:cs="arial"/>
          <w:color w:val="000000"/>
          <w:sz w:val="20"/>
          <w:lang w:val="en-US" w:eastAsia="en-US" w:bidi="ar-SA"/>
        </w:rPr>
        <w:t xml:space="preserve">, [1971] A.C. 458] and again in the </w:t>
      </w:r>
      <w:r>
        <w:rPr>
          <w:rFonts w:ascii="arial" w:eastAsia="arial" w:hAnsi="arial" w:cs="arial"/>
          <w:i/>
          <w:color w:val="000000"/>
          <w:sz w:val="20"/>
          <w:lang w:val="en-US" w:eastAsia="en-US" w:bidi="ar-SA"/>
        </w:rPr>
        <w:t>Cordova</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Cordova Land Co. Ltd. v. Victor Bros. Inc.</w:t>
      </w:r>
      <w:r>
        <w:rPr>
          <w:rFonts w:ascii="arial" w:eastAsia="arial" w:hAnsi="arial" w:cs="arial"/>
          <w:color w:val="000000"/>
          <w:sz w:val="20"/>
          <w:lang w:val="en-US" w:eastAsia="en-US" w:bidi="ar-SA"/>
        </w:rPr>
        <w:t>, [1966] 1 W.L.R. 793] a real and substantial connection test was hinted at. Cheshire, 8th ed., 1970, p. 281, has suggested a test very similar to this; the author says that it would not be inappropriate to regard a tort as having occurred in any country substantially affected by the defendant's activities or its consequences and the law of which is likely to have been in the reasonable contemplation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went on to find that this test recognizes the interest a state has in injuries suffered by persons in its territory, and "recognizes that the purpose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tort is to protect against carelessly inflicted injury and thus that the predominating element is damage suffered". This test was cited by our Court of Appeal in </w:t>
      </w:r>
      <w:r>
        <w:rPr>
          <w:rFonts w:ascii="arial" w:eastAsia="arial" w:hAnsi="arial" w:cs="arial"/>
          <w:b/>
          <w:i/>
          <w:color w:val="000000"/>
          <w:sz w:val="20"/>
          <w:lang w:val="en-US" w:eastAsia="en-US" w:bidi="ar-SA"/>
        </w:rPr>
        <w:t>UniNet</w:t>
      </w:r>
      <w:r>
        <w:rPr>
          <w:rFonts w:ascii="arial" w:eastAsia="arial" w:hAnsi="arial" w:cs="arial"/>
          <w:color w:val="000000"/>
          <w:sz w:val="20"/>
          <w:lang w:val="en-US" w:eastAsia="en-US" w:bidi="ar-SA"/>
        </w:rPr>
        <w:t xml:space="preserve"> where the court noted </w:t>
      </w:r>
      <w:r>
        <w:rPr>
          <w:rFonts w:ascii="arial" w:eastAsia="arial" w:hAnsi="arial" w:cs="arial"/>
          <w:b/>
          <w:i/>
          <w:color w:val="000000"/>
          <w:sz w:val="20"/>
          <w:lang w:val="en-US" w:eastAsia="en-US" w:bidi="ar-SA"/>
        </w:rPr>
        <w:t>Moran</w:t>
      </w:r>
      <w:r>
        <w:rPr>
          <w:rFonts w:ascii="arial" w:eastAsia="arial" w:hAnsi="arial" w:cs="arial"/>
          <w:color w:val="000000"/>
          <w:sz w:val="20"/>
          <w:lang w:val="en-US" w:eastAsia="en-US" w:bidi="ar-SA"/>
        </w:rPr>
        <w:t xml:space="preserve"> advocated a somewhat more flexible approach to determining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there is a real and substantial connection between the facts this proceeding is based on and British Columbia, and that the alleged tort was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Section 10(e) of the CJPTA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presumptive connection in s. 10(e) is a function largely of the location of the principal parties and the escrow agent's office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nature and scope of the defendant's retainer and his instructions concerned negotiating and arranging for the plaintiff's disposition of its control interest in Keywest under the SPA. The subject matter of the retainer was to carry out the terms and conditions of the SPA on the instructions of the plaintiff, on his behalf and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Under the SPA, 425,000 of the 701,150 free trading shares were to be delivered to the purchaser in three instalments at a purchase price of $2.00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understanding between the trustee, Canaccord, and the purchaser was that the shares were to be delivered to the purchaser's brokerage account at Canaccord in Vancouver. VSE approval was not required to complete that portion of the transaction and the parties to this proceeding were not involved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Under the terms of the SPA, if the transaction closed (upon payment of the third instalment) and VSE approval was obtained, the Control Documents and the balance of the free trading shares were to be delivered from escrow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Following payment of the third instalment without approval of the VSE and contrary to the SPA, the Control Documents, except 140,000 of the free trading shares, were delivered to the purchaser who picked them up at the trustee's offices in Vancouver. The 140,000 free trading shares not part of that package were transferred to brokerage accounts in the name, or under the control, of the purchaser in Vancouver. Absent VSE approval, the SPA called for the shares to be returned to the vendor who had an account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share of the $850,000 proceeds were either delivered by Mr. Blues to the defendant, or directly to the plaintiff's brokerage account at Yorkton Securities Inc. in Vancouver. That the brokerage account was used for the purpose of this transaction strengthens the plaintiff's argument that he had a presence in British Columbia. The defendant points to clause 14 set out above. However, I agree with the plaintiff that it appears all or most of the contractual obligations of the parties to the SPA which the defendant was bound to administer on behalf of his clients and at their instructions were to be performed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SPA expressly states that the agreement, and more particularly, the change of control, disposition of all or substantially all of the company's assets and the reallocation of prospectus funds must receive all regulatory authority approvals, including the approval of the VSE. The affairs of the VSE are governed by the </w:t>
      </w:r>
      <w:r>
        <w:rPr>
          <w:rFonts w:ascii="arial" w:eastAsia="arial" w:hAnsi="arial" w:cs="arial"/>
          <w:b/>
          <w:i/>
          <w:color w:val="000000"/>
          <w:sz w:val="20"/>
          <w:lang w:val="en-US" w:eastAsia="en-US" w:bidi="ar-SA"/>
        </w:rPr>
        <w:t>Vancouver Stock Exchange Act</w:t>
      </w:r>
      <w:r>
        <w:rPr>
          <w:rFonts w:ascii="arial" w:eastAsia="arial" w:hAnsi="arial" w:cs="arial"/>
          <w:color w:val="000000"/>
          <w:sz w:val="20"/>
          <w:lang w:val="en-US" w:eastAsia="en-US" w:bidi="ar-SA"/>
        </w:rPr>
        <w:t>, S.B.C. 1907, c. 62 as amended. Also, in the SPA, there is a second express reference at clause 8(c) that the laws of British Columbia apply to this transaction. The nature and scope of the defendant's performance of his retainer must be assessed in the context of the laws governing the affairs of the VSE and particularly its policies and procedures governing the disposition of a control interest. Therefore, in this way, the retainer is indeed governed by the law of British Columbia because the subject matter of the retainer is so governed.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Put another way, the retainer captured the SPA because the purpose of the retainer was to negotiate the sale of the shares and control interest in Keywest. By necessary implication, the defendant was bound to protect the interests of the plaintiff in that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does not dispute that his alleged consent fell within the terms of his retainer as a matter of logic and common sense, and in his examination for discovery in the Morton litigation, the defendant clearly said that he acted for both the plaintiff and Keywest.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relies on "other connecting factors" such as that the damage was sustained in British Columbia. I have already mentioned this is an aspect of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that damages are sustained in British Columbia arising from a breach of contract is an important factor that supports the real and substantial connection requirement: </w:t>
      </w:r>
      <w:r>
        <w:rPr>
          <w:rFonts w:ascii="arial" w:eastAsia="arial" w:hAnsi="arial" w:cs="arial"/>
          <w:b/>
          <w:i/>
          <w:color w:val="000000"/>
          <w:sz w:val="20"/>
          <w:lang w:val="en-US" w:eastAsia="en-US" w:bidi="ar-SA"/>
        </w:rPr>
        <w:t>Pacific International Securities Inc. v. Drake Capital Securities Inc.</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2000 BCCA 632</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 distinguishes </w:t>
      </w:r>
      <w:r>
        <w:rPr>
          <w:rFonts w:ascii="arial" w:eastAsia="arial" w:hAnsi="arial" w:cs="arial"/>
          <w:b/>
          <w:i/>
          <w:color w:val="000000"/>
          <w:sz w:val="20"/>
          <w:lang w:val="en-US" w:eastAsia="en-US" w:bidi="ar-SA"/>
        </w:rPr>
        <w:t>Pacific International</w:t>
      </w:r>
      <w:r>
        <w:rPr>
          <w:rFonts w:ascii="arial" w:eastAsia="arial" w:hAnsi="arial" w:cs="arial"/>
          <w:color w:val="000000"/>
          <w:sz w:val="20"/>
          <w:lang w:val="en-US" w:eastAsia="en-US" w:bidi="ar-SA"/>
        </w:rPr>
        <w:t xml:space="preserve"> because mitigation was an issue there such that all securities regulations and witnesses were important. The plaintiff relies on mitigation in support of his position, but the distinguishing feature is that </w:t>
      </w:r>
      <w:r>
        <w:rPr>
          <w:rFonts w:ascii="arial" w:eastAsia="arial" w:hAnsi="arial" w:cs="arial"/>
          <w:b/>
          <w:i/>
          <w:color w:val="000000"/>
          <w:sz w:val="20"/>
          <w:lang w:val="en-US" w:eastAsia="en-US" w:bidi="ar-SA"/>
        </w:rPr>
        <w:t>Pacific International</w:t>
      </w:r>
      <w:r>
        <w:rPr>
          <w:rFonts w:ascii="arial" w:eastAsia="arial" w:hAnsi="arial" w:cs="arial"/>
          <w:color w:val="000000"/>
          <w:sz w:val="20"/>
          <w:lang w:val="en-US" w:eastAsia="en-US" w:bidi="ar-SA"/>
        </w:rPr>
        <w:t xml:space="preserve"> pleaded its damage case in the main claim. Here, there is no pleading of mitigation, so the defendant submits the plaintiff ought not to speculate about what the defence will be. I agree with the plaintiff's response that as a matter of logic and common sense, because there was a cease trade order and a freeze order, he wants to show Keywest shares were worthless shortly afterwards. He requires the two former investigators to provide this evidence. The fact and recitals of the orders are relevant to prove the extent of the plaintiff's damages. He wants to call the witnesses in question to provide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Here, the damage was sustained in British Columbia because the shares were lost to the plaintiff in British Columbia. In </w:t>
      </w:r>
      <w:r>
        <w:rPr>
          <w:rFonts w:ascii="arial" w:eastAsia="arial" w:hAnsi="arial" w:cs="arial"/>
          <w:b/>
          <w:i/>
          <w:color w:val="000000"/>
          <w:sz w:val="20"/>
          <w:lang w:val="en-US" w:eastAsia="en-US" w:bidi="ar-SA"/>
        </w:rPr>
        <w:t>Pineridge Capital Group Inc. v. Anderson</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(1995), 16 B.C.L.R. (3d) 296</w:t>
        </w:r>
      </w:hyperlink>
      <w:r>
        <w:rPr>
          <w:rFonts w:ascii="arial" w:eastAsia="arial" w:hAnsi="arial" w:cs="arial"/>
          <w:color w:val="000000"/>
          <w:sz w:val="20"/>
          <w:lang w:val="en-US" w:eastAsia="en-US" w:bidi="ar-SA"/>
        </w:rPr>
        <w:t xml:space="preserve"> (S.C.), Spencer J. found at para. 19 that the venture proceeds of the plaintiff, a British Columbia company, that were wrongfully converted from Pineridge's bank account in Switzerland to the bank account of another company in Switzerland, were lost in Switzerland, so the location of the tort was Switzerland rather than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 seeks to distinguish </w:t>
      </w:r>
      <w:r>
        <w:rPr>
          <w:rFonts w:ascii="arial" w:eastAsia="arial" w:hAnsi="arial" w:cs="arial"/>
          <w:b/>
          <w:i/>
          <w:color w:val="000000"/>
          <w:sz w:val="20"/>
          <w:lang w:val="en-US" w:eastAsia="en-US" w:bidi="ar-SA"/>
        </w:rPr>
        <w:t>Pineridge</w:t>
      </w:r>
      <w:r>
        <w:rPr>
          <w:rFonts w:ascii="arial" w:eastAsia="arial" w:hAnsi="arial" w:cs="arial"/>
          <w:color w:val="000000"/>
          <w:sz w:val="20"/>
          <w:lang w:val="en-US" w:eastAsia="en-US" w:bidi="ar-SA"/>
        </w:rPr>
        <w:t xml:space="preserve">. He says the courts have not interpreted it as Mr. Roeder does. For example, in </w:t>
      </w:r>
      <w:r>
        <w:rPr>
          <w:rFonts w:ascii="arial" w:eastAsia="arial" w:hAnsi="arial" w:cs="arial"/>
          <w:b/>
          <w:i/>
          <w:color w:val="000000"/>
          <w:sz w:val="20"/>
          <w:lang w:val="en-US" w:eastAsia="en-US" w:bidi="ar-SA"/>
        </w:rPr>
        <w:t>Coast Spas Inc. v. California Acrylic Industries Inc.,</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[1997] B.C.J. No. 1718</w:t>
        </w:r>
      </w:hyperlink>
      <w:r>
        <w:rPr>
          <w:rFonts w:ascii="arial" w:eastAsia="arial" w:hAnsi="arial" w:cs="arial"/>
          <w:color w:val="000000"/>
          <w:sz w:val="20"/>
          <w:lang w:val="en-US" w:eastAsia="en-US" w:bidi="ar-SA"/>
        </w:rPr>
        <w:t xml:space="preserve"> (B.C.S.C.) (QL) Lowry J. (as he then was) said the ratio for </w:t>
      </w:r>
      <w:r>
        <w:rPr>
          <w:rFonts w:ascii="arial" w:eastAsia="arial" w:hAnsi="arial" w:cs="arial"/>
          <w:b/>
          <w:i/>
          <w:color w:val="000000"/>
          <w:sz w:val="20"/>
          <w:lang w:val="en-US" w:eastAsia="en-US" w:bidi="ar-SA"/>
        </w:rPr>
        <w:t>Pineridge</w:t>
      </w:r>
      <w:r>
        <w:rPr>
          <w:rFonts w:ascii="arial" w:eastAsia="arial" w:hAnsi="arial" w:cs="arial"/>
          <w:color w:val="000000"/>
          <w:sz w:val="20"/>
          <w:lang w:val="en-US" w:eastAsia="en-US" w:bidi="ar-SA"/>
        </w:rPr>
        <w:t xml:space="preserve"> was that it was designed to avoid a multiplicity of proceedings. However, I find the plaintiff is entitled to rely on the reasoning in </w:t>
      </w:r>
      <w:r>
        <w:rPr>
          <w:rFonts w:ascii="arial" w:eastAsia="arial" w:hAnsi="arial" w:cs="arial"/>
          <w:b/>
          <w:i/>
          <w:color w:val="000000"/>
          <w:sz w:val="20"/>
          <w:lang w:val="en-US" w:eastAsia="en-US" w:bidi="ar-SA"/>
        </w:rPr>
        <w:t>Pineridge</w:t>
      </w:r>
      <w:r>
        <w:rPr>
          <w:rFonts w:ascii="arial" w:eastAsia="arial" w:hAnsi="arial" w:cs="arial"/>
          <w:color w:val="000000"/>
          <w:sz w:val="20"/>
          <w:lang w:val="en-US" w:eastAsia="en-US" w:bidi="ar-SA"/>
        </w:rPr>
        <w:t xml:space="preserve"> as support for his position that the damage he suffered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the criteria in s. 10(e) is satisfied, and that there is a real and substantial connection between the facts underlying the plaintiff's cause of action in contract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 Other Connecting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unnecessary to address other common law factors of "real and substantial connection" because I find the presumptions in subsections 10(e) and (g) apply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when the defendant represented the plaintiff pursuant to the retainer in question, he performed certain actions. Although the defendant says he had the assistance of a B.C. law firm, its assistance was narrow. It was limited to, for example, doing title searches and rendering an opinion required by the sponsoring brokerage house. The agent was retained by the defendant. Regarding the legal opinion prepared by the law firm, it did not go directly to the brokerage house, but went to the defendant who provided a back-to-back opinion, and sent it to the brokerage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representing the plaintiff and Keywest pursuant to the retainer in question, the following actions of the defendant gave him a presence in British Columbia:</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applied for a Stock Exchange listing with the VSE;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prepared a prospectus for Keywest's initial public offering for approval by the VSE;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gave an opinion to the directors and officers of Keywest summarizing the provisions of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for British Columbia and Alberta relating to public distribution of securities and the liability of Keywest and its directors under this law;</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numerous applications on behalf of Keywest both in writing and in person in 1992 to 1994 before the VSE and the Commission;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reviewed Keywest press releases and prepared Keywest's June 18, 1993 information circular for filing with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already mentioned the plaintiff's connection to British Columbia by maintaining a brokerage account in Vancouver that received the proceeds of sale of his Keywest shares, and was also available to take delivery of the 276,150 free trading shares after the transaction closed without VSE approval. I observe that the plaintiff, who instructed the defendant on behalf of Keywest, was a principal of Keywest, and the SPA involved the sale of shares of a British Columbia corporation. Keywest was incorporated in British Columbia and its shares traded on the VSE.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intends to call as material witnesses in this proceeding the purchaser Mr. Pinchin, and escrow agent Mr. Blues. Both reside in British Columbia. Also, the former Commission investigator, Linda Newell Murray, and former VSE investigator, Shelley James, reside in British Columbia as do representatives of each of the two Vancouver brokerage firms holding the 276,150 free trading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the defendant disagrees that all these witnesses are material, the plaintiff wishes to call the former investigators to describe the results that flowed from the alleged wrongful delivery of the Control Documents. The two former investigators can give evidence of the value of the shares on the day of the delivery of the Control Documents and the value of the shares after the cease trade order and freeze order. As alleged in the amended statement of claim, Keywest shares traded at $2.70 on June 15, 1993 but after the orders in question, could not be traded. The evidence of these former investigators as to who was responsible for the problem leading to a cease trade order is relevant to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Furthermore, the plaintiff was sanctioned by the Commission. He will say the cease trade order was the result of the alleged wrongful delivery of the shares without VSE and other regulatory approval that occurred because the defendant improperly gave his consent, contrary to the terms of the SPA. Serious ramifications flowed from this alleged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points to clause 14 of the SPA where it directs communications back to him in Edmonton. Clause 14 is relevant to where the contract was to be substantially performed but the asset belonging to the plaintiff was lost in British Columbia. The parties dispute whether the plaintiff had to wait for the shares to arrive in Edmonton before incurring damage. The plaintiff says the SPA was breached by the defendant regardless of the notice provisions in clause 14.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Finally, the defendant relies on </w:t>
      </w:r>
      <w:r>
        <w:rPr>
          <w:rFonts w:ascii="arial" w:eastAsia="arial" w:hAnsi="arial" w:cs="arial"/>
          <w:b/>
          <w:i/>
          <w:color w:val="000000"/>
          <w:sz w:val="20"/>
          <w:lang w:val="en-US" w:eastAsia="en-US" w:bidi="ar-SA"/>
        </w:rPr>
        <w:t>Foran Mining Corporation v. Theodoropoulos</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2006 SKQB 376</w:t>
        </w:r>
      </w:hyperlink>
      <w:r>
        <w:rPr>
          <w:rFonts w:ascii="arial" w:eastAsia="arial" w:hAnsi="arial" w:cs="arial"/>
          <w:color w:val="000000"/>
          <w:sz w:val="20"/>
          <w:lang w:val="en-US" w:eastAsia="en-US" w:bidi="ar-SA"/>
        </w:rPr>
        <w:t xml:space="preserve">, aff'd </w:t>
      </w:r>
      <w:hyperlink r:id="rId131" w:history="1">
        <w:r>
          <w:rPr>
            <w:rFonts w:ascii="arial" w:eastAsia="arial" w:hAnsi="arial" w:cs="arial"/>
            <w:i/>
            <w:color w:val="0077CC"/>
            <w:sz w:val="20"/>
            <w:u w:val="single"/>
            <w:shd w:val="clear" w:color="auto" w:fill="FFFFFF"/>
            <w:lang w:val="en-US" w:eastAsia="en-US" w:bidi="ar-SA"/>
          </w:rPr>
          <w:t>2007 SKCA 12</w:t>
        </w:r>
      </w:hyperlink>
      <w:r>
        <w:rPr>
          <w:rFonts w:ascii="arial" w:eastAsia="arial" w:hAnsi="arial" w:cs="arial"/>
          <w:color w:val="000000"/>
          <w:sz w:val="20"/>
          <w:lang w:val="en-US" w:eastAsia="en-US" w:bidi="ar-SA"/>
        </w:rPr>
        <w:t xml:space="preserve">, a decision of the Saskatchewan Court of Appeal upholding the Saskatchewan Court of Queens Bench, to dispose of the plaintiff's application. The corresponding legislation in Saskatchewan is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S.S. 1997, c. 41.1 which is almost identical to the British Columbia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Both Acts are modelled after legislation emanating from the Uniform Law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Foran</w:t>
      </w:r>
      <w:r>
        <w:rPr>
          <w:rFonts w:ascii="arial" w:eastAsia="arial" w:hAnsi="arial" w:cs="arial"/>
          <w:color w:val="000000"/>
          <w:sz w:val="20"/>
          <w:lang w:val="en-US" w:eastAsia="en-US" w:bidi="ar-SA"/>
        </w:rPr>
        <w:t xml:space="preserve">, a lawyer in Vancouver and his law firm were retained to provide legal services to Foran regarding an agreement relating to the acquisition and disposition of property in Saskatchewan. Foran was a company incorporated pursuant to the laws of British Columbia and was extra provincially registered to carry on business in Manitoba. In November 2004, Foran arranged to move its head office from Manitoba to Saskatchewan. At the same time, the defendant provided legal services to Foran. All legal services the defendant provided to Foran were from his office in British Columbia. The plaintiff claimed against the defendant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alleging that that defendant did not properly represent the interests of the plaintiff when preparing the disposition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commenced litigation in Saskatchewan. The defendant applied to strike the plaintiff's claim on the basis that the court lacked jurisdiction and territorial competence to try the matter. The Court of Queen's Bench allowed the defendant's application and transferred the proceeding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reasons, the trial judge found that there was no real and substantial connection between Saskatchewan and the facts giving rise to the proceeding. At para. 9, the trial judge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sets out the basis of the plaintiff's claim which is not based so much on the fact that the defendants gave legal advice with respect to the disposition agreement but that they failed in their duty to properly represent the plaintiff in this regard. The statement of claim sets out numerous instances of the alleged failures, which if proven, would have taken place in British Columbia, where the defendants were located at the time, and not in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 judge found that at the time the cause of action arose, "neither party had any connection whatsoever with the Province of Saskatchewan". The trial judge noted that when the cause of action arose the plaintiff was not yet registered to carry on business in Saskatchewan, and the defendant lawyers, at all material times, were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trial judge in </w:t>
      </w:r>
      <w:r>
        <w:rPr>
          <w:rFonts w:ascii="arial" w:eastAsia="arial" w:hAnsi="arial" w:cs="arial"/>
          <w:b/>
          <w:i/>
          <w:color w:val="000000"/>
          <w:sz w:val="20"/>
          <w:lang w:val="en-US" w:eastAsia="en-US" w:bidi="ar-SA"/>
        </w:rPr>
        <w:t>Foran</w:t>
      </w:r>
      <w:r>
        <w:rPr>
          <w:rFonts w:ascii="arial" w:eastAsia="arial" w:hAnsi="arial" w:cs="arial"/>
          <w:color w:val="000000"/>
          <w:sz w:val="20"/>
          <w:lang w:val="en-US" w:eastAsia="en-US" w:bidi="ar-SA"/>
        </w:rPr>
        <w:t xml:space="preserve"> also found that s. 9(e) and (g) in the Saskatchewan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the parallel provisions to s. 10(e) and (g) in the British Columbia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did not assist the plaintiff. He found it was not a case concerning contractual obligations to be performed in Saskatchewan or where a tort was committed in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Saskatchewan Court of Appeal upheld the decision, finding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close analysis it is clear that at the relevant time, that is when the respondents were retained to do the work, Foran was not registered to do business in the Province of Saskatchewan, was a British Columbia corporation with its head office in the Province of Manitoba and retained solicitors who were located in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the court found that the trial judge was not in error in concluding that at the time the cause of action arose, neither party to the action had "any connection whatsoever" with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While there are certain similarities between the facts in </w:t>
      </w:r>
      <w:r>
        <w:rPr>
          <w:rFonts w:ascii="arial" w:eastAsia="arial" w:hAnsi="arial" w:cs="arial"/>
          <w:b/>
          <w:i/>
          <w:color w:val="000000"/>
          <w:sz w:val="20"/>
          <w:lang w:val="en-US" w:eastAsia="en-US" w:bidi="ar-SA"/>
        </w:rPr>
        <w:t>Foran</w:t>
      </w:r>
      <w:r>
        <w:rPr>
          <w:rFonts w:ascii="arial" w:eastAsia="arial" w:hAnsi="arial" w:cs="arial"/>
          <w:color w:val="000000"/>
          <w:sz w:val="20"/>
          <w:lang w:val="en-US" w:eastAsia="en-US" w:bidi="ar-SA"/>
        </w:rPr>
        <w:t xml:space="preserve"> and those before me, I am satisfied that the plaintiff has established a real and substantial connection between British Columbia and the facts giving rise to this proceeding. </w:t>
      </w:r>
      <w:r>
        <w:rPr>
          <w:rFonts w:ascii="arial" w:eastAsia="arial" w:hAnsi="arial" w:cs="arial"/>
          <w:b/>
          <w:i/>
          <w:color w:val="000000"/>
          <w:sz w:val="20"/>
          <w:lang w:val="en-US" w:eastAsia="en-US" w:bidi="ar-SA"/>
        </w:rPr>
        <w:t>Foran</w:t>
      </w:r>
      <w:r>
        <w:rPr>
          <w:rFonts w:ascii="arial" w:eastAsia="arial" w:hAnsi="arial" w:cs="arial"/>
          <w:color w:val="000000"/>
          <w:sz w:val="20"/>
          <w:lang w:val="en-US" w:eastAsia="en-US" w:bidi="ar-SA"/>
        </w:rPr>
        <w:t xml:space="preserve"> is distinguishable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this case, the alleged wrongful act was the communication between the defendant and Mr. Blues, in which the defendant consented to delivery of the Control Documents. In </w:t>
      </w:r>
      <w:r>
        <w:rPr>
          <w:rFonts w:ascii="arial" w:eastAsia="arial" w:hAnsi="arial" w:cs="arial"/>
          <w:b/>
          <w:i/>
          <w:color w:val="000000"/>
          <w:sz w:val="20"/>
          <w:lang w:val="en-US" w:eastAsia="en-US" w:bidi="ar-SA"/>
        </w:rPr>
        <w:t>Foran</w:t>
      </w:r>
      <w:r>
        <w:rPr>
          <w:rFonts w:ascii="arial" w:eastAsia="arial" w:hAnsi="arial" w:cs="arial"/>
          <w:color w:val="000000"/>
          <w:sz w:val="20"/>
          <w:lang w:val="en-US" w:eastAsia="en-US" w:bidi="ar-SA"/>
        </w:rPr>
        <w:t xml:space="preserve">, the wrongful act was the defendant's alleged failure to properly represent the plaintiff when preparing the disposition agreement. Thus, here, the wrongful act has a connection to British Columbia, while the wrongful act in </w:t>
      </w:r>
      <w:r>
        <w:rPr>
          <w:rFonts w:ascii="arial" w:eastAsia="arial" w:hAnsi="arial" w:cs="arial"/>
          <w:b/>
          <w:i/>
          <w:color w:val="000000"/>
          <w:sz w:val="20"/>
          <w:lang w:val="en-US" w:eastAsia="en-US" w:bidi="ar-SA"/>
        </w:rPr>
        <w:t>Foran</w:t>
      </w:r>
      <w:r>
        <w:rPr>
          <w:rFonts w:ascii="arial" w:eastAsia="arial" w:hAnsi="arial" w:cs="arial"/>
          <w:color w:val="000000"/>
          <w:sz w:val="20"/>
          <w:lang w:val="en-US" w:eastAsia="en-US" w:bidi="ar-SA"/>
        </w:rPr>
        <w:t xml:space="preserve"> was unconnected to Saskatchewan. In </w:t>
      </w:r>
      <w:r>
        <w:rPr>
          <w:rFonts w:ascii="arial" w:eastAsia="arial" w:hAnsi="arial" w:cs="arial"/>
          <w:b/>
          <w:i/>
          <w:color w:val="000000"/>
          <w:sz w:val="20"/>
          <w:lang w:val="en-US" w:eastAsia="en-US" w:bidi="ar-SA"/>
        </w:rPr>
        <w:t>Foran</w:t>
      </w:r>
      <w:r>
        <w:rPr>
          <w:rFonts w:ascii="arial" w:eastAsia="arial" w:hAnsi="arial" w:cs="arial"/>
          <w:color w:val="000000"/>
          <w:sz w:val="20"/>
          <w:lang w:val="en-US" w:eastAsia="en-US" w:bidi="ar-SA"/>
        </w:rPr>
        <w:t>, the court found that the plaintiff's statement of claim set out a number of alleged failures that, if proved, would have occurred in British Columbia, not Saskatchewan. Here, the defendant's alleged failures occurred in British Columbia: 140, 000 shares were delivered by the Trustee to Pinchin's accounts in British Columbia, and Pinchin retrieved the balance of the shares and documents at the Trustee's office in British Columbia and placed them with a brokerage account in Vancouver. Additionally, I have found both parties had connections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Having found a real and substantial connection between the facts upon which the proceeding is based, I turn now to consider whether this Court should decline jurisdiction pursuant to s.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 relies on </w:t>
      </w:r>
      <w:r>
        <w:rPr>
          <w:rFonts w:ascii="arial" w:eastAsia="arial" w:hAnsi="arial" w:cs="arial"/>
          <w:b/>
          <w:i/>
          <w:color w:val="000000"/>
          <w:sz w:val="20"/>
          <w:lang w:val="en-US" w:eastAsia="en-US" w:bidi="ar-SA"/>
        </w:rPr>
        <w:t>Lloyd's Underwriters</w:t>
      </w:r>
      <w:r>
        <w:rPr>
          <w:rFonts w:ascii="arial" w:eastAsia="arial" w:hAnsi="arial" w:cs="arial"/>
          <w:color w:val="000000"/>
          <w:sz w:val="20"/>
          <w:lang w:val="en-US" w:eastAsia="en-US" w:bidi="ar-SA"/>
        </w:rPr>
        <w:t xml:space="preserve"> where Newbury J.A. said at paras. 55-56: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It is apparent, then, that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not intended simply as a restatement or codification of existing law but does effect some substantive (albeit not dramatic) changes in the previous law. Perhaps most notably,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no longer determine questions of service and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or "territorial competence". A comparison of Supreme Court Rule 13 with s. 10 of the Act shows that some of the longstanding criteria (e.g., defendant's domicile in the province) have given way to the more flexible and practical test of "real and substantial connection". The Act also introduces the concept of transferring a proceeding to or from a foreign court. With respect to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on the other hand, the Act seems intended to codify, rather than effect substantive changes to, the previous law. The court is still required to consider "the circumstances relevant to the proceeding" and the list of six factors in s. 11(2) is obviously not exhaustive. The factors are broadly phrased and, as the Chambers judge has shown in this instance, can be generally equated to various factors considered at common law, as described in </w:t>
      </w:r>
      <w:r>
        <w:rPr>
          <w:rFonts w:ascii="arial" w:eastAsia="arial" w:hAnsi="arial" w:cs="arial"/>
          <w:b/>
          <w:i/>
          <w:color w:val="000000"/>
          <w:sz w:val="20"/>
          <w:lang w:val="en-US" w:eastAsia="en-US" w:bidi="ar-SA"/>
        </w:rPr>
        <w:t>Stern,</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Section 11(1) requires the court to consider whether the court of another state is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more appropriate forum" for the proceedings and s. 11(2) refers to whether the domestic or foreign court is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more appropriate forum". This conforms broadly to the common law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as adopted (from Scottish law) by the House of Lords in the seminal 1986 decision of </w:t>
      </w:r>
      <w:r>
        <w:rPr>
          <w:rFonts w:ascii="arial" w:eastAsia="arial" w:hAnsi="arial" w:cs="arial"/>
          <w:b/>
          <w:i/>
          <w:color w:val="000000"/>
          <w:sz w:val="20"/>
          <w:lang w:val="en-US" w:eastAsia="en-US" w:bidi="ar-SA"/>
        </w:rPr>
        <w:t>Spiliada Maritime Corp. v. Cansulex Ltd</w:t>
      </w:r>
      <w:r>
        <w:rPr>
          <w:rFonts w:ascii="arial" w:eastAsia="arial" w:hAnsi="arial" w:cs="arial"/>
          <w:color w:val="000000"/>
          <w:sz w:val="20"/>
          <w:lang w:val="en-US" w:eastAsia="en-US" w:bidi="ar-SA"/>
        </w:rPr>
        <w:t>. [1986] 3 All E.R. 843. There, their Lordships reviewed the Scottish authorities and summarized the law with respect to the granting of a stay on that ground as follows: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basic principle is that </w:t>
      </w:r>
      <w:r>
        <w:rPr>
          <w:rFonts w:ascii="arial" w:eastAsia="arial" w:hAnsi="arial" w:cs="arial"/>
          <w:color w:val="000000"/>
          <w:sz w:val="20"/>
          <w:u w:val="single"/>
          <w:lang w:val="en-US" w:eastAsia="en-US" w:bidi="ar-SA"/>
        </w:rPr>
        <w:t xml:space="preserve">a stay will only be granted on the ground of </w:t>
      </w:r>
      <w:r>
        <w:rPr>
          <w:rFonts w:ascii="arial" w:eastAsia="arial" w:hAnsi="arial" w:cs="arial"/>
          <w:i/>
          <w:color w:val="000000"/>
          <w:sz w:val="20"/>
          <w:u w:val="single"/>
          <w:lang w:val="en-US" w:eastAsia="en-US" w:bidi="ar-SA"/>
        </w:rPr>
        <w:t>forum non conveniens</w:t>
      </w:r>
      <w:r>
        <w:rPr>
          <w:rFonts w:ascii="arial" w:eastAsia="arial" w:hAnsi="arial" w:cs="arial"/>
          <w:color w:val="000000"/>
          <w:sz w:val="20"/>
          <w:u w:val="single"/>
          <w:lang w:val="en-US" w:eastAsia="en-US" w:bidi="ar-SA"/>
        </w:rPr>
        <w:t xml:space="preserve"> where the court is satisfied that there is some other available forum, having competent jurisdiction, which is the appropriate forum for the trial of the action, i.e. in which the case may be tried more suitably for the interests of all the parties and the ends of justice</w:t>
      </w: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Lord Kinnear's formulation of the principle indicates, in general the burden of proof rests on the defendant to persuade the court to exercise its discretion to grant a stay ... It is, however, of importance to remember that each party will seek to establish the existence of certain matters which will assist him in persuading the court to exercise its discretion in his favour, and that in respect of any such matter the evidential burden will rest on the party who asserts its existence. Furthermore, </w:t>
      </w:r>
      <w:r>
        <w:rPr>
          <w:rFonts w:ascii="arial" w:eastAsia="arial" w:hAnsi="arial" w:cs="arial"/>
          <w:color w:val="000000"/>
          <w:sz w:val="20"/>
          <w:u w:val="single"/>
          <w:lang w:val="en-US" w:eastAsia="en-US" w:bidi="ar-SA"/>
        </w:rPr>
        <w:t xml:space="preserve">if the court is satisfied that there is another available forum which is </w:t>
      </w:r>
      <w:r>
        <w:rPr>
          <w:rFonts w:ascii="arial" w:eastAsia="arial" w:hAnsi="arial" w:cs="arial"/>
          <w:i/>
          <w:color w:val="000000"/>
          <w:sz w:val="20"/>
          <w:u w:val="single"/>
          <w:lang w:val="en-US" w:eastAsia="en-US" w:bidi="ar-SA"/>
        </w:rPr>
        <w:t>prima facie</w:t>
      </w:r>
      <w:r>
        <w:rPr>
          <w:rFonts w:ascii="arial" w:eastAsia="arial" w:hAnsi="arial" w:cs="arial"/>
          <w:color w:val="000000"/>
          <w:sz w:val="20"/>
          <w:u w:val="single"/>
          <w:lang w:val="en-US" w:eastAsia="en-US" w:bidi="ar-SA"/>
        </w:rPr>
        <w:t xml:space="preserve"> the appropriate forum for the trial of the action, the burden will then shift to the plaintiff to show that there are special circumstances by reason of which justice requires that the trial should nevertheless take place in this country</w:t>
      </w:r>
      <w:r>
        <w:rPr>
          <w:rFonts w:ascii="arial" w:eastAsia="arial" w:hAnsi="arial" w:cs="arial"/>
          <w:color w:val="000000"/>
          <w:sz w:val="20"/>
          <w:lang w:val="en-US" w:eastAsia="en-US" w:bidi="ar-SA"/>
        </w:rPr>
        <w:t xml:space="preserve"> (see para. (f) below).</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being whether there is some other forum which is the appropriate forum for the trial of the action, it is pertinent to ask whether the fact that the plaintiff has, </w:t>
      </w:r>
      <w:r>
        <w:rPr>
          <w:rFonts w:ascii="arial" w:eastAsia="arial" w:hAnsi="arial" w:cs="arial"/>
          <w:i/>
          <w:color w:val="000000"/>
          <w:sz w:val="20"/>
          <w:lang w:val="en-US" w:eastAsia="en-US" w:bidi="ar-SA"/>
        </w:rPr>
        <w:t>ex hypothesi</w:t>
      </w:r>
      <w:r>
        <w:rPr>
          <w:rFonts w:ascii="arial" w:eastAsia="arial" w:hAnsi="arial" w:cs="arial"/>
          <w:color w:val="000000"/>
          <w:sz w:val="20"/>
          <w:lang w:val="en-US" w:eastAsia="en-US" w:bidi="ar-SA"/>
        </w:rPr>
        <w:t>, founded jurisdiction as of right in accordance with the law of this country, of itself gives the plaintiff an advantage in the sense that the English court will not lightly disturb jurisdiction so established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opinion, </w:t>
      </w:r>
      <w:r>
        <w:rPr>
          <w:rFonts w:ascii="arial" w:eastAsia="arial" w:hAnsi="arial" w:cs="arial"/>
          <w:color w:val="000000"/>
          <w:sz w:val="20"/>
          <w:u w:val="single"/>
          <w:lang w:val="en-US" w:eastAsia="en-US" w:bidi="ar-SA"/>
        </w:rPr>
        <w:t>the burden resting on the defendant is not just to show that England is not the natural or appropriate forum for the trial, but to establish that there is another available forum which is clearly or distinctly more appropriate than the English forum</w:t>
      </w:r>
      <w:r>
        <w:rPr>
          <w:rFonts w:ascii="arial" w:eastAsia="arial" w:hAnsi="arial" w:cs="arial"/>
          <w:color w:val="000000"/>
          <w:sz w:val="20"/>
          <w:lang w:val="en-US" w:eastAsia="en-US" w:bidi="ar-SA"/>
        </w:rPr>
        <w:t>. In this way, proper regard is paid to the fact that that jurisdiction has been founded in England as of right ...; and there is the further advantage that on a subject where comity is of importance it appears that there will be a broad consensus among major common law jurisdictions. ...</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question is </w:t>
      </w:r>
      <w:r>
        <w:rPr>
          <w:rFonts w:ascii="arial" w:eastAsia="arial" w:hAnsi="arial" w:cs="arial"/>
          <w:color w:val="000000"/>
          <w:sz w:val="20"/>
          <w:u w:val="single"/>
          <w:lang w:val="en-US" w:eastAsia="en-US" w:bidi="ar-SA"/>
        </w:rPr>
        <w:t>whether there exists some other forum which is clearly more appropriate for the trial of the action, the court will look first to see what factors there are which point in the direction of another forum</w:t>
      </w:r>
      <w:r>
        <w:rPr>
          <w:rFonts w:ascii="arial" w:eastAsia="arial" w:hAnsi="arial" w:cs="arial"/>
          <w:color w:val="000000"/>
          <w:sz w:val="20"/>
          <w:lang w:val="en-US" w:eastAsia="en-US" w:bidi="ar-SA"/>
        </w:rPr>
        <w:t xml:space="preserve">. These are the factors which Lord Diplock described, in </w:t>
      </w:r>
      <w:r>
        <w:rPr>
          <w:rFonts w:ascii="arial" w:eastAsia="arial" w:hAnsi="arial" w:cs="arial"/>
          <w:i/>
          <w:color w:val="000000"/>
          <w:sz w:val="20"/>
          <w:lang w:val="en-US" w:eastAsia="en-US" w:bidi="ar-SA"/>
        </w:rPr>
        <w:t>MacShannon's</w:t>
      </w:r>
      <w:r>
        <w:rPr>
          <w:rFonts w:ascii="arial" w:eastAsia="arial" w:hAnsi="arial" w:cs="arial"/>
          <w:color w:val="000000"/>
          <w:sz w:val="20"/>
          <w:lang w:val="en-US" w:eastAsia="en-US" w:bidi="ar-SA"/>
        </w:rPr>
        <w:t xml:space="preserve"> case [1978] 1 All E.R. 625 at 630 ..., as indicating that justice can be done in the other forum at 'substantially less inconvenience or expense'. Having regard to the anxiety expressed in your Lordships' House in the </w:t>
      </w:r>
      <w:r>
        <w:rPr>
          <w:rFonts w:ascii="arial" w:eastAsia="arial" w:hAnsi="arial" w:cs="arial"/>
          <w:i/>
          <w:color w:val="000000"/>
          <w:sz w:val="20"/>
          <w:lang w:val="en-US" w:eastAsia="en-US" w:bidi="ar-SA"/>
        </w:rPr>
        <w:t>Société du Gaz</w:t>
      </w:r>
      <w:r>
        <w:rPr>
          <w:rFonts w:ascii="arial" w:eastAsia="arial" w:hAnsi="arial" w:cs="arial"/>
          <w:color w:val="000000"/>
          <w:sz w:val="20"/>
          <w:lang w:val="en-US" w:eastAsia="en-US" w:bidi="ar-SA"/>
        </w:rPr>
        <w:t xml:space="preserve"> case (1926) S.C. (H.L.) 13 concerning the use of the word "convenience" in this context, I respectfully consider that it may be more desirable, now that the English and Scottish principles are regarded as being the same, to adopt the expression used by Lord Keith in </w:t>
      </w:r>
      <w:r>
        <w:rPr>
          <w:rFonts w:ascii="arial" w:eastAsia="arial" w:hAnsi="arial" w:cs="arial"/>
          <w:i/>
          <w:color w:val="000000"/>
          <w:sz w:val="20"/>
          <w:lang w:val="en-US" w:eastAsia="en-US" w:bidi="ar-SA"/>
        </w:rPr>
        <w:t>The Abidin Daver</w:t>
      </w:r>
      <w:r>
        <w:rPr>
          <w:rFonts w:ascii="arial" w:eastAsia="arial" w:hAnsi="arial" w:cs="arial"/>
          <w:color w:val="000000"/>
          <w:sz w:val="20"/>
          <w:lang w:val="en-US" w:eastAsia="en-US" w:bidi="ar-SA"/>
        </w:rPr>
        <w:t xml:space="preserve"> [1984] 1 All E.R. 470 at 479 ... when he referred to </w:t>
      </w:r>
      <w:r>
        <w:rPr>
          <w:rFonts w:ascii="arial" w:eastAsia="arial" w:hAnsi="arial" w:cs="arial"/>
          <w:color w:val="000000"/>
          <w:sz w:val="20"/>
          <w:u w:val="single"/>
          <w:lang w:val="en-US" w:eastAsia="en-US" w:bidi="ar-SA"/>
        </w:rPr>
        <w:t>the 'natural forum' as being that "with which the action has the most real and substantial connection". So it is for connecting factors in this sense that the court must first look; and these will include not only factors affecting convenience or expense (such as availability of witnesses), but also other factors such as the law governing the relevant transaction ... and the places where the parties respectively reside or carry on business</w:t>
      </w: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the court concludes at that stage that there is no other available forum which is clearly more appropriate for the trial of the action, it will ordinarily refuse a stay</w:t>
      </w:r>
      <w:r>
        <w:rPr>
          <w:rFonts w:ascii="arial" w:eastAsia="arial" w:hAnsi="arial" w:cs="arial"/>
          <w:color w:val="000000"/>
          <w:sz w:val="20"/>
          <w:lang w:val="en-US" w:eastAsia="en-US" w:bidi="ar-SA"/>
        </w:rPr>
        <w:t>. ...</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If, however, the court concludes at that stage that there is some other available forum which </w:t>
      </w:r>
      <w:r>
        <w:rPr>
          <w:rFonts w:ascii="arial" w:eastAsia="arial" w:hAnsi="arial" w:cs="arial"/>
          <w:i/>
          <w:color w:val="000000"/>
          <w:sz w:val="20"/>
          <w:u w:val="single"/>
          <w:lang w:val="en-US" w:eastAsia="en-US" w:bidi="ar-SA"/>
        </w:rPr>
        <w:t>prima facie</w:t>
      </w:r>
      <w:r>
        <w:rPr>
          <w:rFonts w:ascii="arial" w:eastAsia="arial" w:hAnsi="arial" w:cs="arial"/>
          <w:color w:val="000000"/>
          <w:sz w:val="20"/>
          <w:u w:val="single"/>
          <w:lang w:val="en-US" w:eastAsia="en-US" w:bidi="ar-SA"/>
        </w:rPr>
        <w:t xml:space="preserve"> is clearly more appropriate for the trial of the action, it will ordinarily grant a stay unless there are circumstances by reason of which justice requires that a stay should nevertheless not be granted</w:t>
      </w:r>
      <w:r>
        <w:rPr>
          <w:rFonts w:ascii="arial" w:eastAsia="arial" w:hAnsi="arial" w:cs="arial"/>
          <w:color w:val="000000"/>
          <w:sz w:val="20"/>
          <w:lang w:val="en-US" w:eastAsia="en-US" w:bidi="ar-SA"/>
        </w:rPr>
        <w:t xml:space="preserve">. In this inquiry, the court will consider all the circumstances of the case, including circumstances which go beyond those taken into account when considering connecting factors with other jurisdictions. One such factor can be the fact, if established objectively by cogent evidence, that the plaintiff will not obtain justice in the foreign jurisdiction ... How far other advantages to the plaintiff in proceedings in this country may be relevant in this connection, I shall have to consider at a later stage. [At 854-6,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Goff;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question of such "advantages", Lord Goff also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mere fact that the plaintiff has a legitimate personal or juridical advantage in proceedings in England cannot be decisive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key to the solution of the problem lies, in my judgment, in the underlying fundamental principle. We have to consider where the case may be tried 'suitably for the interests of all the parties and for the ends of justice'. [At 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BNSF Railway v. North American Reload Inc.,</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2007 BCSC 1184</w:t>
        </w:r>
      </w:hyperlink>
      <w:r>
        <w:rPr>
          <w:rFonts w:ascii="arial" w:eastAsia="arial" w:hAnsi="arial" w:cs="arial"/>
          <w:color w:val="000000"/>
          <w:sz w:val="20"/>
          <w:lang w:val="en-US" w:eastAsia="en-US" w:bidi="ar-SA"/>
        </w:rPr>
        <w:t xml:space="preserve"> N. Smith J. cited </w:t>
      </w:r>
      <w:r>
        <w:rPr>
          <w:rFonts w:ascii="arial" w:eastAsia="arial" w:hAnsi="arial" w:cs="arial"/>
          <w:b/>
          <w:i/>
          <w:color w:val="000000"/>
          <w:sz w:val="20"/>
          <w:lang w:val="en-US" w:eastAsia="en-US" w:bidi="ar-SA"/>
        </w:rPr>
        <w:t>Lloyd's Underwriters</w:t>
      </w:r>
      <w:r>
        <w:rPr>
          <w:rFonts w:ascii="arial" w:eastAsia="arial" w:hAnsi="arial" w:cs="arial"/>
          <w:color w:val="000000"/>
          <w:sz w:val="20"/>
          <w:lang w:val="en-US" w:eastAsia="en-US" w:bidi="ar-SA"/>
        </w:rPr>
        <w:t xml:space="preserve"> at para. 7, noting the court said s. 11 is intended to codify, rather than change, the common law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and that the list of factors in s. 11(2) is not exhaustive. The court then commented that the list of factors is broadly similar to, and incorporates those set out in </w:t>
      </w:r>
      <w:r>
        <w:rPr>
          <w:rFonts w:ascii="arial" w:eastAsia="arial" w:hAnsi="arial" w:cs="arial"/>
          <w:b/>
          <w:i/>
          <w:color w:val="000000"/>
          <w:sz w:val="20"/>
          <w:lang w:val="en-US" w:eastAsia="en-US" w:bidi="ar-SA"/>
        </w:rPr>
        <w:t>Spar Aerospace Ltd. v. American Mobile Satellite Corp.,</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2002 SCC 78</w:t>
        </w:r>
      </w:hyperlink>
      <w:r>
        <w:rPr>
          <w:rFonts w:ascii="arial" w:eastAsia="arial" w:hAnsi="arial" w:cs="arial"/>
          <w:color w:val="000000"/>
          <w:sz w:val="20"/>
          <w:lang w:val="en-US" w:eastAsia="en-US" w:bidi="ar-SA"/>
        </w:rPr>
        <w:t xml:space="preserve"> at para. 71:</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residence, that of witnesses and experts;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material evidence;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place where the contract was negotiated and executed;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proceedings pending between the parties in another jurisdiction;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Defendant's assets;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law;</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Advantages conferred upon Plaintiff by its choice of forum, if any;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 of justice;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 of the parties;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to have the judgment recognized in another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Amchem Products Inc. v. British Columbia (Workers' Compensation Board)</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xml:space="preserve"> at p. 921 found that "... the existence of a more appropriate forum must be </w:t>
      </w:r>
      <w:r>
        <w:rPr>
          <w:rFonts w:ascii="arial" w:eastAsia="arial" w:hAnsi="arial" w:cs="arial"/>
          <w:color w:val="000000"/>
          <w:sz w:val="20"/>
          <w:u w:val="single"/>
          <w:lang w:val="en-US" w:eastAsia="en-US" w:bidi="ar-SA"/>
        </w:rPr>
        <w:t>clearly</w:t>
      </w:r>
      <w:r>
        <w:rPr>
          <w:rFonts w:ascii="arial" w:eastAsia="arial" w:hAnsi="arial" w:cs="arial"/>
          <w:color w:val="000000"/>
          <w:sz w:val="20"/>
          <w:lang w:val="en-US" w:eastAsia="en-US" w:bidi="ar-SA"/>
        </w:rPr>
        <w:t xml:space="preserve"> established to displace the forum selected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the defendant has failed to clearly establish that Alberta is a more appropriate forum for this proceeding. Key witnesses and evidence are here. There is no spectre of interfering with other proceedings as there are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plaintiff submits the Alberta </w:t>
      </w:r>
      <w:r>
        <w:rPr>
          <w:rFonts w:ascii="arial" w:eastAsia="arial" w:hAnsi="arial" w:cs="arial"/>
          <w:b/>
          <w:i/>
          <w:color w:val="000000"/>
          <w:sz w:val="20"/>
          <w:lang w:val="en-US" w:eastAsia="en-US" w:bidi="ar-SA"/>
        </w:rPr>
        <w:t>Limitations Act,</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R.S.A. 2000 c. L-12</w:t>
        </w:r>
      </w:hyperlink>
      <w:r>
        <w:rPr>
          <w:rFonts w:ascii="arial" w:eastAsia="arial" w:hAnsi="arial" w:cs="arial"/>
          <w:color w:val="000000"/>
          <w:sz w:val="20"/>
          <w:lang w:val="en-US" w:eastAsia="en-US" w:bidi="ar-SA"/>
        </w:rPr>
        <w:t xml:space="preserve">, would preclude his action against the defendant, but also, under s. 6(3) of the British Columbia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running of the limitation period is postponed in certain circumstances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Declining jurisdiction would deprive the plaintiff of the legitimate juridical advantages available in this Court including the advantage of the application of the British Columbia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The defendant says he would argue, even if this proceeding took place in British Columbia, that Alberta law governed the retainer or agreement. He says that if the case proceeded in Alberta, it would do so without the need for an expert to prove foreign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Despite that potential argument, the plaintiff has established a real and substantial connection between British Columbia and the facts on which this proceeding is based. This connection is strongly presumed under ss. 10(e) and (g)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The defendant takes a too narrow and restricted interpretation of the connection between British Columbia and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summary, I find this Court is the appropriate jurisdiction for this proceeding. The British Columbia Supreme Court accepts jurisdiction having found the required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application for a stay is refused. The plaintiff's application for an order granting leave to serve the writ and summons and amended statement of claim on the defendant outside British Columbia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Ross v. Canada (Attorney General), [2013] B.C.J. No. 1782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S10992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1782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1464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Scott Curtis Ross and Pacific Coast Marine Surveying, Plaintiff, and The Attorney General of Canada and The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Civil litigation — Civil procedure — Parties — Capacity to sue or be sued — Pleadings — Striking out pleadings or allegations — Grounds — Failure to disclose a cause of action or defence — False, frivolous, vexatious or abuse of process — Disposition without trial — Application by defendants for order striking plaintiff's claim without leave to amend allowed — It was plain and obvious that notice of civil claim disclosed no reasonable cause of action — There were no material facts to establish essential elements of claims — Pleadings were vexatious — Pleadings made allegations against unidentified individuals, as well as entities that were incapable of being sued — It was plain and obvious that the allegations were unnecessary, scandalous and frivolous or vexatious — Supreme Court Civil Rules, Rule 9-5.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7"/>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an order striking the plaintiff's claim as disclosing no cause of action and as unnecessary, scandalous, frivolous or vexatious. The plaintiffs filed no response to the defendants' application. The pleadings were difficult to follow and appeared to advance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defamation, malicious prosecution, conspiracy, false arrest, false imprisonment, perjury and Charter breaches. The allegations appeared to originate in an incident involving a rescue tow of a distressed vessel by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6"/>
            <w:bookmarkEnd w:id="5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establish a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pleadings did not plead a duty of care. The required material facts to establish the circumstances in which a duty was owed were absent. The pleadings made bald assertions of defamation. They failed to set out the alleged defamatory words. They also failed to demonstrate that the impugned words were defamatory, that the words referred to the plaintiff, and that the words were published. The pleadings failed to set out the requirements to prove malicious prosecution or conspiracy. No material facts were pleaded in support of the claim for false arrest and imprisonment. No facts were pleaded to support the alleged Charter violation. There were no facts to support or demonstrate why Charter damages would be appropriate. There is no tort of perjury. It was plain and obvious that the notice of civil claim disclosed no reasonable cause of action. There were no material facts pleaded to establish the essential elements of the claims. The notice of civil claim was not capable of amendment and was struck in its entirety. The pleadings were vexatious as they lacked material facts sufficient to form a basis for any of the claims advanced. The pleadings made allegations against unidentified individuals, as well as the Federal Court of Canada, which is an entity that is incapable of being sued. It was plain and obvious that the allegations were unnecessary, scandalous and vexatious. The pleadings named the Attorney General of Canada on the basis that the Attorney General represented the Federal Court of Canada. The Federal Court is not a legal entity that can sue or be sued and no action lies for acts or omissions of a judge in the performance of his or her judicial duties. The naming of the Attorney General of British Columbia as a defendant for failure to ensure that crown prosecutors act within their legal scope appeared to invoke the tort of malicious prosecution, the elements of which were not pleaded. There were references to the Royal Canadian Mounted Police, as well as to individual officers. The proper defendant was the Provincial Minister of Justice. Such references failed to advance any claims and contained irrelevant commentary.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Legislation Cited_3"/>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2"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3-1(2)(a), Rule 9-5, Rule 9-5(b)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5" w:name="Counsel_7"/>
      <w:bookmarkEnd w:id="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Curtis Ross: Not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A.S. Sanghera.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4"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Chambers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R.D. PUNNETT J."/>
            <w:bookmarkEnd w:id="57"/>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April 24, 2013 the plaintiffs filed a notice of civil claim against the two named defendants. The defendants apply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an order that the claim be struck without leave to amend and that all claims against the defendants be dismissed. Alternatively, if the notice of civil claim is not struck, the defendants seek a reasonable time in which to file a response after an order is made respecting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Ross represents himself and Pacific Coast Marine Surveying. While not apparent from the style of cause he has signed on behalf of an entity described as Pacific Coast Marine Surveying and Repair Consultants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Ross did not appear. Counsel provided copies of correspondence of May 21, 2013, June 18, 2013 and July 3, 2013, to Mr. Ross at his address for delivery. Counsel also provided the facsimile transmission confirmation slips indicating they were received. No reply was received from Mr. Ross and he filed no response to the application on behalf of either of the plaintiffs. I am satisfied that the plaintiffs had notice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Aside from receipt of the original notice of civil claim counsel advise that neither defendant has received any other communication from Mr. Ross nor has he made any filings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pleadings are problematic as they are scattered, unclear and grammatically difficult to follow. They appear to advance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defamation, malicious prosecution, conspiracy, false arrest, false imprisonment, perjury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against the named defendants as well as other entities not capable of being sued and in many instances, unnamed.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allegations appear to originate in an incident that occurred on May 10, 2011 involving a rescue tow of a distressed vessel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burden is on the defendants to establish that it is plain, obvious and beyond doubt that the pleading must fail for want of a cause of action. If it is possible that the plaintiff could succeed on the claim as filed or as may be amended the plaintiff is entitled to pursue the matter to trial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however incumbent on the plaintiff to plead the material facts necessary to formulate a cause of action and upon which they rely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(1988), 25 C.P.C. (4th) 107</w:t>
        </w:r>
      </w:hyperlink>
      <w:r>
        <w:rPr>
          <w:rFonts w:ascii="arial" w:eastAsia="arial" w:hAnsi="arial" w:cs="arial"/>
          <w:color w:val="000000"/>
          <w:sz w:val="20"/>
          <w:lang w:val="en-US" w:eastAsia="en-US" w:bidi="ar-SA"/>
        </w:rPr>
        <w:t xml:space="preserve">, para. 5 and Rule 3-1(2)(a)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motion to strike a pleading proceeds on the assumption that the facts pleaded are true. The court must, on that basis, decide if the facts disclose a reasonable cause of action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at para. 23). While the pleadings do not have to expressly refer to a particular cause of action, where multiple causes of action are alleged against multiple defendants a plaintiff must clearly set out which facts relate to which cause of action and against which defendant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these general principles in mind I turn to the notice of civil claim and the apparent causes of action pleaded. A copy of the notice of civil claim is appended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Allegation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Paragraphs 5, 7, 18 and "K" appear to assert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the plaintiffs do not plead a duty of care, nor material facts, to establish the circumstances in which a duty was owed nor who owed them a duty of care. The required material facts are absent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These deficiencies lead to a failure to establish a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Paragraphs 8, 20, 34 and "H" raise the issue of defamation by simply making bald assertions of defamation. They fail to set out the alleged defamatory words (</w:t>
      </w:r>
      <w:r>
        <w:rPr>
          <w:rFonts w:ascii="arial" w:eastAsia="arial" w:hAnsi="arial" w:cs="arial"/>
          <w:i/>
          <w:color w:val="000000"/>
          <w:sz w:val="20"/>
          <w:lang w:val="en-US" w:eastAsia="en-US" w:bidi="ar-SA"/>
        </w:rPr>
        <w:t>Central Minera Corp.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Lavarack</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2001 BCSC 349</w:t>
        </w:r>
      </w:hyperlink>
      <w:r>
        <w:rPr>
          <w:rFonts w:ascii="arial" w:eastAsia="arial" w:hAnsi="arial" w:cs="arial"/>
          <w:color w:val="000000"/>
          <w:sz w:val="20"/>
          <w:lang w:val="en-US" w:eastAsia="en-US" w:bidi="ar-SA"/>
        </w:rPr>
        <w:t xml:space="preserve"> at para. 12; Rule 3-7(21)).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They also fail to demonstrate:</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words were defamatory in the sense that they tend to lower the plaintiffs reputation in the eyes of a reasonable person;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in fact refer to the plaintiff;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were published, meaning that they were communicated to at least one person other than the 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Torstar Corporation,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the extent that any facts are pleaded respecting defamation they appear to refer to statements made by unnamed individuals in court proceedings, statements that are, when made in judicial proceedings as part of those proceedings, protected by absolute privilege in any event (</w:t>
      </w:r>
      <w:r>
        <w:rPr>
          <w:rFonts w:ascii="arial" w:eastAsia="arial" w:hAnsi="arial" w:cs="arial"/>
          <w:i/>
          <w:color w:val="000000"/>
          <w:sz w:val="20"/>
          <w:lang w:val="en-US" w:eastAsia="en-US" w:bidi="ar-SA"/>
        </w:rPr>
        <w:t>Geyer v. Merritt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(1979), 16 B.C.L.R. 27</w:t>
        </w:r>
      </w:hyperlink>
      <w:r>
        <w:rPr>
          <w:rFonts w:ascii="arial" w:eastAsia="arial" w:hAnsi="arial" w:cs="arial"/>
          <w:color w:val="000000"/>
          <w:sz w:val="20"/>
          <w:lang w:val="en-US" w:eastAsia="en-US" w:bidi="ar-SA"/>
        </w:rPr>
        <w:t xml:space="preserve"> (S.C.), affirmed </w:t>
      </w:r>
      <w:hyperlink r:id="rId151" w:history="1">
        <w:r>
          <w:rPr>
            <w:rFonts w:ascii="arial" w:eastAsia="arial" w:hAnsi="arial" w:cs="arial"/>
            <w:i/>
            <w:color w:val="0077CC"/>
            <w:sz w:val="20"/>
            <w:u w:val="single"/>
            <w:shd w:val="clear" w:color="auto" w:fill="FFFFFF"/>
            <w:lang w:val="en-US" w:eastAsia="en-US" w:bidi="ar-SA"/>
          </w:rPr>
          <w:t>26 B.C.L.R. 374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Malicious Prosecution and/or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notice of civil claim in paras. 15, 16, 19, 22-25, 29, 31-37 and 40 make claims for malicious prosecution and/or conspiracy. While it is difficult to comprehend their context it appears they relate to involvement of the plaintiff Mr. Ross in a criminal matter and a Federal Court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tort of malicious prosecution requires that a plaintiff prove: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prosecuted;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concluded in their favour;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reasonable and probable cause;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was initiated and/or continued for an improper purpose.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Kvello Estate</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at paras. 3, 53-56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claim for damages for conspiracy requires that the pleadings set out that there are several parties and describe their relationship with each other, the alleged agreement to conspire, the purpose or objects of the alleged conspiracy and the acts alleged to have been done to further the conspiracy, and finally the injury and damage occasioned to the plaintiff as a result (</w:t>
      </w:r>
      <w:r>
        <w:rPr>
          <w:rFonts w:ascii="arial" w:eastAsia="arial" w:hAnsi="arial" w:cs="arial"/>
          <w:i/>
          <w:color w:val="000000"/>
          <w:sz w:val="20"/>
          <w:lang w:val="en-US" w:eastAsia="en-US" w:bidi="ar-SA"/>
        </w:rPr>
        <w:t>Cement LeFarge v. B.C. Lightweight Aggregate</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i/>
          <w:color w:val="000000"/>
          <w:sz w:val="20"/>
          <w:lang w:val="en-US" w:eastAsia="en-US" w:bidi="ar-SA"/>
        </w:rPr>
        <w:t>; Alford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(Attorney General of)</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notice of civil claim fails to fulfill these requirements.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False Arrest and False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Paragraphs 5 and 17 of the notice of civil claim refer to false arrest and false imprisonment but no material facts are pleaded in support. For example, there are no facts alleged respecting the circumstances of the alleged arrest and imprisonment.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Alleged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Firstly, no facts are pleaded to support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violation. The pleadings merely allege such in paras. 33 and "E". This is not sufficient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at para. 4). Secondly there are no facts that would support or demonstrate why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would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claim makes allegations of perjury in paras. 22, 25, 28, 36 and "F". As witnesses are immune from civil action there is no tort of perjury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2012 BCSC 1830</w:t>
        </w:r>
      </w:hyperlink>
      <w:r>
        <w:rPr>
          <w:rFonts w:ascii="arial" w:eastAsia="arial" w:hAnsi="arial" w:cs="arial"/>
          <w:color w:val="000000"/>
          <w:sz w:val="20"/>
          <w:lang w:val="en-US" w:eastAsia="en-US" w:bidi="ar-SA"/>
        </w:rPr>
        <w:t xml:space="preserve">, para. 67; </w:t>
      </w:r>
      <w:r>
        <w:rPr>
          <w:rFonts w:ascii="arial" w:eastAsia="arial" w:hAnsi="arial" w:cs="arial"/>
          <w:i/>
          <w:color w:val="000000"/>
          <w:sz w:val="20"/>
          <w:lang w:val="en-US" w:eastAsia="en-US" w:bidi="ar-SA"/>
        </w:rPr>
        <w:t>McDaniel v. McDaniel</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2009 BCCA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summary, it is plain and obvious that the notice of civil claim discloses no reasonable causes of action. While it appears to invoke certain causes of action there are no material facts pleaded to establish the essential elements of those claims. Others do not form a basis for a claim. The notice of civil claim is not capable of amendment. As a result it is struck in its entirety pursuant to Rule 9-5(a) given it discloses no reasonable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need not address the second part of the defendant's application that the pleadings be struck because they are unnecessary, scandalous, frivolous or vexatious. However, in the event I am mistaken in striking the notice of civil claim for disclosing no reasonable causes of action I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Rule 9-5(b) provides that pleadings may be struck where they are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frivolous pleading is one without substance, is groundless, fanciful, trifles with the court or wastes time (</w:t>
      </w:r>
      <w:r>
        <w:rPr>
          <w:rFonts w:ascii="arial" w:eastAsia="arial" w:hAnsi="arial" w:cs="arial"/>
          <w:i/>
          <w:color w:val="000000"/>
          <w:sz w:val="20"/>
          <w:lang w:val="en-US" w:eastAsia="en-US" w:bidi="ar-SA"/>
        </w:rPr>
        <w:t>Jerry Rose Jr.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University of British Columbia,</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2008 BCSC 1661</w:t>
        </w:r>
      </w:hyperlink>
      <w:r>
        <w:rPr>
          <w:rFonts w:ascii="arial" w:eastAsia="arial" w:hAnsi="arial" w:cs="arial"/>
          <w:color w:val="000000"/>
          <w:sz w:val="20"/>
          <w:lang w:val="en-US" w:eastAsia="en-US" w:bidi="ar-SA"/>
        </w:rPr>
        <w:t xml:space="preserve"> at para 9, quoting from </w:t>
      </w:r>
      <w:r>
        <w:rPr>
          <w:rFonts w:ascii="arial" w:eastAsia="arial" w:hAnsi="arial" w:cs="arial"/>
          <w:i/>
          <w:color w:val="000000"/>
          <w:sz w:val="20"/>
          <w:lang w:val="en-US" w:eastAsia="en-US" w:bidi="ar-SA"/>
        </w:rPr>
        <w:t>McNutt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A.G. Canada et al,</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2004 BCSC 1113</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pleading is vexatious if it does not disclose a claim known to the law or if does not establish the cause of action alleged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scandalous pleading is so irrelevant it will result in useless expense and will prejudice the trial of the action by involving the parties in a dispute separate from the issues (</w:t>
      </w:r>
      <w:r>
        <w:rPr>
          <w:rFonts w:ascii="arial" w:eastAsia="arial" w:hAnsi="arial" w:cs="arial"/>
          <w:i/>
          <w:color w:val="000000"/>
          <w:sz w:val="20"/>
          <w:lang w:val="en-US" w:eastAsia="en-US" w:bidi="ar-SA"/>
        </w:rPr>
        <w:t>Citizens</w:t>
      </w:r>
      <w:r>
        <w:rPr>
          <w:rFonts w:ascii="arial" w:eastAsia="arial" w:hAnsi="arial" w:cs="arial"/>
          <w:color w:val="000000"/>
          <w:sz w:val="20"/>
          <w:lang w:val="en-US" w:eastAsia="en-US" w:bidi="ar-SA"/>
        </w:rPr>
        <w: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will be clear from these reasons the pleadings are vexatious as they lack material facts sufficient to form a basis for any of the claims apparently advanced against the defendants. They are argumentative, full of speculation and conjecture and fail to address the most basic requirements for pleadings. The notice of civil claim cannot be cogently responded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example the pleadings make a myriad of allegations against "others", apparently unidentified members of the community, as well as against a paramedic, a host of unnamed lawyers including prosecutors (notice of civil claim paras. 7-9, 11, 13, 14, 16, 19, 20, 22, 23 and 30). They also make allegations against the Federal Court of Canada, an entity that is incapable of being sued (</w:t>
      </w:r>
      <w:r>
        <w:rPr>
          <w:rFonts w:ascii="arial" w:eastAsia="arial" w:hAnsi="arial" w:cs="arial"/>
          <w:i/>
          <w:color w:val="000000"/>
          <w:sz w:val="20"/>
          <w:lang w:val="en-US" w:eastAsia="en-US" w:bidi="ar-SA"/>
        </w:rPr>
        <w:t>Morier and Boily v. Rivard,</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[1985] 2 S.C.R. 716</w:t>
        </w:r>
      </w:hyperlink>
      <w:r>
        <w:rPr>
          <w:rFonts w:ascii="arial" w:eastAsia="arial" w:hAnsi="arial" w:cs="arial"/>
          <w:color w:val="000000"/>
          <w:sz w:val="20"/>
          <w:lang w:val="en-US" w:eastAsia="en-US" w:bidi="ar-SA"/>
        </w:rPr>
        <w:t>, notice of civil claim paras. 16, 31, 32, 33,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it is plain and obvious that the allegations are unnecessary, scandalous and frivolous or vexatious and strike them for those reasons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pleadings also suffer from additional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pleadings name the Attorney General of Canada as a defendant on the basis that the "Attorney General of Canada represents the Federal Court of Canada". The Federal Court of Canada is not a legal entity that can sue or be sued and no action lies for acts or omissions of a judge in the performance of his or her judicial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naming of the Attorney General of British Columbia as a defendant is based on the allegation that the Attorney General of British Columbia is to "ensure that crown prosecutors act within there [sic] legal scope". This appears to invoke the tort of malicious prosecution, the elements of which as noted earlier, have not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there are references to the Royal Canadian Mountain Police as well as to individual officers. Firstly the proper defendant is the Provincial "Minister of Justice". Secondly, such references found at paras. 5, 7, 9-11, 12, 17, 28, "J" and "K" fail to advance any claims, contain irrelevant commentary and are not capable of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these reasons the notice of civil claim is struck in its entirety without leave to amend. The defendants shall have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(Unedited: Notice of Civil Claim as filed)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Form 1 (Rule 311 (1))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NOTICE OF CIVIL CLA1M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File No. S10992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CAMPBELL RIVER Registry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matter of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SCOTT CURTIS ROSS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scott curtis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PACIFIC COAST MARINE SURVEYING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ATTORNEY GENERAL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NOTICE OF CIVIL CLAIM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This action has been started by the plaintiff(s) for the relief set out in Part 2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respond to this action, you or your lawyer must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fan the plaintiff(s),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Canada, within 21 days after that service,</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the United States of America, within 35 days after that service,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if you were served with the notice of civil claim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anywhere else, within 49 days after I that service, or</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STATEMENT OF FACTS</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Scott Ross Is a Commercial Fisherman, Marine Surveyor for Pacific Coast Marine Surveying and the sole and body of a person born in British Columbia Canada, operating at 1527 Antler Road On Quadra Island B.C.</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Canada represents The Federal Court Of Canada The Attorney General is the chief law officer of the Executive Council. The responsibilities stemming from this role are unlike those of any other Cabinet member. The role has been "guardian of the public interest". Must see that the administration of public affairs is in accordance with law.</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Attorney General of British Columbia, appointed by the Lieutenant Governor by Commission under the Great Seal, must preside over the Ministry of Justice and must see that the administration of public affairs is in accordance with law, must superintend all matters connected with the administration of justice in British Columbia that are not within the jurisdiction of the government of Canada,</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10th day of May in 2011, The Fishing vessel challenger was involved in a rescue tow bringing the distressed vessel st Nicholas and its owner Michael Seggerson to Heriot Bay. Michael at the time was in shock from the peril.</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Corporal Shane Worth of the Quadra Island police detachment was called to the harbour. He interfered in the rescue while there was a dangerous situation. For no apparent reason of law, he threatened saying that he will chop the tie up lines and let the coast guard deal with the boats. He then falsely arrested the plaintiff putting the plaintiff in the police car, and made demands to Mr Seggerson to take the vessels away by himself. He had no jurisdiction to make threat to send two 76 foot fishing vessels to sea without any masters or crew.</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Seggerson filed a complaint with the complaints commission with no result. His condition of shock may have needed some attention.</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several more incidents where Corporal worth interfered with the daily operations of the plaintiffs and continued with threats and intimidation to run the plaintiffs out of town. The "others" here in described as members of the community and some fisherman, taking stand showing prejudice, aggression and intimidation in many forms.</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His lack of profession demonstrated to the "others", that set an example of lawlessness. The "others" formed a group to rob, slander, threaten and damage the plaintiffs business and his employer's vessels without any consequences. Several threats of murder were uttered including a BC Ambulance employee that said to the plaintiff quote "you better not get in an accident because I am the head paramedic and I will not revive you".</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19 2011 Corporal Worth did witness members of the "others", making more threats with a chainsaw and a can of gas, threading to sink the vessel and drown the plaintiff. Another "other" attacked and threatened with an axe. The "others" continued with a feeling of super power of lawlessness. The axe attacker said he was coming back with his shotgun. This was witnessed by many credible witnesses whom were also feared by the threats made by the attacker s. Corporal worth tells a different story saying that there were no witnesses and no threats were made.</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Sergeant Boyle of the complaints commission for the RCMP did here both sides of the story but knowingly delayed ruling of the complaints and refused to investigate any of the other incidents.</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3 2011 The "others" staged a performance to have the plaintiff arrested with the assistance of RCMP member Constable Chad Murray who instructed and encouraged them to carry on with their plan. Again the attackers did threaten to drown the plaintiff than physically attempted to drown the plaintiff.</w:t>
      </w:r>
    </w:p>
    <w:p>
      <w:pPr>
        <w:numPr>
          <w:numId w:val="2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Chad Murray did find a witness to collaborate the false statements made by the accusers however the witness was so drunk that the RCMP was able to put their own words to the totally inebriated man. At the time of the incident, the witness was laying on the dock and trying to catch his balance to get up.</w:t>
      </w:r>
    </w:p>
    <w:p>
      <w:pPr>
        <w:numPr>
          <w:numId w:val="2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did find a credible witness that had seen first hand the incidents on July 19 and August the third, and several other matters. This person has personal knowledge and belief that the incidents on both dates were pre meditated by the "others". The evidence was never produced by the RCMP and the truth was concealed.</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28 2012 Michael Seggerson was found dead, possibly murdered. Corporal Worth was the investigating officer that had access to several documented evidence and film of the actions of the RCMP and the "others" These films and documents were not recovered but there were more witnesses and some with cameras.</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criminal allegations brought forth against the plaintiff was clearly to favor a Federal Court decision. The plaintiff has evidence and witnesses that have personal knowledge and belief, that the lawyer for the informants coached the "others" in what to do. The informants conspired with the R.C.M.P Therefore, criminal perjury and conspiracy was committed.</w:t>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did interfere and conspire with the Federal Court and collaborated with the council for the others. They also convinced the Provincial Crown Prosecutor to conspire with the intent of crossing of jurisdictions for the purpose of flagrant impropriety in both jurisdictions of courts.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Murray arrested the plaintiff on August 3 2011 and drove towards the back roads instead of the normal route to the police station. He made a comment about taking the plaintiff to the backwoods and murdering the plaintiff. The plaintiff was in a panic state before the officer turned the threat into a joke. Before the joke was reviled, the plaintiff had a raise in blood pressure and considered in the situation, the plaintiff feared for his life and felt like he was having a stroke. The plaintiff was locked up for several hours without water. The plaintiff had to beg for a drink of water when he did get a drink, it tasted like it may have been poisoned and was undrinkable.</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read his rights but chose not to make a statement because of the emotional and distressed condition and requested medical attention, but was refused. Constable Murray made a discriminating: statement out of the simple conversation and he constructed lies. He did commit a form of collusion with the accusers. The plaintiff was incarcerated and mistreated by the guards because that the plaintiff had never had a criminal record and that they were mad for having to type in the information manually. They refused to provide medical attention as the plaintiff's swelling leg and foot and elevated heart rate.</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arraignment hearing August 4 201 I at 4 pm, had Doug Marion as the duty council representing the plaintiff. He pleaded with the prosecution about using this alleged criminal matter crossing over into the Federal Court in clear violation of the system. There were more than enough clear representations in the particulars that perjury was obvious. The prosecution acted maliciously without diligence, leading the way for corruption within the court of law.</w:t>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of the trial, July 3 2012 The plaintiff witnessed the Prosecutor coaching the accusers not to answer any examination questions regarding the Federal Court or anything to do with admiralty law. There is statements made by the accusers and the RCMP pertaining to the actions they filed in the Federal Court. The allegations made in the Provincial Court were made prejudice and defamatory representations were written and said.</w:t>
      </w: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prosecutor offered a peace bond as a temporary resolution, which was only accepted by the plaintiff as a temporary solution with the Honorable Judge Joe suggesting that the plaintiff could bring this matter back for review.</w:t>
      </w:r>
    </w:p>
    <w:p>
      <w:pPr>
        <w:numPr>
          <w:numId w:val="3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Provincial Crown Prosecutor objected to the September hearing of review and continued with the malicious prosecution thus causing further harm and again, committed perjury with unexamined evidence. The plaintiff was banned from his employment from his workplace for a year. The plaintiffs employer suffered another huge loss as a result of this.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sz w:val="20"/>
          <w:lang w:val="en-US" w:eastAsia="en-US" w:bidi="ar-SA"/>
        </w:rPr>
        <w:cr/>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did threaten the plaintiff with frivolous criminal charges if the plaintiff did not except the terms of the peace bond. The Prosecutor protested to allow the trial to go ahead saying that a 2 day trial was unnecessary. The plaintiff's lawyer Doug Marion, declined to represent the plaintiff knowing that the crossing of jurisdictions is unjust. He turned the case over to Mr. Harmoth who also protested for a trial because he was only getting paid for 2 appearances and 2 half days of trial. The plaintiff did demand to go ahead with the trial but was manipulated by both councilors and the prosecution whom all agreed to a 2 day trial at the pre trial hearing.</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believed that the reason was the fact that there was so much evidence showing that the trial was corrupted and a scandal would be exposed. The plaintiff has over 100 pages of statements made by the accusers, police statement, pictures, films and witnesses. If the plaintiff had to stand self represented, 4 to 6 days may have not been enough time to fairly defend and examine every document, affidavit and representations from those involved.</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Scott Ross was not prosecuted, nor was he given a fair and equal trial to prove his allegations of perjured depositions made by the informants and Police statements. No document was ever examined and the Federal Court ruled and totally relied on the malicious and perjured allegations made in the jurisdiction of the Provincial Court.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arrested and taken from his employers vessels and arrested; therefore he could not prepare any defence for the Federal Court hearing. The vessel, CHALLENGER was boarded, the fuel drains were opened, which resulted in about 1000 gallons of fuel draining into the bilge. Someone opened the sea cocks, opened valves and loosened the brake on the anchor winch.</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an act of terrorism believed to be done in order to have the vessel arrested for oil pollution, possibly sinking and dragging anchor. The RCMP were informed of these incidences and refused to take statements from the witnesses who seen the accusers aboard and inside the vessel. The police did facilitate the opportunity for someone to board the vessel with probability that damage could happen and did.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Sergeant Boyle of the RCMP complaints investigations detachment was assigned to investigate the malicious actions of the police officers but dismissed the complaint based on the officer's perjured documents. The plaintiff appealed the decision in hope to pursue a peaceful resolution but again was denied because of the officer's perjury. Therefore, a Supreme Court suite has been filed.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the right to live in peace as the charter provides and free from malicious prosecution.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deserves to be compensated loss of income and for damages. Since the alleged offences were laid, the "others" are partly responsible for two deaths, a vessel that was looted and sunk in the harbour, property damage and the plaintiff's daughters dog was murdered.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COURT did accept a claim Filed by "others" knowingly that the allegations had no jurisdiction to be tried and could not ever be discovered. The rules of the court were abused and compromised the integrity of that jurisdiction.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allowed the perjured representations from the criminal court to tip the balance in favor of the frivolous Federal Court case, knowingly that the plaintiff in this matter was not the owner of the vessels and the owners were never notified of any hearings regarding the criminal allegations used to favor actions against the defendant ships.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crossing of jurisdictions from the criminal matter into the Federal Court without the presumption of innocence contributed to the charter of rights and freedoms to become a question of being valid. The inflicted damages were done more so by the court by allowing documents from other courts without the presumption of innocence and prejudice was used.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Court transcripts T-1038-11clearly outline that the court process had been altered, defamatory representations were used and the vessel owners with the exception of Michael Seggerson, were never served with any notice of court hearings or proceedings.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vessels were illegally ordered out of the harbour and were damaged by representations made by the RCMP and the collusion of the "others." These representations were backed by the prosecution in a different court of jurisdiction and the RCMP who assisted and constructed lies.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did allowed prejudice. The transcripts show that the lawyers for the Federal Court </w:t>
      </w:r>
      <w:r>
        <w:rPr>
          <w:rFonts w:ascii="arial" w:eastAsia="arial" w:hAnsi="arial" w:cs="arial"/>
          <w:b/>
          <w:i/>
          <w:color w:val="000000"/>
          <w:sz w:val="20"/>
          <w:lang w:val="en-US" w:eastAsia="en-US" w:bidi="ar-SA"/>
        </w:rPr>
        <w:t>plaintiffs</w:t>
      </w:r>
      <w:r>
        <w:rPr>
          <w:rFonts w:ascii="arial" w:eastAsia="arial" w:hAnsi="arial" w:cs="arial"/>
          <w:color w:val="000000"/>
          <w:sz w:val="20"/>
          <w:lang w:val="en-US" w:eastAsia="en-US" w:bidi="ar-SA"/>
        </w:rPr>
        <w:t xml:space="preserve"> in case number T-1038-11 were discriminate and reckless. Prothonotary Roger Lafreniere whom was appointed as the case manager, seems to have a personal connection with the solicitors on record, and with that, the rules of the court was discriminately abused. This allowed the lawyers a free for all to use their profession to harass and produce undiscoverable perjured representations at the cost of the vessel owners. The plaintiff in this civil matter, became defamed and slandered in both courts and the vessel owners a victim.</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lawyers in the Federal matter have financially benefitted in possibly hundreds of thousands of dollars in numerous similar cases with the knowledge of the Federal Court and using the same prohonotary.It is evident that the </w:t>
      </w:r>
      <w:r>
        <w:rPr>
          <w:rFonts w:ascii="arial" w:eastAsia="arial" w:hAnsi="arial" w:cs="arial"/>
          <w:b/>
          <w:color w:val="000000"/>
          <w:sz w:val="20"/>
          <w:lang w:val="en-US" w:eastAsia="en-US" w:bidi="ar-SA"/>
        </w:rPr>
        <w:t>Prothonotary</w:t>
      </w:r>
      <w:r>
        <w:rPr>
          <w:rFonts w:ascii="arial" w:eastAsia="arial" w:hAnsi="arial" w:cs="arial"/>
          <w:color w:val="000000"/>
          <w:sz w:val="20"/>
          <w:lang w:val="en-US" w:eastAsia="en-US" w:bidi="ar-SA"/>
        </w:rPr>
        <w:t xml:space="preserve"> was showing favoritism for the lawyers and did discriminate against all of the defendants. The integrity of the court was compromised.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scandal with the cross jurisdiction between courts and the abuse of law, there could be an additional 20 or more "other" defendant's libel for this action. If diligence of the law was applied respectfully, criminal charges could have been applied and damages would have minimal. There are at least five more victims eligible to join this civil suit as plaintiffs including the estate of Michael Scggerson.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to this Scandal, the victims of the injustice have suffered at least 2 million dollars in damages, a further loss of 700.000 dollars per year and may never regain the opportunities now lost.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Justice system has allowed the wav for scandalous and frivolous claims to be maliciously launched by lawyers who practice in the Federal Court. This appears to be common practice by levering their case by using a different jurisdiction of court and by using their clients as tools with the RCMP as their private army thus financially benefitting by their actions..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his being has, and is suffering from the intentional infliction of harm stress and an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BASIS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proceeding is pursued under the crown liability and proceedings act. This act provides and facilitates the responsibilities of the actions of the crown and its employees.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Where two or more persons form an intention in common to carry out an unlawful purpose and to assist each other therein and any one of them, in carrying out the common purpose, commits an offence, each of them who knew or ought to have known that the commission of the offence would be a probable consequence of carrying out the common purpose is a party to that offence. The employees of the crown did commit an offence where damages as a result are recoverable.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accessory after the fact to an offence is one who, knowing that a person has been a party to the offence. The jurisdiction of this court has the ability to settle matters relating damages caused in any jurisdiction that has scandalous intentions and abuse.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Canadian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sets the template for how Courts go about difficult work. The </w:t>
      </w:r>
      <w:r>
        <w:rPr>
          <w:rFonts w:ascii="arial" w:eastAsia="arial" w:hAnsi="arial" w:cs="arial"/>
          <w:i/>
          <w:color w:val="000000"/>
          <w:sz w:val="20"/>
          <w:lang w:val="en-US" w:eastAsia="en-US" w:bidi="ar-SA"/>
        </w:rPr>
        <w:t>Charter</w:t>
      </w:r>
      <w:r>
        <w:rPr>
          <w:rFonts w:ascii="arial" w:eastAsia="arial" w:hAnsi="arial" w:cs="arial"/>
          <w:b/>
          <w:color w:val="000000"/>
          <w:sz w:val="20"/>
          <w:lang w:val="en-US" w:eastAsia="en-US" w:bidi="ar-SA"/>
        </w:rPr>
        <w:t>guarantees to every person</w:t>
      </w:r>
      <w:r>
        <w:rPr>
          <w:rFonts w:ascii="arial" w:eastAsia="arial" w:hAnsi="arial" w:cs="arial"/>
          <w:color w:val="000000"/>
          <w:sz w:val="20"/>
          <w:lang w:val="en-US" w:eastAsia="en-US" w:bidi="ar-SA"/>
        </w:rPr>
        <w:t xml:space="preserve"> -- not just citizens -- liberty, mobility, freedom of expression and religion, and basic criminal law procedural protections like the </w:t>
      </w:r>
      <w:r>
        <w:rPr>
          <w:rFonts w:ascii="arial" w:eastAsia="arial" w:hAnsi="arial" w:cs="arial"/>
          <w:b/>
          <w:i/>
          <w:color w:val="000000"/>
          <w:sz w:val="20"/>
          <w:lang w:val="en-US" w:eastAsia="en-US" w:bidi="ar-SA"/>
        </w:rPr>
        <w:t>presumption of innocence</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jurisdiction of this court, has the ability to settle such matters where damages caused by an employee under the umbrella of both the Justice Ministers.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Canadian Charter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Rights and Freedoms was</w:t>
      </w:r>
      <w:r>
        <w:rPr>
          <w:rFonts w:ascii="arial" w:eastAsia="arial" w:hAnsi="arial" w:cs="arial"/>
          <w:color w:val="000000"/>
          <w:sz w:val="20"/>
          <w:lang w:val="en-US" w:eastAsia="en-US" w:bidi="ar-SA"/>
        </w:rPr>
        <w:t xml:space="preserve"> violated by the Crown by allowing such allegations into a court, unexamined, making a decision based on mere allegation that's never been tried, and the damages caused were extensive. The abuse of such charter deserves repair.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Everyone commits </w:t>
      </w:r>
      <w:r>
        <w:rPr>
          <w:rFonts w:ascii="arial" w:eastAsia="arial" w:hAnsi="arial" w:cs="arial"/>
          <w:i/>
          <w:color w:val="000000"/>
          <w:sz w:val="20"/>
          <w:lang w:val="en-US" w:eastAsia="en-US" w:bidi="ar-SA"/>
        </w:rPr>
        <w:t>perjury</w:t>
      </w:r>
      <w:r>
        <w:rPr>
          <w:rFonts w:ascii="arial" w:eastAsia="arial" w:hAnsi="arial" w:cs="arial"/>
          <w:color w:val="000000"/>
          <w:sz w:val="20"/>
          <w:lang w:val="en-US" w:eastAsia="en-US" w:bidi="ar-SA"/>
        </w:rPr>
        <w:t xml:space="preserve"> who, with intent to mislead, makes before a person who is authorized by law to permit it to be made before him a false statement under oath or solemn affirmation, by affidavit, solemn declaration or deposition or orally, knowing that the statement is false. To use such perjury and allow to cross jurisdictions causing harm, is a crime and compensation by monetary relief and can be claimed by the plaintiff without the defendants plead or any defense or otherwise.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Canada represents The Federal Court Of Canada. The Attorney General is the chief law officer of the Executive Council." Must see that the administration of public affairs is in accordance with law. The responsibility of this said court has violated such matters where fact and law has violated the charter of rights and freedoms of the plaintiff.</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Attorney General of British Columbia, appointed by the Lieutenant Governor by Commission under the Great Seal, must preside over the Ministry of Justice and must see that the administration of public affairs is in accordance with law, must superintend all matters connected with the administration of justice in British Columbia that are not within the jurisdiction of the government of Canada. The respectability of the Attorney General is to ensure that the crown prosecutors act within there legal scope. The inappropriate actions did cause harm and libel.</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body designated by the Attorney General must comply with all requirements and standards established by the Attorney General for that public body in respect with retaining, contracting with or employing persons to provide legal services with a corporation, more than 50% of the shares or ownership of which is, directly or indirectly, vested in the government.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cannot be prejudice to any situation and duIy must deploy diligent duty to keep the peace, therefore has caused and encouraged damages rightfully claimed by the plaintiffs.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has allowed a form of disobedience and did disregard their duties to protect by diligence and respect the laws of a ship. The damages to the plaintiff and his employers ships my not have been harmed. If true law was exercised, there would be no claim for damages. Any damages from the "others" would have a separate claim. Therefore the liability of the RCMP for this claim is recoverable by the plaintiff.</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Courts owe each other full faith and credit when acting within their respective jurisdictions.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caused by the result of perjury, corruption, obstruction of justice and flagrant impropriety with prejudice, intentional infliction of distress, defamation and breaches of the charter have, hold and rely upon remedy in the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Relief Sought</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Scott Ross seeks relief for a loss of income of 70,000 per year, calculated daily from May 10 2011 until date of peaceful resolution.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210,000 suffered by the plaintiff for the loss of opportunity.</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a Loss of income and a loss of opportunity. For Pacific Coast marine surveying for the amount of 250,000 caused by cause within this action.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of 1 million or such amount that this court seem deem meet for damages relating to the mind, heart, body and sole of plaintiff scott curtis ross. From the intentional infliction of distress and defamation.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9,000 dollars claimable from the Attorney General of BC for all the losses arising from 30 unnecessary court visits and probation dates. In addition, Share joint responsibility for all further damages relating to effects of the 810 peace bond.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of protection from the defendants and "others" in fear of further physical, emotional, and scandalous retaliation on or off the land, alternatively, establish an immunity respectful of the law of the land and sea for the plaintiff.</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to allow at least one of the victims to become a plaintiff in this action by joining Supreme Court action file number </w:t>
      </w:r>
      <w:r>
        <w:rPr>
          <w:rFonts w:ascii="arial" w:eastAsia="arial" w:hAnsi="arial" w:cs="arial"/>
          <w:b/>
          <w:color w:val="000000"/>
          <w:sz w:val="20"/>
          <w:lang w:val="en-US" w:eastAsia="en-US" w:bidi="ar-SA"/>
        </w:rPr>
        <w:t>510336</w:t>
      </w:r>
      <w:r>
        <w:rPr>
          <w:rFonts w:ascii="arial" w:eastAsia="arial" w:hAnsi="arial" w:cs="arial"/>
          <w:color w:val="000000"/>
          <w:sz w:val="20"/>
          <w:lang w:val="en-US" w:eastAsia="en-US" w:bidi="ar-SA"/>
        </w:rPr>
        <w:t xml:space="preserve"> with amendments or alternatively make peaceful resolution without adjoining cause.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apology from the Justice Ministers or any such acknowledgement that deem seem meet.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lmmediate dissolving of the Peace Bond that discriminates the plaintiff from his employment.,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relies on Rules 10=4 14-1 21-1 and the principles and practices of Canadian Maritime law and The Crown Liability and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Address for delivery for the plaintiffs 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Scott C Ross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Pacific Coast Marine Surveying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By courier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1527 antler road, Heriot bay,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Quadra island VOPIHO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 fax 250 285 2864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Tel. 250 285 2844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Address for the court is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Tel 250 286 7510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 13th avenue Campbell River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Fax 230 286 7512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V0W 6P1</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Address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Office of the Deputy Attorney General of Canada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284 Wellington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Ottawa, Ontario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K1A 0H8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Regional Office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Department of Justice Canada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900 - 840 Howe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V6Z 2S9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attorney General of British Columbia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Minister of Justice and Attorney General</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Honorable Shirley Bond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 BOX 9044 Stn Prov Govt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BC V8W 9E2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Phone: 250 387-1866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Fax: 250 387-6411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Address for the this court is the Campbell River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[SIGNATURES AND DATE]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San Jose Mines Ltd. v. Coutu Estate, [2006] B.C.J. No. 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 13 and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S036753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247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 Jose Mines Ltd. and Winstock Mining Corporation (U.S.), plaintiffs, and Yvonne Coutu as Executrix of the Estate of Leo Coutu, deceased, Yvonne Coutu, Michael Holland, Leoco Enterprises Ltd., Multiple Video Services Ltd., Ian Beardmore and Moen and Company, David B. Hodges, defendants, and Barbara Laatsch, George Kachuk, The Estate of George Kachuk, Hun Kim, Rodney Irving, David Hodges, Ms. Coutu as Executrix of the Estate of Leo Coutu, deceased, Ms. Coutu, Michael Holland, Leoco Enterprises Ltd., Multiple Video Services Ltd., Ian Beardmore, Moen and Company, and Ronald Jorgensen,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8"/>
      <w:bookmarkEnd w:id="58"/>
      <w:r>
        <w:rPr>
          <w:rFonts w:ascii="arial" w:eastAsia="arial" w:hAnsi="arial" w:cs="arial"/>
          <w:b/>
          <w:color w:val="000000"/>
          <w:sz w:val="20"/>
          <w:lang w:val="en-US" w:eastAsia="en-US" w:bidi="ar-SA"/>
        </w:rPr>
        <w:t>Civil procedure — Pleadings — Striking out pleadings or allegations — Application by the third parties to strike the third party notices — Application dismissed — It was not plain and obvious that the third party proceedings had no prospect of success.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8"/>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parties to strike the third party notices served on them by the defendant accountants -- San Jose Mines brought the original action -- It purchased all the shares of Winstock Mining Corporation (U.S.) -- The shareholders, other than the defendants Coutu and Beardmore, of San Jose believed that after 1990 the company lay dormant -- Coutu conducted secret business transactions on the behalf of San Jose's companies without informing San Jose's other directors and shareholders -- San Jose claimed that over $1,475,000 was misappropriated from the company -- San Jose claimed that the defendant accountants knowingly or negligently failed to advise persons they knew to be directors and shareholders of San Jose and Winstock of the transactions in which Coutu engaged -- In addition, they argued that the accountants improperly recorded the misappropriation of funds -- In the third party claim, the accountants claimed that if Coutu acted outside the scope of his authority then Kim, Irving, Laatsch, and Kachuk did as well -- In addition, they sought indemnity from these individuals because they failed in their duty to warn them that Coutu was acting without lawful authority -- HELD: Application dismissed -- It was not plain and obvious that the third party proceedings had no prospect of success.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0" w:name="Legislation Cited_4"/>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7"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69"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1" w:name="Counsel_8"/>
      <w:bookmarkEnd w:id="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J.P. Sullivan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Ian Beardmore and Moen &amp; Company: M.J. Hewitt M. Shirreff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Ronald Jorgensen: I.D. Mackie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Barbara Laatsch, George Kachuk and The Estate of George Kachuk: J.A. Adelaar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Hun Kim: B.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Rodney Irving: L.B. Herbst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David Hodges: P. Abrioux</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8"/>
      <w:bookmarkEnd w:id="62"/>
      <w:r>
        <w:pict>
          <v:line id="_x0000_s1069" style="position:absolute;z-index:251821056" from="0,12pt" to="512pt,12pt" strokecolor="#009ddb" strokeweight="1.5pt">
            <v:stroke linestyle="single"/>
          </v:line>
        </w:pic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Editor's Note: A Corrigendum was released by the Court January 24, 2006.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PITFIELD J."/>
            <w:bookmarkEnd w:id="63"/>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Barbara Laatsch, George Kachuk, the Estate of George Kachuk, Hun Kim, Rodney Irving and Ronald Jorgensen apply to strike third party notices served on them by the defendants Ian Beardmore and Moen &amp; Company, chartered accountants. The applications arise in the following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Substance of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San Jose Mines Ltd. was incorporated as a British Columbia company in 1985. Mr. Michael Jorgensen and Mr. Leo Coutu were the individuals primarily responsible for the promotion of San Jose. Soon after incorporation, San Jose acquired all of the issued shares of Winstock Mining Corporation (U.S.), a Colorado corporation. It presently owns 87.5% of the shares. The remaining shares are now owned by Winstock Mining Corporation, a British Columbia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incorporation, San Jose raised money from a substantial number of investors by way of share subscription. San Jose advanced the funds to its subsidiary, Winstock (U.S.), which then acquired and attempted to develop the Clay County Mine property in Colorado. Development efforts ceased soon after Michael Jorgensen's death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say the following in relation to corporate activities following Michael Jorgensen's death. San Jose's directors, other than Leo Coutu, and its shareholders, other than Leo Coutu and the defendant Ian Beardmore, thought that San Jose and Winstock (U.S.) were dormant and that they remained dormant following Mr. Jorgensen's death. The companies were not actually dormant. Leo Coutu conducted a number of secret business transactions on behalf of the plaintiff companies without informing the other directors and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Messrs. Kim and Irving were, and presently are, directors of Winstock (U.S.). Ms. Laatsch was, and now is, a director of San Jose, while Mr. Kachuk was a director of San Jose until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August 1994, Leo Coutu caused Winstock (U.S.) to sell the Clay County Mine property to Nevada Gold and Casinos Inc. in exchange for 5,808,711 Nevada Gold shares. Nevada Gold ultimately constructed a casino on the property. The casino opened for business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Leo Coutu caused Winstock (U.S.) to enter into an option agreement with an undisclosed group of investors with respect to 4,800,000 of the 5,808,711 Nevada Gold shares. Four lots of 1,000,000 shares each were optioned at incremental prices of US 50[cents], 75[cents], $1.00 and $1.25. The remaining 800,000 shares were optioned at US $1.50 per share. The options were to be exercised through minimum purchases of stock each month over a period of 36 months ending August 1, 1997. The agreement stipulated that if any option payment was not made within 15 days of its due date, all unexercised options would 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Some option payments were not made on a timely basis. Despite these payment deficiencies, Winstock (U.S.) entered into an amendment and extension agreement on October 14, 1994, to accommodate those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1, 1997, Leo Coutu agreed to extend the option period for a further 24 months, ending August 1, 1999. The undisclosed option holder was then identified as Aaminex Capital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Aaminex did not make the minimum payments required to prevent the options from lapsing. In any event, the last extension of the option agreement expired on August 1, 1999. By that date, the Nevada Gold shares had been consolidated on a three-for-one basis, and the option prices had been revised accordingly. By August 1, 1999, Aaminex had exercised options in respect of only 325,202 of the 1,936,237 optioned shares (post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Ms. Coutu, Leo Coutu's daughter, was appointed his committee on June 11, 1999. Soon after her father's death, she assumed the positions of president and director of San Jose and Winstock (U.S.) without notifying any of its directors or shareholders other than Mr. Beardmore. She held no annual general meeting, extraordinary general meeting or directors meeting to effect the changes in officers and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 Nevada Gold share option agreement expired on August 1, 1999, at the latest without all options having been exercised, Ms. Coutu caused Winstock (U.S.) to renew and affirm the agreement on June 29, 2000, for no consideration. Under the renewed agreement, the options were to remain in good standing as long as Aaminex made payments of US $10,000 per month through the remainder of the year 2000, US $20,000 per month through 2001 and US $30,000 per month in 2002. Aaminex was to pay any remaining balance on or before December 31, 2002. As a result of the extension agreement, Aaminex was permitted to acquire additional shares at prices ranging from US $2.25 to $4.50 per share at a time when the shares were trading in the range of US $11 to $13 per share. According to the plaintiffs, Ms. Coutu and her husband, Michael Holland, continued to honour the renewed option agreement even though Aaminex again missed one of the required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claim that San Jose and Winstock (U.S.) have suffered loss by virtue of the initial unauthorized option agreement and the unauthorized and improvident extension agreements. They also allege that Leo Coutu secretly caused option proceeds received by Winstock (U.S.) to be deposited in a Channel Islands account with the Royal Bank of Canada. In late 2000 and early 2001, Ms. Coutu caused the funds in the Channel Islands account to be transferred to an account in the name of Winstock (U.S.) at the Royal Bank in Vancouver. A portion of the funds was then transferred to an account in the name of San Jose at the same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say that Leo Coutu and Ms. Coutu misappropriated a portion of the option monies received by Winstock (U.S.) to the detriment of San Jose and Winstock (U.S.). They allege that Ms. Coutu and her husband, Michael Holland, caused option receipts to be wrongfully and improperly applied to or for their own personal benefit, or to or for the benefit of Leoco Enterprises Ltd. and Multiple Video Services Ltd., both of which are said to be companies controlled by Ms. Coutu and her husband. The plaintiffs allege misappropriations in an amount of not less than $1,475,000.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basis of the foregoing facts, none of which have been formally proved, the plaintiffs say that Leo Coutu failed to act honestly and in good faith in the best interests of San Jose and Winstock (U.S.), thereby breaching his fiduciary duty to the plaintiffs. They allege he was negligent by failing to exercise the care, diligence and skill of a reasonably prudent person when causing Winstock (U.S.) to enter into the property-for-shares agreement, the option agreement and the extension agreements. They say he acted secretly and deceitfully when he represented to various regulatory authorities that he was San Jose's sole beneficial shareholder and its sole officer and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say that Ms. Coutu and her husband assumed fiduciary duties in relation to San Jose and Winstock (U.S.) that they breached by acting secretly in relation to the plaintiffs' affairs. They allege that Ms. Coutu and her husband acted in an unauthorized and negligent manner when they renewed and extended the expired option agreement in 2000, and acted fraudulently when they misappropriated the plaintiffs'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claim against Mr. Beardmore and Moen &amp; Company (the "Accounting Defendants") arises in the context of the events I have outlined. The plaintiffs allege that Mr. Beardmore was a San Jose shareholder from the outset. They say that he and his firm acted as chartered accountants for the plaintiffs under a retainer that involved preparing financial statements and providing advice with respect to taxes, investment and business decisions, and the propriety of various corporate payments. The Accounting Defendants are alleged to have owed a duty of care to the plaintiffs and a contractual duty to exercise reasonable care and skill in the performance of the tasks for which they were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say that the Accounting Defendants advised Leo Coutu with respect to the original grant of the Nevada Gold share options and extensions thereof, and knowingly or negligently omitted to advise persons they knew to be directors and shareholders of San Jose and Winstock (U.S.) of the transactions in which Leo Coutu engaged. They say the Accounting Defendants' assistance in the conduct of the secret transactions and their failure to advise the San Jose and Winstock (U.S.) directors and shareholders constituted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also say the Accounting Defendants were negligent in the preparation of financial statements that improperly recorded misappropriations of corporate funds. They allege that the Accounting Defendants negligently advised Ms. Coutu and Michael Holland that they should cause the plaintiffs to enter into the option extension agreement in 2000, notwithstanding the prior expiry of the option agreement due to the passage of time and default in payment by Aaminex.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say the Accounting Defendants provided their advice at a time when they were aware that: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San Jose was not a Coutu family company, but one with numerous shareholders;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and shareholders of San Jose other than Leo Coutu, Ms. Coutu, Michael Holland and Ian Beardmore were not aware of any of these transactions at the time that they occurred;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Ms. Coutu nor Michael Holland had been properly appointed as directors or officers of San Jose, and the directors and shareholders of San Jose other than Ms. Coutu, Michael Holland and Ian Beardmore had no knowledge of Ms. Coutu's and Michael Holland's involvement in the company, and were not aware that they were planning to cause the plaintiffs to pay out the misappropriated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substance of the plaintiffs' claim against the defendants is summarized in para. 84 of the amended statement of claim, providing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the other directors and shareholders of San Jose been made aware of what was occurring, and had the Accounting Defendants provided proper and competent advice regarding the optioning of the [Nevada Gold] shares, the Plaintiffs would not have agreed to the Option Agreement and the Option Extension Agreements, and thus the Plaintiffs would not have lost the vast bulk of Winstock's [Nevada Gold] shares at prices below market. In the alternative, at a minimum, the Plaintiffs would not have agreed to Option Extension Agreement #4, and thus would not have lost approximately 1,274,798 [Nevada Gold] shares to Aaminex at prices below market. Neither would the Plaintiffs have agreed to or allowed the Misappropriations.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sum, the plaintiffs say the advice provided by the Accounting Defendants has resulted in loss and damage to San Jose and Winstock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important to record that none of the material facts alleged against the Accounting Defendants, the Coutus or their companies have been formally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Substance of the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their statement of defence, the Accounting Defendants deny they knew of or assisted Leo Coutu in the commission of any act that damaged the plaintiffs. They deny that Leo Coutu caused the plaintiffs harm by acting outside the scope of his authority and that they were at fault for not detecting or preventing his alleged harmful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against the third parties, the Accounting Defendants say that if Leo Coutu acted outside the scope of his authority as a director in a manner that creates liability so too did Messrs. Kim and Irving as directors of Winstock (U.S.), and Ms. Laatsch and Mr. Kachuk as directors of San Jose. In particular, the Accounting Defendants say those individuals abdicated their responsibilities as directors of their respective companies. They allege that each of these individuals knew or ought to have known that the Accounting Defendants had been retained to act on behalf of the plaintiffs, knew or ought to have known that Leo Coutu had engaged in a transaction involving the Clay County Mine property, and failed to notify the Accounting Defendants that Leo Coutu was acting without authority if that was in fact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sum, the Accounting Defendants say that through their omissions and inaction, the directors named as third parties caused or materially contributed to any loss sustained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Accounting Defendants issued a third party notice to Messrs. Kim and Irving, directors of Winstock (U.S.), and to Ms. Laatsch and the estate of Mr. Kachuk, as a director and representative of a former director of San Jose, claiming a right to contribution and indemnity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 third party notice was filed February 4, 2005. Subsequently, the statement of claim was amended on July 7, 2005. The Accounting Defendants have applied for an order permitting amendments to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applications to strike must be considered on the assumption that the proposed amendments will be permitted in the event that the third party notice is not struck as against any third party: see Kripps v. Touche Ross </w:t>
      </w:r>
      <w:hyperlink r:id="rId170"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94 D.L.R. (4th) 284</w:t>
        </w:r>
      </w:hyperlink>
      <w:r>
        <w:rPr>
          <w:rFonts w:ascii="arial" w:eastAsia="arial" w:hAnsi="arial" w:cs="arial"/>
          <w:color w:val="000000"/>
          <w:sz w:val="20"/>
          <w:lang w:val="en-US" w:eastAsia="en-US" w:bidi="ar-SA"/>
        </w:rPr>
        <w:t xml:space="preserve"> (C.A.), and Minnes v. Minnes </w:t>
      </w:r>
      <w:hyperlink r:id="rId171" w:history="1">
        <w:r>
          <w:rPr>
            <w:rFonts w:ascii="arial" w:eastAsia="arial" w:hAnsi="arial" w:cs="arial"/>
            <w:i/>
            <w:color w:val="0077CC"/>
            <w:sz w:val="20"/>
            <w:u w:val="single"/>
            <w:shd w:val="clear" w:color="auto" w:fill="FFFFFF"/>
            <w:lang w:val="en-US" w:eastAsia="en-US" w:bidi="ar-SA"/>
          </w:rPr>
          <w:t>(1962), 34 D.L.R. (2d) 497</w:t>
        </w:r>
      </w:hyperlink>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39 W.W.R. 112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substance, the Accounting Defendants claim that Messrs. Kim and Irving were and remain directors of Winstock (U.S.) who exercised their duties as directors from 1983 to a point in 1990, but performed none of their duties thereafter with one exception. The Accounting Defendants say that Leo Coutu contacted Messrs. Kim and Irving in 1994, whereupon they approved in writing of the property-for-shares agreement and specifically authorized any officer of Winstock (U.S.) to take any and all actions that officer deemed necessary to give effect to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Accounting Defendants say that if Leo Coutu acted unlawfully in proceeding with the original transaction, then Messrs. Kim and Irving actively and intentionally, or recklessly, participated and assisted in the unlawful transaction. They say Messrs. Kim and Irving knew or ought to have known that Leo Coutu's actions were unlawful and that, in carrying out the plans for the companies that were revealed in the documents, he would instruct or authorize accountants and other professionals to give effect to his unlawful plans. At paras. 37 and 38 of the third party notice the Accounting Defendants plead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Leo Coutu acted without legal authority, and/or if subsequent transactions purported to be carried out by or on behalf of San Jose were unlawful, any participation by the Accounting Defendants was at the direction of Leo Coutu or others purporting to hold legal authority to provide instructions on the Plaintiffs' behalf. The approval of those actions by the Third Parties, or alternatively abdic[a]tion of responsibilities, caused the Accounting Defendants to reasonably believe that the person(s) providing instructions on San Jose's behalf and Leo Coutu in particular, were authorized to do so.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aforesaid, the Third Parties and Hun Kim and Rodney Irving owed a duty to the Accounting Defendants to take reasonable care and to warn the Accounting Defendants regarding any limitations on the authority of Leo Coutu and subsequent corporate actors taking instructions from him. The said Third Parties breached those duties by failing to take any steps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participate in the activities of the company;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investigate or determine through available records the status or activities of the company;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hold, convene or request required meetings;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request or obtain required corporate filings;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Leo Coutu from retaining or instructing professionals or ensure that he did so properly and within his authority;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warn the Accounting Defendants in particular that their instructions and the acts of Leo Coutu were not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Accounting Defendants' claim against the third parties Barbara Laatsch and George Kachuk, deceased, proceeds on the premise that, at all material times, Ms. Laatsch has been a director of San Jose, as was George Kachuk until his death. At para. 17 of the proposed amended third party notice, the Accounting Defendants plead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aforesaid, the Third Parties Barbara Laatsch and George Kachuk, owed a duty to the Accounting Defendants to take reasonable care and to warn the Accounting Defendants regarding any limitations on the authority of Leo Coutu and subsequent corporate actors taking instructions from him. The said Third Parties breached those duties by failing to take any steps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participate in the activities of the company;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investigate or determine through available records the status or activities of the company;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hold, convene or request required meetings;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request or obtain required corporate filings;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Leo Coutu from retaining or instructing professionals or ensure that he did so properly and within his authority;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warn the Accounting Defendants in particular that their instructions and the acts of Leo Coutu were not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relation to the individual directors, Ms. Laatsch and Messrs. Kachuk, Kim, and Irving, the Accounting Defendants plead as follows at para. 42 of the proposed amended third party notice: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Accounting Defendants claim that the individual directors were negligent and breached statutory and fiduciary duties to the Plaintiffs in their supervision of the activities of the Plaintiff Companies and Leo Coutu, and also contributed to the Plaintiffs' losses by their own negligent and breach of fiduciary duties, which includes but is not limited to:</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supervise or monitor Leo Coutu's activities;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supervise the status and dealings with the company's assets;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signing of critical documents without any enquiry as to what they represented, or knowing what they represented and taking no further action;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convene or demand board or shareholder meetings;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identify and supervise the engagement and instruction of professionals on behalf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third party notice, or amendments proposed in respect of it, makes it clear that the Accounting Defendants claim that if the original property-for-shares transaction involving Winstock (U.S.) and Nevada Gold was unlawful, Messrs. Kim and Irving were parties to that illegality; Messrs. Kim and Irving abdicated their responsibilities as directors of Winstock (U.S.); Ms. Laatsch and Mr. Kachuk abdicated their responsibilities as directors of San Jose; and the four individuals failed in their duty to warn the Accounting Defendants that Leo Coutu was acting without lawful authority, thereby contributing to the loss, if any, sustained by San Jose and Winstock (U.S.) as a result of Leo Coutu's activities in relation to the mining property and the Nevada Gold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claim against Ronald Jorgensen, Michael Jorgensen's son, is somewhat different. Ronald Jorgensen's involvement in the affairs of San Jose and Winstock (U.S.) began after Ms. Coutu received a series of communications from gaming authorities in the United States regarding the ownership and control of Winstock (U.S.) and San Jose. Ms. Coutu requested information from Ms. Michael Jorgensen who discussed the matter with her son. The communications prompted Ronald Jorgensen to enquire about the plaintiffs' business pursuits in the period following his father's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Ronald Jorgensen was appointed a director of San Jose on May 29, 2002. He commenced oppression proceedings against Ms. Coutu as director of San Jose by petition filed in the court in October 2002. On December 12, 2002, he was appointed by the court as manager of San Jose with expressly limited authority to receive and deposit all funds accruing to San Jose and Winstock (U.S.) and to take no other action without court order in relation to the affairs of San Jose, other than the steps required to convene a meeting of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Accounting Defendants say that he wrote to Aaminex, the optionee, on December 4, 2002, to advise that a group of shareholders on whose behalf he spoke were of the view that the option agreement and the extension agreements were of no force and effect because of the unauthorized actions of Leo Coutu and Ms. Coutu. The Accounting Defendants say the communication prompted Aaminex to exercise options they would not otherwise have exercised before the expiry of the agreement on December 31, 2002. They say Ronald Jorgensen acted personally and in breach of his duty as a director to refrain from conduct that would harm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Accounting Defendants also say that after he assumed the position of court-appointed manager of San Jose with the very limited power to receive funds on behalf of the company, Ronald Jorgensen wrote to Aaminex as manager asserting power and authority that had not been granted to him by the court order. In doing so, he is alleged to have acted outside the scope of his authority, causing or materially contributing to the loss suffered by the plaintiffs by prompting Aaminex to exercise options that would otherwise have expired. The Accounting Defendants claim contribution and indemnity from Ronald Jorgensen in respect of any loss for which the Accounting Defendants may be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Arguments in Support of the Application to Strike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third parties say the claims against them should be struck because there is no prospect that the claims will succeed for the following reasons: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Accounting Defendants have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and, because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converts the joint and several liability of multiple tortfeasors to several liability alone, there is no joint and several liability in respect of which contribution and indemnity may be claimed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named as third parties were acting as directors of either Winstock (U.S.) or San Jose. Their actions are therefore those of the plaintiffs, and any wrong-doing on the part of any of them must be raised by way of defence to the plaintiffs' claims, not by third party proceedings. 3. If Ronald Jorgensen acted outside the scope of any authority conferred upon him so that he could be liable for damage caused to either plaintiff, his actions constituted a consecutive rather than concurrent tort for which the Accounting Defendants cannot be held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the reasons that follow, I am of the opinion that the individual directors have not demonstrated that it is "plain and obvious" that the third party proceedings have no prospect of success. Indeed, the extensive arguments filed on behalf of the separate defendants tend to confirm rather than to deny the claim that the third party notice raises triable issues that cannot be resolved without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settled law that a third party notice may be struck on the basis that the claim asserted does not fall within a category listed under Rule 22(1) of the Rules of Court or on the basis that it discloses no reasonable cause of action, is frivolous and vexatious, may prejudice or embarrass the hearing of the action, or is otherwise an abuse of the process of the court: see McNaughton v. Baker </w:t>
      </w:r>
      <w:hyperlink r:id="rId172"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at 22, </w:t>
      </w:r>
      <w:hyperlink r:id="rId172"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facts pleaded in the third party notice, whether as filed or as it might be amended, indicate that the Accounting Defendants seek contribution and indemnity from the third parties or assert a cause of action that is closely related to the transactions that are the subject matter of the plaintiffs' action. Thus, the third party notice as it stands, or as it might be amended, seeks relief of the kind contemplated by Rule 22(1). The question remains whether the third party proceeding is bound to fail as against any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McLachlin J., as she then was, described the issue in the following terms in Westcoast Transmission Company Limited v. Interprovincial Steel and Pipe Corporation Ltd. </w:t>
      </w:r>
      <w:hyperlink r:id="rId173"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at p. 370, </w:t>
      </w:r>
      <w:hyperlink r:id="rId173" w:history="1">
        <w:r>
          <w:rPr>
            <w:rFonts w:ascii="arial" w:eastAsia="arial" w:hAnsi="arial" w:cs="arial"/>
            <w:i/>
            <w:color w:val="0077CC"/>
            <w:sz w:val="20"/>
            <w:u w:val="single"/>
            <w:shd w:val="clear" w:color="auto" w:fill="FFFFFF"/>
            <w:lang w:val="en-US" w:eastAsia="en-US" w:bidi="ar-SA"/>
          </w:rPr>
          <w:t>[1985] B.C.J. No. 943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established that only in plain and obvious cases should pleadings be struck out. The power given by the rule to do so should be exercised only where the case is absolutely beyond doubt. So long as the pleading as it stands, or as it may be amended, discloses a question fit to be tried, the mere fact that the case is weak or not likely to succeed is no ground for striking it out. If the action involves investigation of serious questions of law or questions of general importance, or if facts are to be known before rights are definitely decided, pleadings ought not to be struck out: Minnes v. Minnes (1962), 39 W.W.R. 112 at 122-23, </w:t>
      </w:r>
      <w:hyperlink r:id="rId171" w:history="1">
        <w:r>
          <w:rPr>
            <w:rFonts w:ascii="arial" w:eastAsia="arial" w:hAnsi="arial" w:cs="arial"/>
            <w:i/>
            <w:color w:val="0077CC"/>
            <w:sz w:val="20"/>
            <w:u w:val="single"/>
            <w:shd w:val="clear" w:color="auto" w:fill="FFFFFF"/>
            <w:lang w:val="en-US" w:eastAsia="en-US" w:bidi="ar-SA"/>
          </w:rPr>
          <w:t>34 D.L.R. (2d) 497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right of the Accounting Defendants to serve third party claims against individual directors of Winstock (U.S.) and San Jose is not adversely affected by the Accounting Defendants' claim that the plaintiffs' fault contributed, in whole or in part, to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third parties are correct to say that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obviate the need to seek contribution and indemnity from any person because all who were at fault, and the extent of their fault, would be settled by the court. By virtue of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each person at fault would be severally liable for the damage occasioned by that person's fault only. However, whether either of the plaintiffs was contributorily negligent will not be known until the case has been tried and the issue decided. In the meantime, nothing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suggests that by pleading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defendant must be regarded as having made an election not to pursue contribution and indemnity from others who may share fault for the claimant's harm. Indeed, counsel for the Accounting Defendants in this case would be rightly criticized were they to pursue only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 in circumstances where, or at a time when, they had not asserted their rights to contribution and indemnity by means of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third parties say that the case of Westcoast Transmission Company Limited v. Interprovincial Steel and Pipe Corporation Ltd., supra, supports their thesis that the Accounting Defendants must make an election. I disagree. The case stands only for the following propositions. First, a defendant cannot seek contribution and indemnity from a party who was acting as agent for a plaintiff because the agent's acts are those of the plaintiff. The result follows because the defendant can claim all of the relief claimed in the third party notice by asserting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Second, a defendant cannot or need not seek contribution and indemnity from a party who has settled with the plaintiff and has been released from all further liability. The plaintiff will not be able to claim recovery from the defendant for damages caused by the other. The result in Westcoast flowed from the unique facts including settlement with one of the tortfeasors and not from a requirement to elect.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second argument advanced by the third parties is that they were agents of their respective companies in all they did, and any fault or errors in judgment on their part must be regarded as fault or errors in the judgment of the plaintiff companies. The third parties say that their fault or errors in judgment, should there be any, must therefore be pleaded in support of the defendant's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in accordance with the reasoning in Westcoast.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the third parties' argument fails to recognize the character of the Accounting Defendants' claim against Messrs. Kim, Irving, Kachuk and Ms. Laatsch which is that by abdicating their responsibilities and doing nothing in their capacity as directors of Winstock (U.S.) and San Jose, respectively, they did not act within their authority as directors. As a result, they cannot be said to have been acting, in any of what they did or omitted to do, for and on behalf of either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trial judge may find that each of the third parties was acting in his or her capacity as a director of one of the plaintiff companies. However, in the circumstances alleged, it is not a foregone conclusion that their assertions in that regard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Accounting Defendants may succeed in establishing that any fault on their part in allowing Leo Coutu to carry on as he did in relation to the affairs of Winstock (U.S.) and San Jose resulted from the third parties' failure to fulfill, in any respect, their duties and obligations as directors. Should that be the case, the Accounting Defendants may succeed in their claim that the third parties caused or materially contributed to the plaintiffs' loss in a manner which obliges them to contribute to or indemnify the Accounting Defendants in respect of any judgment that may be obtained against them. It cannot be said at this point in time that the Accounting Defendants' claim in this regard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remaining argument advanced by the Accounting Defendants against the individual directors is that each of them negligently omitted to warn the Accounting Defendants of the fact that Leo Coutu was or may have been acting without appropriate corporate authority, thereby causing them to continue to act for the companies and expose themselves to potential liability. Whether or not any of the directors owed such a duty in the circumstances of this case where, allegedly, none of them resigned their offices as directors, two participated in the execution of the original property-for-shares and option agreements and none performed their duties as directors, is a question of mixed fact and law to be decided at trial. The issue will be whether there was a sufficiently close relationship between the third parties and the Accounting Defendants so that it was or ought to have been in the reasonable contemplation of the third parties that their carelessness might cause damage to the Accounting Defendants by creating a situation in which those defendants might become liable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the Accounting Defendants' claim against the third parties may ultimately fail, it cannot be said, in all of the circumstances, that the claim is bound to fail. As a result, the third party notice cannot be struck as against the individual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arguments advanced by Ronald Jorgensen in support of his claim that the third party notice should be struck as against him must also fail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it must be determined whether Ronald Jorgensen was acting within or in excess of the authority or rights conferred upon him as a shareholder of San Jose, a director of San Jose, or a court-appointed manager. It cannot be said that the Accounting Defendants' claim that he was acting in his personal capacity or in excess of his court-conferred authority necessarily will fail. If it succeeds, the Accounting Defendants may succeed in their claim that he must contribute to the loss, if any, suffered by the plaintiffs. On that basis alone the third party claim cannot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 and contrary to Mr. Jorgensen's assertions, it is not "plain and obvious" that the Accounting Defendants are bound to fail in their claim that the tort committed by him, if a tort was committed at all, was part of the tort alleged against Leo Coutu and the Accounting Defendants and not an independent and consecutive tort. A finding that any tort committed by Ronald Jorgensen was consecutive to, rather than concurrent with, any tort committed by the Accounting Defendants is essential if he is to avoid liability for contribution and indemnity in respect of any liability on the part of the Accounting Defendants. The determination is a question of fact that can only be decided by reference to all of the evidence. The third party proceeding cannot be struck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Amendment of the Third Party Notice to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objections of the third party directors to the proceeding against them flow from the manner in which the third party notice was initially framed. Some of the difficulties would be removed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is often stated, pleading is an art and not a science. Pleading in this case is difficult because of the nature and origin of the harm alleged to have been done to the plaintiffs by Leo Coutu and Ms. Coutu through improvident or unauthorized property sales, share option, and renewal or extension agreements, and because of the cause or causes of action pleaded against them. Regardless of the manner in which the action is framed in the statement of claim, the plaintiffs' plea is that the actions of Leo Coutu and Ms. Coutu were not corporate acts but personal, actionable wrongs and the Accounting Defendants knowingly or negligently caused or materially contributed to the harm by omitting to prevent the actionable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Accounting Defendants defend the claim primarily on the basis that Leo Coutu and Ms. Coutu acted for and on behalf of the plaintiffs at all times, their acts were the acts of the plaintiffs, and the plaintiffs caused any harm they suffered, such that the Accounting Defendants are not liable to them. Alternatively, the Accounting Defendants say that if Leo Coutu and Ms. Coutu acted outside the scope of their authority or without authority in a manner that makes them liable to the companies for the harm they suffered, so too did the third parties who are alleged to have known what Leo Coutu and Ms. Coutu were doing in relation to the plaintiffs'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further alternative, the Accounting Defendants say that if the third parties did not know of the defendants' actionable wrongs, then they abdicated their statutory responsibilities and acted outside the scope of their authority as directors thereby causing or materially contributing to the harm. Finally, the Accounting Defendants say the third parties had a duty to warn the Accounting Defendants that Leo Coutu and Ms. Coutu were not authorized to act on behalf of the plaintiffs in the various transactions and their failure to do so caused or materially contributed to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defence that Leo Coutu and Ms. Coutu acted on behalf of the plaintiffs in the course of the property and share transactions is inimical to a third party claim against other directors. If the defence succeeds, the Accounting Defendants cannot be adjudged liable to either plaintiff. They need not seek contribution and indemnity from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defence that the third parties were acting on behalf of the plaintiffs when exercising or failing to exercise their statutory responsibilities as directors may or may not be a defence that should be pleaded in response to the plaintiffs' claim so as make a third party proceeding unnecessary and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Leo Coutu and Ms. Coutu acted outside their authority in a manner that renders them liable, if the Accounting Defendants are also liable in respect of the Coutu actions, and if the third parties knew or ought to have known of that conduct, by implication or by actually endorsing that conduct just as the Accounting Defendants are alleged to have done, the third parties could be found liable on the same basis and could be ordered to contribute to and indemnify the Accounting Defendants in respect of any damage award. It is therefore appropriate to plead facts in support of that basis of third party liability in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 third parties abdicated their responsibilities as directors by taking no interest in the plaintiffs' affairs, they may be found to have acted outside the scope of their authority or in a manner that was negligent. They may therefore be found personally liable for having caused or contributed to the plaintiffs' loss. It is appropriate to plead facts in support of that basis of third party liability in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If the third parties had a duty to warn the Accounting Defendants and omitted to do so, they may or may not be found liable to contribute to and indemnify the Accounting Defendants in respect of any liability imposed upon them depending upon whether the failure to warn is regarded as a corporate or personal obligation in the circumstances. While the duty to warn may be pleaded in the statement of defence to the plaintiffs' claim on the basis that any duty to warn is a corporate obligation, it is also appropriate to plead the facts in support of such a claim in the third party notice as a basis of third party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third parties have advanced a technical argument that because, on an application to strike pleadings, the court should treat the allegations in the third party notice as having been proved, and because some portions of the third party notice as it stands suggest that the actions and omissions of the third parties were corporate in nature, the notice asserts a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cannot support a claim of third party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not prepared to strike the third party notice on that basis. The Accounting Defendants have alleged facts supporting a reasonable cause of action against the third parties for contribution and indemnity in the event that the primary defence fails. It would be wrong for this court to deny the Accounting Defendants the opportunity to pursue contribution and indemnity in the alternative should they ultimately be found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third party notice must be amended in a manner that pleads only the facts that the Accounting Defendants say support their claim that the third parties acted in a manner that could result in their personal liability. Facts that suggest the third parties were acting on behalf of the plaintiffs must not be pleaded in the third party notice as conduct of that kind provides a defence to the plaintiffs' claim and does not provide a foundation for a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applications to strike the third party notice to Messrs. Kim and Irving, Ms. Laatsch, Mr. Kachuk and the Estate of Mr. Kachuk and the application to strike the third party notice to Ronald Jorgensen are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January 18, 2006. I refer to the first page of my reasons wherein:</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B. Hodges should be added as a defendant;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Coutu should read Yvonne Coutu;</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I.D. Mackie is counsel for the third party, Ronald Jorgensen;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dates of hearing were December 12, 13, and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0"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Sepasi v. Smotrov, [2013] B.C.J. No. 792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3 and 4,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19,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M091250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792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687</w:t>
      </w:r>
    </w:p>
    <w:p>
      <w:pPr>
        <w:spacing w:before="120" w:line="260" w:lineRule="atLeast"/>
        <w:rPr>
          <w:lang w:val="en-US" w:eastAsia="en-US" w:bidi="ar-SA"/>
        </w:rPr>
      </w:pPr>
      <w:r>
        <w:rPr>
          <w:rFonts w:ascii="arial" w:eastAsia="arial" w:hAnsi="arial" w:cs="arial"/>
          <w:color w:val="000000"/>
          <w:sz w:val="20"/>
          <w:lang w:val="en-US" w:eastAsia="en-US" w:bidi="ar-SA"/>
        </w:rPr>
        <w:t>Between Seyed Mostafa Sepasi, Plaintiff, and Dmitriy Smotrov and Four Star Auto Lease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1" style="position:absolute;z-index:2516684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4" w:name="Keywords_9"/>
      <w:bookmarkEnd w:id="6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Motor vehicles — Rules of the road — Liability for accident was apportioned 75 per cent to defendant and 25 per cent to plaintiff — Plaintiff was rear-ended by defendant as plaintiff made right hand turn into gas station — Plaintiff was partly in middle lane when making turn as there was a dog partly on road — Defendant failed to pay attention to traffic and his driving — Plaintiff failed to look right before turning.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5" w:name="Case Summary_9"/>
            <w:bookmarkEnd w:id="6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resulting from a motor vehicle accident. Liability was at issue. The plaintiff was rear-ended by the defendant's vehicle as the plaintiff entered a gas station. The defendant alleged the plaintiff was solely or partly liable for the accident. The plaintiff testified that as he made a right hand turn into the gas station, there were people standing waiting to cross. One pedestrian had a dog. The dog was partly on the crosswalk. In order to avoid the dog, the plaintiff was partly in the curb lane and mostly in the middle lane when he made his turn. The defendant alleged the plaintiff cut him off when he tried to turn into the gas station and that he was unable to avoid the collision. There were differing versions of the direction that the plaintiff was travelling just before the collision </w:t>
            </w:r>
            <w:r>
              <w:rPr>
                <w:lang w:val="en-US" w:eastAsia="en-US" w:bidi="ar-SA"/>
              </w:rPr>
              <w:cr/>
            </w:r>
          </w:p>
          <w:p>
            <w:pPr>
              <w:spacing w:before="120" w:line="260" w:lineRule="atLeast"/>
              <w:ind w:left="240"/>
              <w:jc w:val="both"/>
              <w:rPr>
                <w:lang w:val="en-US" w:eastAsia="en-US" w:bidi="ar-SA"/>
              </w:rPr>
            </w:pPr>
            <w:bookmarkStart w:id="66" w:name="Holdings of Court_7"/>
            <w:bookmarkEnd w:id="66"/>
            <w:r>
              <w:rPr>
                <w:rFonts w:ascii="arial" w:eastAsia="arial" w:hAnsi="arial" w:cs="arial"/>
                <w:color w:val="000000"/>
                <w:sz w:val="20"/>
                <w:lang w:val="en-US" w:eastAsia="en-US" w:bidi="ar-SA"/>
              </w:rPr>
              <w:t>HELD: Liability for the accident was apportioned 75 per cent to the defendant and 25 per cent to the plaintiff.</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court preferred the plaintiff's evidence over the defendant's evidence where their evidence conflicted. The defendant was not paying attention or reasonable attention to the traffic and the manner in which he drove was largely responsible for the accident. The plaintiff, however, never looked right before he turned into the gas station because there was a car parked. </w:t>
            </w:r>
            <w:r>
              <w:rPr>
                <w:lang w:val="en-US" w:eastAsia="en-US" w:bidi="ar-SA"/>
              </w:rPr>
              <w:cr/>
            </w:r>
          </w:p>
          <w:p>
            <w:pPr>
              <w:rPr>
                <w:lang w:val="en-US" w:eastAsia="en-US" w:bidi="ar-SA"/>
              </w:rPr>
            </w:pPr>
          </w:p>
        </w:tc>
      </w:tr>
    </w:tbl>
    <w:p>
      <w:pPr>
        <w:jc w:val="both"/>
        <w:rPr>
          <w:lang w:val="en-US" w:eastAsia="en-US" w:bidi="ar-SA"/>
        </w:rPr>
      </w:pPr>
      <w:bookmarkStart w:id="67" w:name="Counsel_9"/>
      <w:bookmarkEnd w:id="6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2" style="position:absolute;z-index:2517196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E.P. Morris.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J.W. Burgoyne.</w:t>
      </w:r>
      <w:r>
        <w:rPr>
          <w:lang w:val="en-US" w:eastAsia="en-US" w:bidi="ar-SA"/>
        </w:rPr>
        <w:cr/>
      </w:r>
    </w:p>
    <w:p>
      <w:pPr>
        <w:spacing w:after="240"/>
        <w:rPr>
          <w:lang w:val="en-US" w:eastAsia="en-US" w:bidi="ar-SA"/>
        </w:rPr>
      </w:pPr>
      <w:bookmarkStart w:id="68" w:name="Judgment_9"/>
      <w:bookmarkEnd w:id="68"/>
      <w:r>
        <w:pict>
          <v:line id="_x0000_s1073" style="position:absolute;z-index:25177088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9" w:name="L.A. LOO J."/>
            <w:bookmarkEnd w:id="69"/>
            <w:r>
              <w:rPr>
                <w:rFonts w:ascii="arial" w:eastAsia="arial" w:hAnsi="arial" w:cs="arial"/>
                <w:b/>
                <w:color w:val="000000"/>
                <w:sz w:val="30"/>
                <w:lang w:val="en-US" w:eastAsia="en-US" w:bidi="ar-SA"/>
              </w:rPr>
              <w:t>L.A. LOO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Seyed Sepasi was driving a taxi on April 6, 2007 when the right rear passenger side of his vehicle was struck by a vehicle owned by the defendant Four Star Auto Lease Ltd. and driven by the defendant Dmitriy Smotrov. The accident occurred around 10:30 in the evening when Mr. Sepasi was attempting to enter the Shell gas station at the northeast intersection of Granville Street and 71st Avenue, Vancouver. The parties have agreed to sever liability and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was commenced on March 6, 2009 and a statement of defence filed on May 12, 2009. There was a delay of approximately two years when submissions were made under s.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Presumably the defendants were seeking a determination that Mr. Sepasi was a worker at the time of the collision. However proceedings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were abandoned.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then applied under Rule 9-7 for a summary trial order that Mr. Sepasi was solely liable for the accident, or contributed to the accident. On October 5, 2012 Madam Justice Brown dismissed the application on the ground that the court was unable to decide the issues on the affidavits.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6, 2012 Mr. Sepasi sustained injuries in a second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outset of this trial, counsel informed the court that the parties had agreed to sever liability and damages and that the only issue was liability for the first accident on April 6, 2007. While generally the courts are reluctant to order severance, there was no argument on the issue. I am also mindful that the first accident occurred five years ago, and there will obviously be further delays if this action were to be heard at the same time as the second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Another difficulty relates to the non-attendance at trial of the defendant Dmitriy Smotrov. Mr. Smotrov lived in Richmond or Vancouver for a number of years before moving to Costa Rica around 2007. I am told that he works in the jungles of Costa Rica as a wild life photographer and is inaccessible for long stretches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 order was made at the case planning conference on February 27, 2012 that barring unforeseen or urgent circumstances, Mr. Smotrov was to present himself in Vancouver and attend an examination for discovery no later than April 12, 2012, which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Smotrov was examined for discovery in Vancouver on April 18, 2012. Mr. Burgoyne, counsel for the defendants, said that when he saw Mr. Smotrov in April 2012, he made him aware of the trial date, and has tried unsuccessfully to contact him for about two months before the trial. Despite the failure of Mr. Smotrov to attend trial, Mr. Sepasi wanted to proceed with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competing versions of the accident. Mr. Sepasi says that he was driving northbound at the time of the accident. One witness claims that he was driving eastbound before the accident. Another witness says that he was driving southbound before the accident. For reasons which follow, I conclude that just before the accident Mr. Smotrov was driving northbound on Granville Street, drove through the intersection at 71st Avenue and had just about completed his turn into the Shell gas station at the northeast corner of Granville and 71st Avenue, when the rear passenger side of his vehicle was struck by the left front driver's side of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 THE CASE FOR THE PLAINTIFF</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Seyed Sepasi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Sepasi is 62 years old. He obtained a degree in civil engineering in Iran and operated a small engineering company before he left Iran for political reasons. He went to Turkey before he immigrated to Toronto in 1992. He has lived in Vancouver since the end of 1999, and has worked at a car dealership and driving taxis. He owns or leases fifty percent of a Richmond taxi or its "plates" with a partner who owns or leases the remaining interest. Mr. Sepasi is very soft spoken and English is obviously not his first language.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accident, Mr. Sepasi worked during the week at a small car dealership as a kind of manager who sat in an office and approved car "deals". He testified that it was not a very busy job because there were not many customers, and he spent most of his time in the office studying English.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April 6, 2007 Mr. Sepasi got off work from the car dealership at 6:00 p.m. and started driving for Richmond Taxi at around 8:00 in the evening. At around 10:30 p.m., he drove west on Marine Drive and dropped a passenger off under the Arthur Laing bridge. He then proceeded around the curve in the road and merged with the traffic coming off the bridge northbound on Granville Street. His destination was the Shell gas station at the northeast corner of Granville and 71st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the point where traffic from Southwest Marine Drive merges with the northbound traffic off the bridge, Granville Street is not intersected by east-west traffic until 71st Avenue, so that Mr. Sepasi had one long curving block from roughly 73rd Avenue (if it intersected Granville Street) to get to 71st Avenue. Along that stretch of roadway there are three northbound lanes. Parking or stopping is prohibited in the curb lane between 6:30 a.m. to 6:30 p.m. At the southeast corner of Granville and 71st Avenue there is a three-story building that appears to be an apartment building with a number of small stores on the ground floor, including a small convenience store known as 71 Food Store at the southeast corner of the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Sepasi testified that as he drove from under the bridge to northbound along Granville Street, he was in the curb lane. Just before he reached 71st Avenue, he was forced to stop because there was one or two vehicles parked in front of the 71 Food Store. He waited for the traffic to pass before he merged into the centre or middle lane, turned on his right turn signal, crossed 71st Avenue, and approached the curb lane so that he could turn into the gas station. As he crossed 71st Avenue intending to move into the curb lane, he saw a few people standing at the northeast corner waiting to cross the north cross walk, including a man and his dog. While the man talked to another person, his dog stood partly on the sidewalk and partly in the crosswalk. Because of where the dog was standing, he was cautious about his right wheel coming too close to the dog. He approached the gas station, with his vehicle partly in the curb lane (to avoid the dog), but mostly in the middle lane when he turned into the entrance to the station. He applied his brakes for a couple of seconds to allow a male pedestrian to cross in front of him, and then began to accelerate when he suddenly heard a big bang. He thought that his gas tank had exploded. His vehicle spun out of control and when it finally came to a stop, it was facing south.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Sepasi testified that he was helped out of his vehicle, and someone told him that his vehicle had been struck by the Mercedes-Benz. He did not know that his vehicle had been struck by another vehicle. He saw two gentlemen from the Mercedes-Benz, but never saw the Mercedes-Benz until after the collision when he was seated on the concrete just outside the gas station Food Store. When the driver of the Mercedes-Benz came over and asked him if he was okay, he smelled alcohol "when he came to my 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sketch (to scale) of the area shows that the distance from the south edge of the south cross walk to the north edge of the north cross walk is nearly 70 feet. From the curb, there is roughly 20 feet between the middle of the crosswalk to the south edge of the entrance to the gas station. In other words, once Mr. Sepasi crossed 71st Avenue, he had to make an almost immediate right turn to enter the gas station.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Photographs show that the damage to Mr. Sepasi's vehicle was at the very rear of the passenger's side. There is visible damage at the corner and along the bottom of the left rear panel. The Mercedes-Benz sustained damage to the right front fender and headlights on the driver's side. The right front bumper has come away and the right front area of the hood has buckled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Sepasi's evidence did not change on cross-examination. He insisted that he was in the middle lane up to the north crosswalk; he was cautious of the dog and the pedestrian, and his vehicle was "almost half way to the curb lane" when he turned into the gas station. However, he never checked to see if a vehicle was coming from his right because he was paying attention to the pedestrian, there was a car parked on the south side of 71st Avenue, and he was certain that no one was coming along the curb lane on Granville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III. THE CASE FOR THE DEFENDANTS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Junyi Qian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Qian is presently 30 years old and works as a realtor. In April 2007, at the time of the accident, he was a student at the University of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Qian testified that the evening of April 6, 2007 he was driving a 2002 Honda Accord. He had come from Richmond and was headed home. He came off the Arthur Laing bridge and was driving north on Granville Street lane. Traffic was light. He was driving in the furthest left hand lane, but it is possible that he was driving in the middle lane when he first saw the taxi. The taxi was "quite far" away, at least 100 metres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Mr. Qian is not certain where the taxi came from, or where the Mercedes-Benz was in relation to the taxi. He said at one point that the taxi came from eastbound on 71st Avenue, or from the far left lane on Granville Street, when he saw the right side of the taxi as it changed direction or made a lane change across three lanes of traffic. At another point in his evidence, Mr. Qian said that when he first observed the taxi, it was just south of the intersection at Granville and 71st Avenue in the far left lane, or far left part of the intersection and headed northbound. He noted on a sketch of the area, the location of the vehicles when he first saw them: he has the taxi in the intersection, just north of the south crosswalk and the far left lane, the Mercedes-Benz in the curb lane and approximately 120 feet or 36.5 metres from the intersection; and his Honda Accord in the far left lane. He also notes a third vehicle, a van or SUV, in the middle lane, in front of the Mercedes-Benz, but further behind the taxi. Still at another point in his evidence Mr. Qian said that when he first saw the taxi, the Mercedes-Benz was 50 metres or maybe less from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Qian also testified that when he first saw the taxi, it was right at the mouth of the intersection but he was just not sure whether the taxi was driving from south to north or west to east. He said the taxi was "almost like cutting thee lanes at one time" and the angle was quite dramatic. The taxi passed the middle lane in front of the van or SUV, and entered the curb lane where the collision occurred. The van or SUV never stopped and drove away. When he saw the taxi change lanes, he knew it would be difficult for the Mercedes-Benz to avoid the collision. The taxi was struck just before the entrance to the gas station, went spinning into the gas station, and when it came to a stop, it was turned around as if it were driving out of the gas station.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Dmitriy Smotrov</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Dmitriy Smotrov has recently changed his name to Dimitri Borodin, but I will refer to him as Mr. Smotrov.</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Generally, a party who has been examined for discovery may not rely on evidence from his examination for discovery as part of his or her case (see R. 12-5(46)). The evidence given on an examination for discovery by a party may be tendered in evidence at trial by any party adverse in interest. It generally follows that a party will rely on that part of an examination for discovery that supports his or her case and not read in evidence from an examination for discovery that contradicts his or her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Sepasi read in as part of his case, portions of the examination for discovery transcript of Mr. Smotrov that contradicts Mr. Sepasi's evidence. On examination for discovery Mr. Smotrov testified that the taxi driver cut him off when he tried to turn into the gas station and that he was unable to avoid the collision. However, that evidence must be considered with all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Smotrov testified that the accident occurred late at night and it was dark. Victor Larichev was his front seat passenger, but he cannot remember how he and Mr. Larichev met up. He thinks that he picked Mr. Larichev up from his place, but he cannot recall. Just before the accident, they were headed downtown for a meeting at The Lift restaurant in Coal Harbour: "We were supposed to meet with someone to discuss a purchase of Victor's restaurant, he was selling his restaurant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Smotrov testified that he was driving in the curb lane after he rounded the curve around 72nd Avenue on Granville Street. As he headed towards 71st Avenue, his recollection of the traffic is vague. He said "there was some traffic on the road", but he cannot recall whether there were vehicles in front of him, behind him, or beside him. He testified: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567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Are there any cars in front of you in that one block or so before the accident?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There may have been, but I can't recall now for sure.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568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Cars behind you, or do you know?</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There was some traffic on the road, but I can't remember exactly where each car was.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569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What about immediately to your left, in the middle lane?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believe Mr. Sepasi passed me on my left, but I don't remember if he was in the middle lane or if he was in the left lane. He was on my left.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571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did you first see Mr. Sepasi's vehicle?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wasn't paying attention to his vehicle at all until -- I mean I probably saw it, but I wasn't paying attention, so it didn't register. At the moment when I first saw it, when I started paying attention to it, is when he cut me off.</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Smotrov's evidence is vague. His evidence is peppered with phrases such as "I think", or "I guess", and "I guess I saw him when he was passing me". He also testified that the taxi was ahead of him "maybe five, six, seven metres" when he changed lanes and pulled into the gas station.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Victor Larichev</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Larichev was the front passenger in the Mercedes-Benz. At the time of the accident, Mr. Larichev had known Mr. Smotrov for some five years. He knew Mr. Smotrov as a photographer and they are both from Russia.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Larichev testified that Mr. Smotrov had phoned him, and asked if he could spend some time with him and help him at a business meeting. He cannot recall whether Mr. Smotrov picked him up from his place or from the apartment where Mr. Smotrov lived, but they had crossed the Arthur Laing bridge and were heading downtown for a meeting with a lady. As they were driving along they were talking about the purpose of the meeting. Mr. Smotrov was driving in the curb lane and they had just passed the intersection of Granville and 71st Avenue when the Mercedes-Benz was struck by a red taxi that was driving southbound on Granville Street and making a turn into the gas station. He insists that the red taxi was driving in the "opposite direction" from the Mercedes-Benz; the taxi was never in front of them before the accident; and the taxi had been driving southbound when it struck the Mercedes-Benz.</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Larichev testified that they were meeting a lady so that he could give an expert opinion about the buying or selling of a restaurant. He had expertise or something that he could offer because he used to own Planet Java in Fort Langley which he had sold for a profit. However, because of the accident, they stopped talking about the meeting, it never took place, and he never met the lady. He did not know whether it was the lady or Mr. Smotrov who was buying or selling a restaurant.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IV.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differing versions of the direction that Mr. Sepasi was travelling just before the collision. Both Mr. Sepasi and Mr. Smotrov say that they were driving travelling northbound on Granville Street. Mr. Larichev is adamant that the taxi came from the opposite direction and was headed southbound. Mr. Qian testified that he thought the taxi may have been traveling eastbound along 71st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Mr. Larichev was clearly mistaken, and Mr. Sepasi was headed northbound on Granville Street, and was in the middle lane as he entered the intersection at 71st and moved over to the curb lane, and was partly in the curb lane and partly in the entranceway to the gas station when the right rear passenger side of his vehicle was struck by the Mercedes-Benz driven by Mr. Smotrov.</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Mr. Qian was an independent witness, I find that at times he was testifying on what he believes may have occurred rather than what he actually observed. His evidence changed at various points in his testimony; not because he was not telling the truth, but given the passage of time since the accident, memories fade and become less reliable. Although he testified that he felt that the Mercedes-Benz was unable to avoid the collision, he was about 100 metres behind. From his vantage point, he would have a difficult time ascertaining the distance between the taxi and the Mercedes-Benz. While he said there was no car parked in the curb lane, he was only certain of that from the point where he first saw the taxi and the Mercedes-Benz.</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it highly improbable that Mr. Sepasi was travelling in the far left lane as Mr. Qian testified. Mr. Qian was unable to recall whether he himself was driving in the far left hand lane or the middle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Sepasi's unchallenged evidence was that after he dropped his passenger off the bridge, his intended destination was the Shell gas station at the northeast corner of Granville and 71st. It makes no sense for him to have moved over to the third lane in light traffic, when he needed to remain in the curb lane for the Shell gas station.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tend to prefer the evidence of Mr. Sepasi over the evidence of Mr. Smotrov where their evidence conflicts. Mr. Sepasi's recollection of the details of what occurred just prior to being struck by the Mercedes-Benz is quite detailed and was unchallenged and not contradicted. On the other hand, Mr. Smotrov's evidence is quite vague. Both Mr. Smotrov and Mr. Larichev testified that they were headed to a meeting at a restaurant to discuss the purchase or sale of a restaurant. I mention the purpose of the meeting in some detail because they are dramatically different. Mr. Larichev said that he was asked to go to the meeting by Mr. Smotrov who wanted his expertise to help a woman or Mr. Smotrov buy or sell a restaurant; he was not sure who was buying or who was selling. Mr. Smotrov said that they were going to the meeting because Mr. Larichev was wanting to sell his restaurant. Mr. Larichev testified that he had already sold his restaurant. Their recollections of the events of the evening are vague, as is Mr. Smotrov's recollection of the traffic and events just before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Mr. Smotrov was not paying attention or reasonable attention to the traffic and the manner in which he drove was largely responsible for the accident. The Mercedes-Benz struck the taxi when it was partly in the entrance to the gas station. On the other hand, Mr. Sepasi never looked right before he turned into the gas station because there was a car parked on the south side of 71st Avenue. That may be. But Mr. Sepasi still ought to have looked right before he turned into the gas station.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apportion liability for the accident: 75 percent to the defendants Dmitriy Smotrov and Four Start Auto Lease Ltd. and 25 percent to the plaintiff Seyed Sepasi.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is entitled to his costs accordingly.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 LOO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22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Sivasubramaniam v. Franz, [2008] B.C.J. No. 1533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M050675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2008 BCSC 1089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171 A.C.W.S. (3d) 756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Sivakumar Sivasubramaniam, Plaintiff, and Peter Carl Franz and Valley Rite-Mix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0" w:name="Keywords_10"/>
      <w:bookmarkEnd w:id="7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Standard of care — Action for damages caused by a motor vehicle accident — Plaintiff bicyclist collided with a concrete mixer truck driven by defendant as defendant made right hand turn at intersection — Plaintiff rode straight through intersection on shoulder — Action dismissed — Plaintiff was solely liable for the accident — He ought to have slowed his bicycle and to have checked carefully for indications that vehicles were intending to turn right at intersection before proceeding across intersection — Defendant was well into turn before plaintiff even entered intersection.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1" w:name="Case Summary_10"/>
            <w:bookmarkEnd w:id="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caused by a motor vehicle accident. The plaintiff bicyclist collided with a concrete mixer truck driven by the defendant. Liability was at issue. The plaintiff and defendant traveled east on the same road. The defendant's vehicle was several vehicles ahead of the plaintiff when the defendant stopped at a red light at an intersection. The defendant intended to run right and signaled. The plaintiff rode his bicycle on the shoulder of the roadway. He saw the traffic lights turn to red and coasted until he saw the light turn to green, at which point he resumed pedaling and began to accelerate. He collided with the defendant's truck as the defendant made his turn. The plaintiff agreed he made no effort to ascertain that the defendant could see him approaching on the shoulder of the roadway. The plaintiff assumed that the defendant would go straight through the intersection. He did not look for turn signals indicating any vehicles were intending to turn right.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2" w:name="Holdings of Court_8"/>
            <w:bookmarkEnd w:id="7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solely liable for the accident. The plaintiff failed to meet the standard of care required of a driver in the circumstances and was negligent. Having chosen to ride in an area not designated for vehicles and to pass vehicles on the right hand side while travelling in that area, the plaintiff had a duty to take extra care to ensure that he was visible to drivers and that he took precautions. At the very least, he ought to have slowed his bicycle and to have checked carefully for indications that vehicles were intending to turn right at the intersection before proceeding across the intersection to the right of traffic in the driving lanes. Had the plaintiff been paying attention as he ought to have been, he would have seen the defendant's vehicle start its turn and would have been able to slow or stop his bicycle or to steer his bicycle in a manner to avoid the collision. The evidence did not establish a negligent act or omission on the part of the defendant that caused or contributed to the collision. His slow-moving vehicle was well into the turn before the plaintiff even entered the intersection.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3" w:name="Legislation Cited_5"/>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1" w:history="1">
        <w:r>
          <w:rPr>
            <w:rFonts w:ascii="arial" w:eastAsia="arial" w:hAnsi="arial" w:cs="arial"/>
            <w:i/>
            <w:color w:val="0077CC"/>
            <w:sz w:val="20"/>
            <w:u w:val="single"/>
            <w:shd w:val="clear" w:color="auto" w:fill="FFFFFF"/>
            <w:lang w:val="en-US" w:eastAsia="en-US" w:bidi="ar-SA"/>
          </w:rPr>
          <w:t>RSBC 1996, CHAPTER 318, s. 144(1)</w:t>
        </w:r>
      </w:hyperlink>
      <w:r>
        <w:rPr>
          <w:rFonts w:ascii="arial" w:eastAsia="arial" w:hAnsi="arial" w:cs="arial"/>
          <w:color w:val="000000"/>
          <w:sz w:val="20"/>
          <w:lang w:val="en-US" w:eastAsia="en-US" w:bidi="ar-SA"/>
        </w:rPr>
        <w:t>, s. 158(1), s. 158(2), s. 183(2), s. 183(3)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4" w:name="Counsel_10"/>
      <w:bookmarkEnd w:id="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Anthony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William N. Fritz.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10"/>
      <w:bookmarkEnd w:id="75"/>
      <w:r>
        <w:pict>
          <v:line id="_x0000_s1078"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W.G. BAKER J._0"/>
            <w:bookmarkEnd w:id="76"/>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March 30, 2004, the plaintiff, Mr. Sivasubramaniam, was seriously injured when he and the bicycle he was riding collided with and were dragged under the concrete mixer truck driven by the defendant Mr. Franz, and owned by Mr. Franz's employer, the defendant Valley Rite-Mix Ltd. The plaintiff alleges that the accident was caused solely or in part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Franz. The defendants claim that Mr. Sivasubramaniam's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collision. The trial proceeded on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about 5:20 p.m. on March 30, 2004, Mr. Sivasubramaniam left the auto-body shop where he was employed as a mechanic, having completed his work day. He was riding his bicycle and following the usual route he took to travel from his workplace to his home at 946 Brunette Avenue in Coquitlam B.C. He was in no particular hurry. It was a clear and sunny day, and the roadways were dry. Shortly before the collision occurred, he had stopped at a convenience store on the south side of Lougheed Highway to purchase cigarettes, and had then resumed his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Sivasubramaniam was travelling east on Lougheed Highway, which is designated as Highway 7. Mr. Sivasubramaniam intended to cross Blue Mountain Street, which intersects Lougheed Highway, and then turn left from Lougheed Highway onto Brunette Avenue at the next intersection. Blue Mountain Street runs roughly north/south; Lougheed Highway roughly east/west. Brunette Avenue intersects both Blue Mountain Street and Lougheed Highway at a south-west/north-east angle, creating a triangle.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Traffic eastbound on Lougheed Highway intending to head south on Brunette Avenue cannot turn right at Brunette and instead must turn right onto Blue Mountain Street, travel south approximately one block, and then turn onto Brunette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point where Lougheed Highway intersects with Blue Mountain Street, there are three eastbound lanes. Two of these - the two outside lanes - are regular lanes of travel. The third lane, which starts a short distance from the intersection, is reserved for vehicles turning left from Lougheed Highway to head north on Blue Mountain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Running along the furthest outside lane for traffic there is a paved shoulder, approximately one-half the width of a driving lane. It is separated from the right hand, or slow driving lane by a solid white fog line. Near the intersection of Lougheed Highway and Blue Mountain Street this shoulder area narrows, and there is a cement curb on the far right of the shoulder area. The fog line demarcating the shoulder area ends before the intersection with Blue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two parallel lines marking a pedestrian crosswalk from east to west, to the south of where the shoulder area would be if it continued through the intersection, and two parallel lines marking the pedestrian crossing from south to north, across Lougheed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Lougheed Highway approaches the intersection with Blue Mountain Street, it slopes downward. There is also a downward grade for traffic heading south on Blue Mountain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Immediately prior to the collision, Mr. Franz was also eastbound on Lougheed Highway. He had completed a delivery of concrete and was heading to Abbotsford. The mixer was empty, and Mr. Franz was in no particular hurry. He intended to make a right hand turn at Blue Mountain Street to head south on Blue Mountain Street and then enter onto Brunette Avenue, heading southwest in order to eventually exit onto Highway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Franz's vehicle was some distance ahead and to the east of Mr. Sivasubramaniam's bicycle. Mr. Franz had activated the right hand signal lights on his vehicle as he approached the intersection of Lougheed Highway and Blue Mountain Street. There are three right turn flashing signal lights - one located on the right fender of the front wheels, one on the trailing edge of the right rear wheel well, and one on the rear face near the end of the rear right frame rail. Although one of these lights is partially obscured by equipment on the vehicle, two are clearly visible from behind the mixer truck, and all three are clearly visible at certain angles.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he approached the intersection, the light for eastbound traffic turned to red, and Mr. Franz brought his vehicle to a stop at the intersection. There were no vehicles between his vehicle and the stop line. His right hand signal lights remained activated while he was stopped at the intersection. Mr. Franz agreed that because of the size of his vehicle, he would drive forward into the intersection a short distance, and then turn his vehicle to the right onto Blue Mountain Street. In subsequent observations, Mr. Franz was able to turn right without first moving forward, but Mr. Franz's testimony was that on the day in question, he did pull forward before starting to turn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Sivasubramaniam was not riding his bicycle in a driving lane of Lougheed Highway. Instead, he was riding on the shoulder of the roadway, positioning his bicycle in the approximate centre of the shoulder area. He saw the traffic lights for eastbound traffic on Lougheed Highway turn to red as he was approaching the intersection at Blue Mountain Street. When he saw the light turn red, he applied his bicycle brakes and then coasted until he saw the light turn to green, at which point he resumed pedalling and began to accelerate. He was bent over on his bicycle, with his head down and his hips elevated. As he accelerated, he was passing vehicles in the driving lanes to his left who were waiting for traffic ahead to move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Sivasubramaniam and Mr. Franz testified about their recollections of how the collision occurred. In addition, three independent witnesses who were present at the scene testified about their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both Mr. Sivasubramaniam and Mr. Franz did their best to give honest and accurate testimony about the events of March 30, 2004. Considerable time has passed since the events they were describing.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I believe that Mr. Sivasubramaniam was an honest witness, I found his evidence to be less credible than that of Mr. Franz and the independent witnesses. Mr. Sivasubramaniam was seriously injured as a result of the collision and I consider it likely that his ability to recall the events immediately preceding the collision has been adversely affected by his injuries and the shock he no doubt experienced in the immediate aftermath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Evidence given by Mr. Sivasubramaniam at trial conflicted with evidence he gave during his examination for discovery on several points. Some of these discrepancies concerned innocuous matters - whether Mr. Sivasubramaniam was wearing a jacket on the day of the accident, for example, and whether the jacket was a light or dark shade of green - but others were more serious, including discrepancies concerning whether Mr. Sivasubramaniam steered his bicycle to the right and into the east/west pedestrian crosswalk as he entered the intersection and prior to the impact with Mr. Franz's concrete mixer truck, or whether he maintained a straight course, or whether he steered to the right, but remained north of the northern-most line marking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of both drivers, and the three independent witnesses was no doubt affected by the fact that there was nothing to cause them to take particular note of the events until seconds before the collision occurred. In Mr. Franz's case, he did not see Mr. Sivasubramaniam at all before the collision, and was unaware that the collision had even occurred until the frantic gestures of an oncoming motorist caused him to look into his rear view mirror and see the plaintiff's bicycle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found the three independent witnesses to be sincere and credible. As is common, however, their perceptions differed in some respects. There were discrepancies for example, between the evidence of Heather Johnson and her daughter, Ricky Johnson, about whether the concrete mixer truck and their own vehicle had come to a complete stop at the intersection before the collision occurred, and about the exact location of their vehicle when the plaintiff passed them on the right on his bicycle. On the most significant aspects of their testimony, however, their evidence was consistent, and also consistent with that of the third independent witness, Mr. Locke.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parties retained expert accident reconstruction analysts, who, in addition to their reports, provided the court with extremely detailed and technical oral testimony concerning the opportunities each of the parties had to avoid the collision, estimated reaction times and braking distances, and estimated vehicle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Based on the assumptions he made, or was given, the plaintiff's expert, Mr. Brown, was of the opinion that Mr. Franz ought to have seen Mr. Sivasubramaniam in his right side mirrors, and could have stopped his vehicle before it reached the plaintiff's path, thereby avoiding the collision. The defendant's expert, Mr. Toor, took issue with many of the assumptions used by Mr. Brown, and concluded, based on the assumptions he made, or was given, that Mr. Sivasubramaniam should have seen the Franz vehicle commence its turn, and would have had adequate time to avoid the collision had he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usefulness of the expert testimony was significantly undermined by the fact that both experts had to rely on assumptions that were not elevated above the hypothetical by the actual evidence presented at trial. The exact position of the vehicles on the roadway at the point of collision, for example, cannot be determined with any degree of certainty. Estimates of the speed at which the bicycle was travelling prior to the collision differed widely. In the end, I concluded that Mr. Sivasubramaniam was travelling at a much greater rate of speed than his estimate, or the speed assumed by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experts were helpful in confirming the testimony of the eyewitnesses that Mr. Sivasubramaniam's bicycle collided with that portion of the concrete mixer truck that is immediately behind the second, or rear, set of tractor wheels - the portion of the vehicle between the tractor and the mixer, and approximately one-half way along the length of the concrete mixer truck, and that when he struck the vehicle, he was roughly perpendicular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Sivasubramaniam's evidence about when he first noticed the concrete mixer truck changed throughout his testimony. At one point in his direct evidence, he testified that he first saw the concrete mixer truck stopped at the intersection when he was approximately 40 to 60 feet from the intersection, and that it was at this same distance that he saw the traffic light turn green. Later in his direct evidence he said that he had probably noticed the truck much earlier, before the light turned green, and before he resumed pedalling his bicycle. Later, he conceded that he is really not sure when he first saw the concrete mixer truck, and that it is possible that he has confused feet and meters at various times when giving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Sivasubramaniam agreed that his attention was primarily focused on the color of the traffic light, because he would have had to bring his bicycle to a stop if the light was still red when he reached the intersection. He agreed also that once the light turned green, he focused his attention on the roadway straight ahead of him, and resumed pedalling. At this time, I conclude, he was approaching the intersection on a downward slope, and as a result of both the slope and his actions in pedalling his bicycle, he would have been accelerating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Sivasubramaniam agreed that he made no effort to ascertain that the driver of the concrete mixer truck could see him approaching on the shoulder of the roadway, although he agreed that he was riding less than two feet to the right of the fog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Sivasubramaniam testified that he assumed that the concrete mixer truck would go straight through the intersection. On examination for discovery, Mr. Sivasubramaniam testified that he did not look for turn signals indicating any vehicles were intending to turn right at Blue Mountain Street, although he agreed that he knew that vehicles did frequently make right turns at that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Sivasubramaniam testified the concrete mixer truck drove straight ahead the entire width of the first north/south lane of Blue Mountain Street, but I consider this evidence improbable. Mr. Franz testified he did travel forward a short distance before turning to the right, but not across an entire lane. Subsequent re-enactments indicated that Mr. Franz was able to negotiate the turn without driving any significant distance in a forward direction before executing the right hand turn, and did so on three successive occasions when asked by Mr. Toor to execute the turn in his usual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Sivasubramaniam estimated his speed as he passed the second vehicle behind the truck at 5 to 10 km per hour, but I am satisfied that this is an underestimate and that he was more likely travelling at a speed between 10 and 20 kph - likely in the higher portion of that range - based on the fact that he was pedalling to accelerate on a down-slope, and that all of the independent witnesses described his speed as quite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Sivasubramaniam's evidence on discovery and at trial concerning whether he did, or was intending to cross the intersection by riding in the pedestrian crosswalk is contradictory. He testified that that was his usual practice, but also that he did not do so in this case, and intended to ride next to the northern-most line of the crosswalk, but not in it. This testimony indicates that it is likely that as he entered the intersection, Mr. Sivasubramaniam was steering his bicycle to the right. This would place him on an angled downward slope, which likely also increased his speed immediately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contrast, all of the evidence indicates that Mr. Franz's concrete mixer truck was moving at a slow speed throughout its turn. Mr. Sivasubramaniam estimated the truck's speed at only 5 to 6 kph at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Mr. Sivasubramaniam was gaining on the concrete mixer truck, he noticed in his side vision that it was turning. He testified that he tried to turn right with the truck, but it was too late. However, one of the independent witnesses, Mr. Locke, testified that he did not see the bicycle brake or swerve prior to impact, suggesting that Mr. Sivasubramaniam did not see the turning vehicle until just before he collided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Sivasubramaniam's recollection is that he was alongside the right rear tire of the truck when it started to turn, and approximately two and a half feet from the side of the truck. He believes that both he and the truck were near the east/west crosswalk when the collision occurred. For reasons that I shall refer to later, I am satisfied that Mr. Sivasubramaniam is incorrect, and that the truck had commenced its turn much earlier, and at a time when Mr. Sivasubramaniam was still several car lengths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Franz testified that he did not see Mr. Sivasubramaniam at all before the collision happened. He recalled having brought his vehicle to a stop at the intersection with his right turn signal lights flashing. There were no vehicles ahead of him in his lane. When the light turned green, he slowly pulled forward over the east line of the north/south crosswalk and then started to turn to the right. He checked his mirrors on both sides and then did a shoulder check through the back window of his vehicle. The mirror attached to the door of his cab has two portions - a regular mirror and a convex mirror that reflects the area below the door in the area of the front rear axle and some equipment to the rear. He started the turn in second gear and did not change gears.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Franz estimates that he drove forward a distance of about 10 feet only before starting his right turn. As his vehicle's rear tires crossed the east/west crosswalk on Blue Mountain Street he felt a bump. He thought the bump was caused by driving over a drain. At this point, a northbound vehicle on Blue Mountain Street honked and the driver pointed and Mr. Franz stopped his vehicle and looked back and saw Mr. Sivasubramaniam's bicycle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Ricky Johnson and her mother Heather Johnson were the driver and passenger in a pick-up truck that was also eastbound on Lougheed Highway, in the same lane but behind Mr. Franz's vehicle. There was, I conclude, one vehicle - a small import car - between their vehicle and Mr. Franz's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Both of these witnesses testified that as they approached the intersection of Lougheed Highway and Blue Mountain Street, they saw the concrete mixer truck ahead of them, nearing or stopped at the intersection where the traffic light for eastbound traffic was red. Ricky Johnson, who was driving, slowed her vehicle as she came up behind the traffic ahead because she could see that the traffic light was red. Both women testified that they could see the right hand signal lights on the concrete mixer truck flashing, indicating an intention to turn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Heather Johnson was seated in the front passenger seat of her daughter's vehicle. She testified that she saw the light for eastbound traffic turn to green and saw the concrete mixer truck start to make a slow right hand turn. At this point, she noticed a man on a bicycle - I conclude it was the plaintiff - pass by on the right of her daughter's vehicle, travelling at a fast speed. She saw the bicycle drive into the side of the truck, which was far enough into its right hand turn to have its front bumper on Blue Mountain Street. She testified that the truck was "sideways" when the bicycle hit it, and recalled that the bicycle struck the truck behind the truck's front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Johnson testified that there was no doubt in her mind that the truck was already turning to the right when the bicycle passed by the vehicle in which she was a passenger, and that the truck was not moving quickly as it made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Ricky Johnson also testified that the light had turned green for eastbound traffic and the concrete mixer truck had started to turn right before the plaintiff passed her vehicle on the right. She recalled there being only one vehicle ahead of her between her vehicle and the truck. She recalled that her vehicle was moving in second gear at a speed of between 10 and 20 kph when the plaintiff passed by her on the right. She estimated, therefore, that the cyclist was travelling at a faster speed than her vehicle, and probably in the same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Ricky Johnson recalled that the concrete mixer truck had already initiated its right hand turn when the plaintiff's bicycle passed her vehicle. She said she could see the front right side wheels of the truck as it was making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Both Heather and Ricky Johnson spoke to a police officer at the scene of the accident. Constable Ewanyshyn of the Coquitlam RCM Police testified that he was despatched to the scene and arrived there at about 5:35 pm. He spoke to the two women briefly, and later wrote a short note on his Continuation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Continuation Report prepared by Constable Ewanyshyn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spoke to 4 witnesses, 2 in the same vehicle, a red Toyota 0731GG. Driver and front seat passenger, mother (passenger) and daughter (driver) were 2 vehicles behind the cement mixer (sic) both said that the mixer was stopped #1 at a red light E/B on Lougheed in slow lane at Blue Mountain going eastbound. The traffic light turned green and the mixer turned right. </w:t>
      </w:r>
      <w:r>
        <w:rPr>
          <w:rFonts w:ascii="arial" w:eastAsia="arial" w:hAnsi="arial" w:cs="arial"/>
          <w:color w:val="000000"/>
          <w:sz w:val="20"/>
          <w:u w:val="single"/>
          <w:lang w:val="en-US" w:eastAsia="en-US" w:bidi="ar-SA"/>
        </w:rPr>
        <w:t>The bicycle was in the process of passing the mixer on the right but only got about halfway by the mixer on the right when the mixer turned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Plaintiff's counsel suggested to Heather and Ricky Johnson that they provided the information that I have underlined above, and that their impression at the time was that the concrete mixer truck had, in effect, suddenly turned right, cutting off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witnesses disagreed with those propositions. They denied having told the officer the information included in his brief report and said that they would not have said what was attributed to them, because it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officer's brief report does not purport to be a verbatim quote; and is open to several interpretations. I accept the testimony of the Johnsons given at trial, and I am not persuaded that they have altered their testimony since the events in question. There were differences in their memories of exactly how the events unfolded, but they were clear and consistent in their testimony that the concrete mixer truck had already started into its right hand turn when Mr. Sivasubramaniam passed their vehicle. In other words, the concrete mixer truck was already into its turn before Mr. Sivasubramaniam reached and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Brent Locke also saw the accident. He was heading in a north-easterly direction on Brunette Avenue and was stopped in the left-hand lane on Brunette, waiting to make a left turn onto Blue Mountain Street. He testified that from that position he could see the intersection of Lougheed Highway and Blue Mountain Street very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Locke testified that he saw the concrete mixer truck drive forward into the intersection and then commence a slow right hand turn. He estimated the truck was travelling at a speed of only 5 to 10 kph. He saw the plaintiff's bicycle come straight into the intersection, travelling at considerable speed, and collide with the side of the truck. He estimated that the truck was 20 to 25 percent of the way into its turn when the cyclist hit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parties drew the court's attention to various sections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Those sections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(1) A person must not drive a motor vehicle on a highway</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(1) The driver of a vehicle must not cause or permit the vehicle to overtake and pass on the right of another vehicle, except ... (none of the exceptions apply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Despite subsection (1), a driver of a vehicle must not cause the vehicle to overtake and pass another vehicle on the right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(1) In addition to the duties imposed by this section, a person operating a cycle on a highway has the same rights and duties as a driver of a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A person operating a cycle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ride on a sidewalk unless authorized by a bylaw made under section 124 or unless otherwise directed by a sign,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for the purpose of crossing a highway, ride on a crosswalk unless authorized to do so by a bylaw made under section 124 or unless otherwise directed by a sign,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subject to paragraph (a), ride as near as practicable to the right side of the highway,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Nothing in subsection (2)(c) requires a person to ride a cycle on any part of a highway that is not paved.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parties assisted the court by providing copies of relevant decisions, including </w:t>
      </w:r>
      <w:r>
        <w:rPr>
          <w:rFonts w:ascii="arial" w:eastAsia="arial" w:hAnsi="arial" w:cs="arial"/>
          <w:b/>
          <w:i/>
          <w:color w:val="000000"/>
          <w:sz w:val="20"/>
          <w:lang w:val="en-US" w:eastAsia="en-US" w:bidi="ar-SA"/>
        </w:rPr>
        <w:t>Vulcano v. Benitez</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[1982] B.C.J. No. 1722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Jang v. Fisher</w:t>
      </w:r>
      <w:r>
        <w:rPr>
          <w:rFonts w:ascii="arial" w:eastAsia="arial" w:hAnsi="arial" w:cs="arial"/>
          <w:color w:val="000000"/>
          <w:sz w:val="20"/>
          <w:lang w:val="en-US" w:eastAsia="en-US" w:bidi="ar-SA"/>
        </w:rPr>
        <w:t xml:space="preserve"> (BCCA), </w:t>
      </w:r>
      <w:hyperlink r:id="rId190" w:history="1">
        <w:r>
          <w:rPr>
            <w:rFonts w:ascii="arial" w:eastAsia="arial" w:hAnsi="arial" w:cs="arial"/>
            <w:i/>
            <w:color w:val="0077CC"/>
            <w:sz w:val="20"/>
            <w:u w:val="single"/>
            <w:shd w:val="clear" w:color="auto" w:fill="FFFFFF"/>
            <w:lang w:val="en-US" w:eastAsia="en-US" w:bidi="ar-SA"/>
          </w:rPr>
          <w:t>[1990] B.C.J. No. 2560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Boe v. Power</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[1990] B.C.J. No. 247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Shepherd v. Campbell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[1993] B.C.J. No. 1615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Dolphin v. Lepine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[1999] B.C.J. No. 103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Hildebrand v. Canada (Royal Canadian Mounted Police)</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[2000] B.C.J. No. 2823</w:t>
        </w:r>
      </w:hyperlink>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2000 BCSC 1876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Cavezza v. Wallace</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[1991] B.C.J. No. 3981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George v. Kembel</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[1994] B.C.J. No. 2372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Chan v. Catroppa</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[1995] B.C.J. No. 13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Boismier (Next friend of) v. St. Louis</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[1997] B.C.J. No. 1124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Briscoe v. Hives</w:t>
      </w:r>
      <w:r>
        <w:rPr>
          <w:rFonts w:ascii="arial" w:eastAsia="arial" w:hAnsi="arial" w:cs="arial"/>
          <w:color w:val="000000"/>
          <w:sz w:val="20"/>
          <w:lang w:val="en-US" w:eastAsia="en-US" w:bidi="ar-SA"/>
        </w:rPr>
        <w:t xml:space="preserve"> (Prov. Ct. of B.C.), </w:t>
      </w:r>
      <w:hyperlink r:id="rId199" w:history="1">
        <w:r>
          <w:rPr>
            <w:rFonts w:ascii="arial" w:eastAsia="arial" w:hAnsi="arial" w:cs="arial"/>
            <w:i/>
            <w:color w:val="0077CC"/>
            <w:sz w:val="20"/>
            <w:u w:val="single"/>
            <w:shd w:val="clear" w:color="auto" w:fill="FFFFFF"/>
            <w:lang w:val="en-US" w:eastAsia="en-US" w:bidi="ar-SA"/>
          </w:rPr>
          <w:t>[1999] B.C.J. No. 445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Hill v. Reekie</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[1998] B.C.J. No. 40</w:t>
        </w:r>
      </w:hyperlink>
      <w:r>
        <w:rPr>
          <w:rFonts w:ascii="arial" w:eastAsia="arial" w:hAnsi="arial" w:cs="arial"/>
          <w:color w:val="000000"/>
          <w:sz w:val="20"/>
          <w:lang w:val="en-US" w:eastAsia="en-US" w:bidi="ar-SA"/>
        </w:rPr>
        <w:t>, January 14, 1998, SCBC Vancouver Registry No. B952705.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always, each of these cases turns on the specific facts found by the trial judge. Most of the cases did not involve a right hand turn made at an intersection. In </w:t>
      </w:r>
      <w:r>
        <w:rPr>
          <w:rFonts w:ascii="arial" w:eastAsia="arial" w:hAnsi="arial" w:cs="arial"/>
          <w:b/>
          <w:i/>
          <w:color w:val="000000"/>
          <w:sz w:val="20"/>
          <w:lang w:val="en-US" w:eastAsia="en-US" w:bidi="ar-SA"/>
        </w:rPr>
        <w:t>Briscoe v. Hives</w:t>
      </w:r>
      <w:r>
        <w:rPr>
          <w:rFonts w:ascii="arial" w:eastAsia="arial" w:hAnsi="arial" w:cs="arial"/>
          <w:color w:val="000000"/>
          <w:sz w:val="20"/>
          <w:lang w:val="en-US" w:eastAsia="en-US" w:bidi="ar-SA"/>
        </w:rPr>
        <w:t xml:space="preserve">, the plaintiff cyclist was found 100 percent liable for the accident that occurred when he attempted to pass, on the right, a vehicle that was signalling its intention to turn right and was executing that turn. In </w:t>
      </w:r>
      <w:r>
        <w:rPr>
          <w:rFonts w:ascii="arial" w:eastAsia="arial" w:hAnsi="arial" w:cs="arial"/>
          <w:b/>
          <w:i/>
          <w:color w:val="000000"/>
          <w:sz w:val="20"/>
          <w:lang w:val="en-US" w:eastAsia="en-US" w:bidi="ar-SA"/>
        </w:rPr>
        <w:t>Vulcano v. Beniez</w:t>
      </w:r>
      <w:r>
        <w:rPr>
          <w:rFonts w:ascii="arial" w:eastAsia="arial" w:hAnsi="arial" w:cs="arial"/>
          <w:color w:val="000000"/>
          <w:sz w:val="20"/>
          <w:lang w:val="en-US" w:eastAsia="en-US" w:bidi="ar-SA"/>
        </w:rPr>
        <w:t xml:space="preserve">, a case that did not involve a turn at an intersection, but rather a lane change, Justice Hinds concluded that a cyclist may pass a vehicle on its right where there is an unobstructed lane on the side of the roadway but that the cyclist must ensure that the passing can be made safely. In </w:t>
      </w:r>
      <w:r>
        <w:rPr>
          <w:rFonts w:ascii="arial" w:eastAsia="arial" w:hAnsi="arial" w:cs="arial"/>
          <w:b/>
          <w:i/>
          <w:color w:val="000000"/>
          <w:sz w:val="20"/>
          <w:lang w:val="en-US" w:eastAsia="en-US" w:bidi="ar-SA"/>
        </w:rPr>
        <w:t>Vulcano</w:t>
      </w:r>
      <w:r>
        <w:rPr>
          <w:rFonts w:ascii="arial" w:eastAsia="arial" w:hAnsi="arial" w:cs="arial"/>
          <w:color w:val="000000"/>
          <w:sz w:val="20"/>
          <w:lang w:val="en-US" w:eastAsia="en-US" w:bidi="ar-SA"/>
        </w:rPr>
        <w:t xml:space="preserve">, the defendant was found 75 percent at fault, but that was because the court concluded that the defendant driver had not commenced signalling his intention to make a right turn in a timely fashion. In </w:t>
      </w:r>
      <w:r>
        <w:rPr>
          <w:rFonts w:ascii="arial" w:eastAsia="arial" w:hAnsi="arial" w:cs="arial"/>
          <w:b/>
          <w:i/>
          <w:color w:val="000000"/>
          <w:sz w:val="20"/>
          <w:lang w:val="en-US" w:eastAsia="en-US" w:bidi="ar-SA"/>
        </w:rPr>
        <w:t>Jang v. Fisher</w:t>
      </w:r>
      <w:r>
        <w:rPr>
          <w:rFonts w:ascii="arial" w:eastAsia="arial" w:hAnsi="arial" w:cs="arial"/>
          <w:color w:val="000000"/>
          <w:sz w:val="20"/>
          <w:lang w:val="en-US" w:eastAsia="en-US" w:bidi="ar-SA"/>
        </w:rPr>
        <w:t>, the Court of Appeal concluded that the defendant driver had been negligent when she turned her car into a curb lane in front of parked cars without looking back, striking the plaintiff, who was riding a bicycle, as she did so. The plaintiff was found to be equally at fault for driving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Dolphin v. Lepine</w:t>
      </w:r>
      <w:r>
        <w:rPr>
          <w:rFonts w:ascii="arial" w:eastAsia="arial" w:hAnsi="arial" w:cs="arial"/>
          <w:color w:val="000000"/>
          <w:sz w:val="20"/>
          <w:lang w:val="en-US" w:eastAsia="en-US" w:bidi="ar-SA"/>
        </w:rPr>
        <w:t>, Justice Burnyeat found the driver and cyclist equally at fault. In that case, the court concluded that the defendant driver had failed to make appropriate right shoulder checks before turning into the path of the cyclist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Hildebrand v. Canada (RCMP)</w:t>
      </w:r>
      <w:r>
        <w:rPr>
          <w:rFonts w:ascii="arial" w:eastAsia="arial" w:hAnsi="arial" w:cs="arial"/>
          <w:color w:val="000000"/>
          <w:sz w:val="20"/>
          <w:lang w:val="en-US" w:eastAsia="en-US" w:bidi="ar-SA"/>
        </w:rPr>
        <w:t xml:space="preserve">, the defendant driver was found solely at fault because he had overtaken the cyclist and then turned abruptly from the centre of the road into the path of the cyclist. A similar result was held in </w:t>
      </w:r>
      <w:r>
        <w:rPr>
          <w:rFonts w:ascii="arial" w:eastAsia="arial" w:hAnsi="arial" w:cs="arial"/>
          <w:b/>
          <w:i/>
          <w:color w:val="000000"/>
          <w:sz w:val="20"/>
          <w:lang w:val="en-US" w:eastAsia="en-US" w:bidi="ar-SA"/>
        </w:rPr>
        <w:t>Cavezza v. Wallace</w:t>
      </w:r>
      <w:r>
        <w:rPr>
          <w:rFonts w:ascii="arial" w:eastAsia="arial" w:hAnsi="arial" w:cs="arial"/>
          <w:color w:val="000000"/>
          <w:sz w:val="20"/>
          <w:lang w:val="en-US" w:eastAsia="en-US" w:bidi="ar-SA"/>
        </w:rPr>
        <w:t>. In that case, the defendant driver had overtaken the plaintiff cyclist and then made an abrupt right turn, cutting the plaintiff off and failing to give her enough time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George v. Kembel</w:t>
      </w:r>
      <w:r>
        <w:rPr>
          <w:rFonts w:ascii="arial" w:eastAsia="arial" w:hAnsi="arial" w:cs="arial"/>
          <w:color w:val="000000"/>
          <w:sz w:val="20"/>
          <w:lang w:val="en-US" w:eastAsia="en-US" w:bidi="ar-SA"/>
        </w:rPr>
        <w:t>, the plaintiff cyclist was found solely at fault when he overtook and collided with the right rear of the defendant's vehicle as it executed a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Following the conclusion of the trial in this matter, counsel for the defendant provided the court and the plaintiff with the decision of Justice Bauman in </w:t>
      </w:r>
      <w:r>
        <w:rPr>
          <w:rFonts w:ascii="arial" w:eastAsia="arial" w:hAnsi="arial" w:cs="arial"/>
          <w:b/>
          <w:i/>
          <w:color w:val="000000"/>
          <w:sz w:val="20"/>
          <w:lang w:val="en-US" w:eastAsia="en-US" w:bidi="ar-SA"/>
        </w:rPr>
        <w:t>Hadden v. Lynch</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The facts are similar to the facts in the case at bar. The plaintiff Hadden was riding his bicycle along the north sidewalk of the Lougheed Highway. He intended to cross a street in the pedestrian crosswalk. The defendant vehicle driver checked his mirrors and initiated a right turn and the plaintiff's bicycle collided with the side of his vehicle. Justice Bauman found the plaintiff cyclist solely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evidence clearly establishes that Mr. Sivasubramaniam failed to meet the standard of care required of a driver in the circumstances, and that he was negligent. He was driving on the shoulder of the roadway, rather than in the lane marked for vehicle travel. I accept that it would also have been hazardous for Mr. Sivasubramaniam to ride in a driving lane on such a busy street, but having chosen to ride in an area that is not designated for vehicles; and to pass vehicles on the right hand side while travelling in that area, Mr. Sivasubramaniam had a duty to take extra care to ensure that he was visible to drivers, and that he took precautions. This was particularly so as he approached a busy intersection. Options available to him included signalling and moving into the driving lane to his left when it was safe to do so, and proceeding through the intersection in that driving lane; or stopping and dismounting from his bicycle and crossing the intersection in the pedestrian crosswalk and then remounting his vehicle on the other side of Blue Mountain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very least, he ought to have slowed his bicycle and to have checked carefully for indications that vehicles were intending to turn right from Lougheed Highway onto Blue Mountain Street, before proceeding across the intersection to the right of traffic in the driving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Instead of driving in a cautious fashion, I conclude that Mr. Sivasubramaniam was accelerating as he approached the intersection, and, as I have said earlier, steered to the right with the intention of either riding in the cross walk - a prohibited act - or riding near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Sivasubramaniam focused his attention on the roadway ahead of him, and did not look to see what was there to be seen, the three flashing right turn signals on Mr. Franz's concrete mixer truck. His failure to see the signal lights was also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the evidence of Heather and Ricky Johnson indicates that Mr. Sivasubramaniam should have seen Mr. Franz commence his right turn. Their evidence indicates that Mr. Franz had commenced his right turn before Mr. Sivasubramaniam passed their vehicle, which was at least three car lengths from the intersection. I am satisfied that had Mr. Sivasubramaniam been paying attention as he ought to have been, he would have seen the Franz vehicle start its turn and would have been able to slow or stop his bicycle, or to steer his bicycle in a manner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Sivasubramaniam does not seriously contest the proposition that he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significant cause of the accident, and his own injuries. The only issue is whether the plaintiff has shown, on a balance of probabilities, any act or omission on the part of Mr. Franz that constitutes a breach of the duty of care Mr. Franz owed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Sivasubramaniam received serious injuries in the collision. Although this trial did not focus on the issue of damages, Mr. Sivasubramaniam provided some brief testimony about his injuries and testified that he has not worked since the accident. These circumstances arouse sympathy, but the court cannot allow that natural sympathy to color the assessment of the evidence. Although I am sympathetic to the position of Mr. Sivasubramaniam, the evidence does not establish a negligent act or omission on the part of Mr. Franz that caused or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is not a case where a driver has passed a cyclist and therefore observed the cyclist's presence, before turning across the cyclist's path. This is not a case of a turn or lane change made without adequate notice to traffic approaching from the rear. Mr. Franz had been signalling his intention to make a right turn for some considerable time before he commenced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is not a case of a driver turning suddenly across the path of a cyclist, and effectively cutting the cyclist off. Mr. Franz made a slow turn, according to all of the evidence, and commenced his turn, I have concluded, at a time that Mr. Sivasubramaniam was some distance - several car lengths -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stated earlier, Mr. Franz freely admitted that he did not see the plaintiff at any time prior to the collision. Arguably, based on the testimony of the experts, Mr. Sivasubramaniam would have been visible in at least one of Mr. Franz's mirrors. I am satisfied, however, that even if Mr. Franz had seen Mr. Sivasubramaniam prior to commencing his turn, a reasonable driver in his circumstances would have been fully justified in commencing his right hand turn, having earlier and consistently signalled his intention to do so, and given the fact that, based on the Johnsons' testimony, Mr. Sivasubramaniam was several car lengths from the intersection when Mr. Franz commenced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would not have been reasonable for Mr. Franz to assume that Mr. Sivasubramaniam would ignore his turn signals, and the fact that he had commenced his turn, and proceed straight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By the time Mr. Sivasubramaniam reached the intersection and posed a hazard, Mr. Franz was well into his turn, and at this point there would have been no potential for him to avoid the accident in any event. The fact that Mr. Sivasubramaniam collided with the centre portion of the concrete mixer truck, and was almost perpendicular to it at the point of impact, indicates that the slow-moving vehicle was well into the turn before Mr. Sivasubramaniam even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compels me to conclude that for some unknown reason, Mr. Sivasubramaniam simply failed to note the fact that Mr. Franz's vehicle not only was intending to turn right, but had commenced that turn, and he failed to slow or stop his bicycle until it was too late to do so. Mr. Sivasubramaniam assumed, incorrectly, that the concrete mixer truck would proceed straight through the intersection. He made this assumption despite his knowledge that vehicles frequently do turn right at this intersection, and despite the signal flashing in several locations on the concrete mixer truck. Rather than slowing or stopping his bicycle as he approached the intersection, he was, I conclude, accelerating by continuing to pedal on the downward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am obliged to conclude that Mr. Sivasubramaniam's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Accordingly, the plaintiff's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If the parties are unable to agree on the issue of costs, they are at liberty to make submissions about costs in writing, or to arrange with the Registry to appear to make further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Staar v. Blackmore, [2000] B.C.J. No. 1329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Oppal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6 - 8 and 14 - 15, 1999.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29,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S042026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1329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1013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35 R.P.R. (3d) 267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97 A.C.W.S. (3d) 793</w:t>
      </w:r>
    </w:p>
    <w:p>
      <w:pPr>
        <w:spacing w:before="120" w:line="260" w:lineRule="atLeast"/>
        <w:rPr>
          <w:lang w:val="en-US" w:eastAsia="en-US" w:bidi="ar-SA"/>
        </w:rPr>
      </w:pPr>
      <w:r>
        <w:rPr>
          <w:rFonts w:ascii="arial" w:eastAsia="arial" w:hAnsi="arial" w:cs="arial"/>
          <w:color w:val="000000"/>
          <w:sz w:val="20"/>
          <w:lang w:val="en-US" w:eastAsia="en-US" w:bidi="ar-SA"/>
        </w:rPr>
        <w:t>Between Loren Staar also known as Lawrence Edward Johnson, plaintiff, and Harvey Blackmore, Gordon Walters, and Her Majesty the Queen in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0" style="position:absolute;z-index:25167052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7" w:name="Keywords_11"/>
      <w:bookmarkEnd w:id="77"/>
      <w:r>
        <w:rPr>
          <w:rFonts w:ascii="arial" w:eastAsia="arial" w:hAnsi="arial" w:cs="arial"/>
          <w:b/>
          <w:color w:val="000000"/>
          <w:sz w:val="20"/>
          <w:lang w:val="en-US" w:eastAsia="en-US" w:bidi="ar-SA"/>
        </w:rPr>
        <w:t xml:space="preserve">Real property — Joint tenancies — Joint tenancies — 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negligent acts — Land transfers — Failure to determine nature of interest — Damages — Re purchase of land.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8" w:name="Case Summary_11"/>
            <w:bookmarkEnd w:id="7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Staar for damages alleged to have been caused by the solicitor Walters'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having failed to advise him that certain property was registered in his name and in his deceased father's name as tenants in common. Staar claimed that he always believed that the property was registered in joint tenancy. The property was originally purchased together with his father and his former spouse for $185,000 with each parties' interest being joint. After his separation from his wife, Staar purchased her interest at which point the property was registered in his name and his father's as joint tenants. There was no dispute that the Land Titles Office failed to register the interest as joint and made an error which remained undetected for some years. In 1989, Staar and his father entered into a subdivision agreement in respect of the property which called for the sale of the entire parcel of land to the developer with an option to purchase which Staar and his father exercised. The defendant Walters was their solicitor at that time and did not register their interest as joint tenants nor did he register their fractional interests on the title certificate. Staar claimed that he only realized upon his father's death that a mistake had been made and that the property should have been registered in joint tenancy. Walters, although conceding that he breached his duty of care in failing to determine the parties' respective interests, claimed that it was not the father's intention that the property be held in joint tenancy, in that the father always intended to benefit other family members aside from Staar upon his death. Evidence was adduced as to the acrimonious relationship between Staar and his father. In addition, Staar brought earlier proceedings for a declaration that the property in question was held in joint tenancy. The petition was dismissed on the grounds that the court had no jurisdiction to alter the title as shown and no persuasive evidence was adduced to justify such a change. Walters claimed that Staar was now estopped from re-arguing the joint tenancy issue. </w:t>
            </w:r>
            <w:r>
              <w:rPr>
                <w:lang w:val="en-US" w:eastAsia="en-US" w:bidi="ar-SA"/>
              </w:rPr>
              <w:cr/>
            </w:r>
          </w:p>
          <w:p>
            <w:pPr>
              <w:spacing w:before="120" w:line="260" w:lineRule="atLeast"/>
              <w:ind w:left="240"/>
              <w:jc w:val="both"/>
              <w:rPr>
                <w:lang w:val="en-US" w:eastAsia="en-US" w:bidi="ar-SA"/>
              </w:rPr>
            </w:pPr>
            <w:bookmarkStart w:id="79" w:name="Holdings of Court_9"/>
            <w:bookmarkEnd w:id="79"/>
            <w:r>
              <w:rPr>
                <w:rFonts w:ascii="arial" w:eastAsia="arial" w:hAnsi="arial" w:cs="arial"/>
                <w:color w:val="000000"/>
                <w:sz w:val="20"/>
                <w:lang w:val="en-US" w:eastAsia="en-US" w:bidi="ar-SA"/>
              </w:rPr>
              <w:t>HELD: Action for joint tenancy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Staar was not estopped from bringing this action on the grounds of his earlier unsuccessful petition. On the whole of the evidence however, it was clear that the father did not likely intend to benefit Staar with the right of survivorship in the property upon his death and that no mistake was therefore made in the property registration. It appeared that the father was well aware of the difference between a tenancy in common and a joint tenancy. Although Walters was in breach of his duty in failing to ascertain the nature of the parties' respective interests in the property, this breach was not causative of Staar's loss. Staar was entitled to a 60 per cent interest in the property as tenant in common. Staar was contributorily negligent by 25 per cent in his failure to ascertain at an earlier date that his 60 per cent interest was not reflected on title. Staar was entitled to 75 per cent of the difference between the purchase price of 50 per cent of the interest which he paid, the 40 per cent which he should have paid. </w:t>
            </w:r>
            <w:r>
              <w:rPr>
                <w:lang w:val="en-US" w:eastAsia="en-US" w:bidi="ar-SA"/>
              </w:rPr>
              <w:cr/>
            </w:r>
          </w:p>
          <w:p>
            <w:pPr>
              <w:rPr>
                <w:lang w:val="en-US" w:eastAsia="en-US" w:bidi="ar-SA"/>
              </w:rPr>
            </w:pPr>
          </w:p>
        </w:tc>
      </w:tr>
    </w:tbl>
    <w:p>
      <w:pPr>
        <w:jc w:val="both"/>
        <w:rPr>
          <w:lang w:val="en-US" w:eastAsia="en-US" w:bidi="ar-SA"/>
        </w:rPr>
      </w:pPr>
      <w:bookmarkStart w:id="80" w:name="Legislation Cited_6"/>
      <w:bookmarkEnd w:id="8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81" style="position:absolute;z-index:2517217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81" w:name="Counsel_11"/>
      <w:bookmarkEnd w:id="8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2" style="position:absolute;z-index:2517729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Blair Thompson, for the plaintiff. William G. MacLeod, for the defendant, Gordon Walters.</w:t>
      </w:r>
      <w:r>
        <w:rPr>
          <w:lang w:val="en-US" w:eastAsia="en-US" w:bidi="ar-SA"/>
        </w:rPr>
        <w:cr/>
      </w:r>
    </w:p>
    <w:p>
      <w:pPr>
        <w:spacing w:after="240"/>
        <w:rPr>
          <w:lang w:val="en-US" w:eastAsia="en-US" w:bidi="ar-SA"/>
        </w:rPr>
      </w:pPr>
      <w:bookmarkStart w:id="82" w:name="Judgment_11"/>
      <w:bookmarkEnd w:id="82"/>
      <w:r>
        <w:pict>
          <v:line id="_x0000_s1083" style="position:absolute;z-index:2518241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3" w:name="OPPAL J."/>
            <w:bookmarkEnd w:id="83"/>
            <w:r>
              <w:rPr>
                <w:rFonts w:ascii="arial" w:eastAsia="arial" w:hAnsi="arial" w:cs="arial"/>
                <w:b/>
                <w:color w:val="000000"/>
                <w:sz w:val="30"/>
                <w:lang w:val="en-US" w:eastAsia="en-US" w:bidi="ar-SA"/>
              </w:rPr>
              <w:t>OPPAL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1980 the plaintiff Loren Staar purchased property with his spouse and his father, Theodore Johnson. The parties were registered as joint tenants. At some point the Land Titles Office erroneously recorded the property as a tenancy in common. In 1991 the plaintiff retained Gordon Walters, a solicitor, to prepare documents in relation to subdivision and an option to purchase relating to that same property. The plaintiff alleges that Mr. Walters was negligent in failing to ascertain the intentions of the parties and thereby registered the documents that he prepared as a tenancy in common.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claims damages for losses alleged to have been incurred as a result of Mr. Walters'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background of this matter is as follows. On November 25, 1980 the plaintiff purchased property at 21945 44th Avenue in Langley with his then spouse and his father, Theodore Johnson. The property, which consisted of 3.86 acres, was purchased at a price of $185,000. Each party was a registered as a joint tenant with a one-third interest. However, the plaintiff testified that he and his wife had a 60 percent interest in the property while his father had a 40 percent interest. His explanation as to the discrepancy between the title and his evidence was somewhat unclear. He said that he and his wife contributed 60 percent to the purchase price while his father contributed 40 percent. But at the examination for discovery he said that the intent of the parties was for each to have a one-third undivided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1981 the plaintiff and his wife separated. He purchased her interest in the property. On July 8, 1982 the property was registered in the name of the plaintiff and his father again as joint tenants. The plaintiff testified that the property was registered in joint tenancy in order to prevent his separated spouse from acquiring an interest in the property upon his father's death. On the same date the plaintiff and his father executed a transfer conveying the property to the plaintiff as to a 60 percent undivided interest and to his father as to a 40 percent undivided interest as tenants in common.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August 12, 1986 the parties borrowed $90,000 on the security of the property. Essentially, the transaction involved the consolidation of two mortgages. The plaintiff said that he received 60 percent of the proceeds, while his father received 40 percent of the proceeds, so as to reflect their respective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October 1986 the plaintiff and his father retained a solicitor, Mr. Blackmore, in order to prepare and register documents that would provide for the property to be held as joint tenants. On October 18th the parties executed a transfer which conveyed a 20 percent interest to the plaintiff and an 80 percent interest to his father as joint tenants. However, the certificate of title failed to state that the property was held in joint tenancy. It is not in dispute that the Land Titles Office made an error. The error went undetected. In fact, in July 1988 a mortgage valued at $30,000 was registered against the property and in 1989 the mortgage was consolidated in the amount of $64,700. The plaintiff received the proceeds of both mortgages. Again, the discrepancy on the title was not detected by any 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August 1989 the plaintiff and his father entered into an agreement with a developer pursuant to which the property would be subdivided. The actual transaction called for the sale of the entire property to the developer with the plaintiff and his father receiving an option to purchase 0.86 acre of the lot. The option referred to property upon which the plaintiff's residence was situated. The sale price of the property was $255,000. The defendant Mr. Walters was the solicitor for the plaintiff and his father in that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fall of 1991 the plaintiff and his father exercised the option to purchase. Again Mr. Walters acted for the parties. He prepared the transfer and the option to purchase documents. In preparing the necessary documents, Mr. Walters did not register the parties' interests as joint tenants primarily because the property had not been registered in that fashion. Again the title certificate, dated January 28, 1992, failed to disclose the appropriate fractional interests. The plaintiff testified that there was no discussion with Mr. Walters relating to their respective interests or to the question of survivorship. Mr. Walters said that he was not involved in the preparation of all the documents. He said some documents were signed before another lawyer. He also said that neither the plaintiff nor Mr. Johnson gave him instructions as to how the property was to be held or registered. He said that he was not told to change the title. He also said that it is not usual for property to be held in joint tenancy when it is owned by a father and son. It should be noted that on March 3, 1992 Mr. Walters sent a copy of the state of title certificate to both the plaintiff and his father. Neither the plaintiff nor his father contacted Mr. Walters with respect to the way in which their interests were registered.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Walters' evidence is corroborated by his legal assistant, Ms. Susan Radstaak. She testified that she relied on the title search, which stated that the property was registered as a tenancy in common. She said she had no recollection of receiving instructions to the contrary.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25, 1994 the plaintiff's father died. The plaintiff testified that he thought the property would be transferred to his name upon his father's death. However, Mr. Walters advised him that that could not be done since the parties were registered as tenants in common. The plaintiff testified that that was the first time that he realised that the property was not registered in joint tenancy. In the meantime, the property became registered in the name of the estate of Theodore Lawrence Johnson, the plaintiff's father.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Much evidence was led as to the conduct and the relationships of the parties. That evidence is relevant to the issue of the father's intent. It is apparent that the plaintiff and his father were not always on amicable terms. Shortly after the purchase of the property in 1980 the plaintiff's father moved from the home into rental premises. Thereafter he lived in the rear of his small shoe repair business, in a low income housing development and in a house trailer. There was some evidence to indicate that while he lived in his shoe repair shop it was necessary for him to go to a local hotel for a bath. Francine Belanger, the plaintiff's stepsister, testified that the plaintiff evicted Mr. Johnson from the premises. That evidence has not been denied. The plaintiff said that he asked his father to leave because he caught his father fondling his wife's three-year old daughter. It is not in dispute that both the plaintiff and his father suffered from alcohol abuse. It appears that the father and son were estranged for a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February 1980 Mr. Johnson executed a will in which he named his son, the plaintiff, as an executor and trustee of his will and estate respectively. However, in October 1982 he revoked that appointment and by codicil named Ms. Belanger in place of the plaintiff. In 1985 he gave her an unlimited general power of attorney. The power of attorney remained in effect until Mr. Johnson's death. The plaintiff testified that his father made this change because he was pressured by Ms. Belanger. Ms. Belanger testified that the change was made because of the strained relationship between the father and son. She also said that her father knew the difference between a tenancy in common and a joint tenancy. She said that there is no reason why her father would give his interest in the property to the plaintiff. She said that he was more concerned about the plight of another brother, Terry, and as a result he wanted the property to go to his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Lyle McMillan, a lawyer who from time to time acted for the plaintiff's father generally confirmed the evidence relating to the difficult nature of the father-son relationship. He said that on May 9, 1989 Mr. Johnson attended at his office with Ms. Belanger. Mr. McMillan said that Mr. Johnson was agitated and wanted his money out of the property. He did a property search and learned that it was registered as a tenancy in common. Mr. McMillan said that if the property had been registered in joint tenancy he would have told Mr. Johnson because the distinction is "extremely important". He said he would have advised Mr. Johnson to sever the title.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said that he did not know the difference between a tenancy in common and a joint tenancy until shortly before the trial. However, according to a telephone message that the plaintiff left at Mr. Walters' office, he seemed quite aware that the property was in joint tenancy. The message, in part,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His father died and they were joint tenants. Have some questions.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message is dated August 29, 1994. He also testified that it was father's intention to have the title put in joint tenancy because his father wished the property to be conveyed to the plaintiff upon the father's death. According to the plaintiff, his father was pleased with the fact that the plaintiff had addressed his addiction to alcohol. However, there is no evidence that there was any discussion between the two relating to the state of the title.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June 1997 the plaintiff petitioned the Court for a declaration that the property in question was at all times intended to be held as a joint tenancy. Stewart J. dismissed the petition. He did so on two main grounds. First, he concluded that in view of the state of the title and the policy reasons for the Torrens registration system as a matter of law he had no jurisdiction to vary the title. Second, and in the alternative, he concluded that the plaintiff had provided no evidence, which would convince him to change the state of the title. In dismissing the petition he made the following comments: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What appeared on the title was basically what was intended as above, absent the statement "joint tenants". ... . . . .</w:t>
      </w:r>
    </w:p>
    <w:p>
      <w:pPr>
        <w:spacing w:before="120" w:line="260" w:lineRule="atLeast"/>
        <w:ind w:left="720"/>
        <w:rPr>
          <w:lang w:val="en-US" w:eastAsia="en-US" w:bidi="ar-SA"/>
        </w:rPr>
      </w:pPr>
      <w:r>
        <w:rPr>
          <w:rFonts w:ascii="arial" w:eastAsia="arial" w:hAnsi="arial" w:cs="arial"/>
          <w:color w:val="000000"/>
          <w:sz w:val="20"/>
          <w:lang w:val="en-US" w:eastAsia="en-US" w:bidi="ar-SA"/>
        </w:rPr>
        <w:t>... It is common ground that the title then and now replicates the situation at and after the mistake was made, as noted above, in 1986. ...</w:t>
      </w:r>
    </w:p>
    <w:p>
      <w:pPr>
        <w:spacing w:before="120" w:line="260" w:lineRule="atLeast"/>
        <w:ind w:left="720"/>
        <w:rPr>
          <w:lang w:val="en-US" w:eastAsia="en-US" w:bidi="ar-SA"/>
        </w:rPr>
      </w:pPr>
      <w:r>
        <w:rPr>
          <w:rFonts w:ascii="arial" w:eastAsia="arial" w:hAnsi="arial" w:cs="arial"/>
          <w:color w:val="000000"/>
          <w:sz w:val="20"/>
          <w:lang w:val="en-US" w:eastAsia="en-US" w:bidi="ar-SA"/>
        </w:rPr>
        <w:t>As I have noted, the father died in 1994 and the petition before me was filed after his death. I have been directed to nothing that could bottom a conclusion that the petitioner was aware of what he is now saying is the result of a mistake prior to his father's death, but waited until the only other crucial witness, his father, was dead before springing into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Estoppel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defence has argued that because of Stewart J.'s decision and reasons the plaintiff is estopped from arguing that Mr. Johnson intended the property to be held in joint tenancy. It is thus argued that the plaintiff is estopped from seeking the same relief in this trial. In Saskatoon Credit Union Ltd. v. Central Park Ent. Ltd. </w:t>
      </w:r>
      <w:hyperlink r:id="rId209" w:history="1">
        <w:r>
          <w:rPr>
            <w:rFonts w:ascii="arial" w:eastAsia="arial" w:hAnsi="arial" w:cs="arial"/>
            <w:i/>
            <w:color w:val="0077CC"/>
            <w:sz w:val="20"/>
            <w:u w:val="single"/>
            <w:shd w:val="clear" w:color="auto" w:fill="FFFFFF"/>
            <w:lang w:val="en-US" w:eastAsia="en-US" w:bidi="ar-SA"/>
          </w:rPr>
          <w:t>(1988), 22 B.C.L.R. (2d) 89</w:t>
        </w:r>
      </w:hyperlink>
      <w:r>
        <w:rPr>
          <w:rFonts w:ascii="arial" w:eastAsia="arial" w:hAnsi="arial" w:cs="arial"/>
          <w:color w:val="000000"/>
          <w:sz w:val="20"/>
          <w:lang w:val="en-US" w:eastAsia="en-US" w:bidi="ar-SA"/>
        </w:rPr>
        <w:t xml:space="preserve"> (C.A.), the Court, in dealing with the issue of estoppel, approved the following statement of principle in determining when a party is estopped from pursuing an action. The Court, at p. 95, made the following comments: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principle which should govern was stated by Lord Denning M.R. in Tebbutt v. Haynes, [1981] 2 All E.R. 238 (C.A.), as follows [p. 242]:</w:t>
      </w:r>
    </w:p>
    <w:p>
      <w:pPr>
        <w:spacing w:before="120" w:line="260" w:lineRule="atLeast"/>
        <w:ind w:left="1080"/>
        <w:rPr>
          <w:lang w:val="en-US" w:eastAsia="en-US" w:bidi="ar-SA"/>
        </w:rPr>
      </w:pPr>
      <w:r>
        <w:rPr>
          <w:rFonts w:ascii="arial" w:eastAsia="arial" w:hAnsi="arial" w:cs="arial"/>
          <w:color w:val="000000"/>
          <w:sz w:val="20"/>
          <w:lang w:val="en-US" w:eastAsia="en-US" w:bidi="ar-SA"/>
        </w:rPr>
        <w:t>I ventured to suggest this principle: if there has been an issue raised and decided against a party in circumstances in which he has had a full and fair opportunity of dealing with the whole case, then that issue must be taken as being finally and conclusively decided against him. He is not at liberty to reopen it unless circumstances are such as to make it fair and just that it should be reopened.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again, at p. 96: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Nigro v. Agnew-Surpass Shoe Stores Ltd.; Shankmann v. Agnew-Surpass Shoe Stores Ltd. </w:t>
      </w:r>
      <w:hyperlink r:id="rId210" w:history="1">
        <w:r>
          <w:rPr>
            <w:rFonts w:ascii="arial" w:eastAsia="arial" w:hAnsi="arial" w:cs="arial"/>
            <w:i/>
            <w:color w:val="0077CC"/>
            <w:sz w:val="20"/>
            <w:u w:val="single"/>
            <w:shd w:val="clear" w:color="auto" w:fill="FFFFFF"/>
            <w:lang w:val="en-US" w:eastAsia="en-US" w:bidi="ar-SA"/>
          </w:rPr>
          <w:t>(1977), 18 O.R. (2d) 215</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3 C.P.C. 194</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82 D.L.R. (3d) 302</w:t>
        </w:r>
      </w:hyperlink>
      <w:r>
        <w:rPr>
          <w:rFonts w:ascii="arial" w:eastAsia="arial" w:hAnsi="arial" w:cs="arial"/>
          <w:color w:val="000000"/>
          <w:sz w:val="20"/>
          <w:lang w:val="en-US" w:eastAsia="en-US" w:bidi="ar-SA"/>
        </w:rPr>
        <w:t xml:space="preserve">, appeal dismissed </w:t>
      </w:r>
      <w:r>
        <w:rPr>
          <w:rFonts w:ascii="arial" w:eastAsia="arial" w:hAnsi="arial" w:cs="arial"/>
          <w:i/>
          <w:color w:val="000000"/>
          <w:sz w:val="20"/>
          <w:lang w:val="en-US" w:eastAsia="en-US" w:bidi="ar-SA"/>
        </w:rPr>
        <w:t>18 O.R. (2d) 714</w:t>
      </w:r>
      <w:r>
        <w:rPr>
          <w:rFonts w:ascii="arial" w:eastAsia="arial" w:hAnsi="arial" w:cs="arial"/>
          <w:color w:val="000000"/>
          <w:sz w:val="20"/>
          <w:lang w:val="en-US" w:eastAsia="en-US" w:bidi="ar-SA"/>
        </w:rPr>
        <w:t xml:space="preserve">n, </w:t>
      </w:r>
      <w:r>
        <w:rPr>
          <w:rFonts w:ascii="arial" w:eastAsia="arial" w:hAnsi="arial" w:cs="arial"/>
          <w:i/>
          <w:color w:val="000000"/>
          <w:sz w:val="20"/>
          <w:lang w:val="en-US" w:eastAsia="en-US" w:bidi="ar-SA"/>
        </w:rPr>
        <w:t>84 D.L.R. (3d) 256</w:t>
      </w:r>
      <w:r>
        <w:rPr>
          <w:rFonts w:ascii="arial" w:eastAsia="arial" w:hAnsi="arial" w:cs="arial"/>
          <w:color w:val="000000"/>
          <w:sz w:val="20"/>
          <w:lang w:val="en-US" w:eastAsia="en-US" w:bidi="ar-SA"/>
        </w:rPr>
        <w:t xml:space="preserve">n (C.A.) an action for fire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occupant of a shopping centre was successful. Other occupants then brought similar proceedings and the defendant sought to relitigate the same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striking out such defence, Weatherston J., at p. 305, said:</w:t>
      </w:r>
    </w:p>
    <w:p>
      <w:pPr>
        <w:spacing w:before="120" w:line="260" w:lineRule="atLeast"/>
        <w:ind w:left="1080"/>
        <w:rPr>
          <w:lang w:val="en-US" w:eastAsia="en-US" w:bidi="ar-SA"/>
        </w:rPr>
      </w:pPr>
      <w:r>
        <w:rPr>
          <w:rFonts w:ascii="arial" w:eastAsia="arial" w:hAnsi="arial" w:cs="arial"/>
          <w:color w:val="000000"/>
          <w:sz w:val="20"/>
          <w:lang w:val="en-US" w:eastAsia="en-US" w:bidi="ar-SA"/>
        </w:rPr>
        <w:t>Because [estoppel] is a rule of public policy, in which the Court exercises its inherent juridiction to prevent an abuse of its process, I think I am entitled to take a rather broader view of the matter than by simply applying the doctrine of res judicata in its narrow sense.</w:t>
      </w:r>
    </w:p>
    <w:p>
      <w:pPr>
        <w:spacing w:before="120" w:line="260" w:lineRule="atLeast"/>
        <w:ind w:left="1080"/>
        <w:rPr>
          <w:lang w:val="en-US" w:eastAsia="en-US" w:bidi="ar-SA"/>
        </w:rPr>
      </w:pPr>
      <w:r>
        <w:rPr>
          <w:rFonts w:ascii="arial" w:eastAsia="arial" w:hAnsi="arial" w:cs="arial"/>
          <w:color w:val="000000"/>
          <w:sz w:val="20"/>
          <w:lang w:val="en-US" w:eastAsia="en-US" w:bidi="ar-SA"/>
        </w:rPr>
        <w:t>The several defendants and the third party have had their day in Court, and as among themselves the issue as to liability for the fire has been determined. It ought not to be open to any of them to have that same issue retried in actions by plaintiffs who suffered damages in the same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question then arises, is whether the issues that were raised in this trial have already been decided by Stewart J. in the petition hearing. To put it another way, did that hearing finally and conclusively decide the issues that are before this Court? It should be noted that the estoppel issue is only relevant to the issue relating to the nature of the tenancy. It is not at all relevant in determining whether the plaintiff suffered a loss due to his 60 percent interest in the property. Stewart J. based his decision on two grounds. First, it was said that the title reflected what was intended by the parties "absent the statement joint tenants". Second, and more importantly, he concluded that since the father died in 1994 the petitioner waited until after the father's death before filing the petition. While Stewart J.'s reasons are compelling, I do not think that the plaintiff is estopped from bringing this action. The point was not fully argued and the evidence that was available in this trial was not before Stewart J. In this trial the plaintiff has had a full opportunity of explaining why the action was not brought before his father's death. He said he was not aware of the mistake made by the Land Titles Office. I have already made reference to the fact that Mr. Walters sent a copy of the state of title to the plaintiff. I will deal with this again below. The so-called public policy argument militates in the plaintiff's favour on the issue of estoppel.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defence has generally conceded that the plaintiff was entitled to a 60 percent interest in the property and that Mr. Walters should be found at least partially liable for Mr. Walters' failure to address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not seriously disputed that Mr. Walters was breach in his duty to the plaintiff in failing to ascertain the nature of the parties' respective interests. However, the defence position is that there is no causal connection between the breach and any loss suffered by the plaintiff because it was Mr. Johnson's intention that the property be held as a tenancy in common. I agree with the defence position. The evidence is clear and convincing that Mr. Johnson intended the property to be held as a tenancy in common and not as a joint tenancy. I am satisfied that Mr. Johnson knew the difference between a tenancy in common and a joint tenancy. The fact that he instructed solicitors to register it as a joint tenancy earlier is clear evidence of his understanding. I am also satisfied that Mr. Johnson was not on good terms with the plaintiff. His attendance at Mr. McMillan's office is evidence of the ill feeling between the father and son. Furthermore, there is no good reason as to why Mr. Johnson would have wished the plaintiff to have his interest in the property after his death at the expense of other members of the family. The evidence relating to the animosity between the parties is uncontradicted. Mr. McMillan's evidence that, had he been aware of the fact that the title was in joint tenancy, he would have recommended to Mr. Johnson that the tenancy be severed is most convincing on this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Whether the plaintiff was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defence has argued that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 333</w:t>
      </w:r>
      <w:r>
        <w:rPr>
          <w:rFonts w:ascii="arial" w:eastAsia="arial" w:hAnsi="arial" w:cs="arial"/>
          <w:color w:val="000000"/>
          <w:sz w:val="20"/>
          <w:lang w:val="en-US" w:eastAsia="en-US" w:bidi="ar-SA"/>
        </w:rPr>
        <w:t>, are applicable. To put it another way, the defence position is that the plaintiff was contributorily negligent in not being aware of the state of title and that he waited until his father died before commencing this action. There is no doubt that even if the plaintiff was not actually aware of the state of the title, he ought to have been in light of the fact that Mr. Walters by conveying the title to him in March 1992 would have made him aware of the state of title. It is no answer to say that he did not read or examine the title. The plaintiff's evidence that he was not aware of the difference between a tenancy in common and a joint tenancy until shortly before the trial is troubling, to say the least. For it appears clear that, at the very least, he knew after his father's death of the differences between the tenancies. That fact is reflected by the telephone message of August 29,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must in the circumstances conclude that he was contributorily negligent. In the circumstances I assess his fault at 25 percent.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defence has agreed that the plaintiff should have been entitled to a 60 percent interest in the property. However, the defence position is that the plaintiff has failed to prove that the solicitor's breach of duty caused damage in this case. In other words, there is no casual link between the breach and any damage resulting to the plaintiff. In order for a party to recover damages for a loss, the loss must flow from the breach in order to be recoverable: see Canson Enterprises v. Boughton &amp; Co., </w:t>
      </w:r>
      <w:hyperlink r:id="rId211" w:history="1">
        <w:r>
          <w:rPr>
            <w:rFonts w:ascii="arial" w:eastAsia="arial" w:hAnsi="arial" w:cs="arial"/>
            <w:i/>
            <w:color w:val="0077CC"/>
            <w:sz w:val="20"/>
            <w:u w:val="single"/>
            <w:shd w:val="clear" w:color="auto" w:fill="FFFFFF"/>
            <w:lang w:val="en-US" w:eastAsia="en-US" w:bidi="ar-SA"/>
          </w:rPr>
          <w:t>(1991) 61 B.C.L.R. (2d) 1</w:t>
        </w:r>
      </w:hyperlink>
      <w:r>
        <w:rPr>
          <w:rFonts w:ascii="arial" w:eastAsia="arial" w:hAnsi="arial" w:cs="arial"/>
          <w:color w:val="000000"/>
          <w:sz w:val="20"/>
          <w:lang w:val="en-US" w:eastAsia="en-US" w:bidi="ar-SA"/>
        </w:rPr>
        <w:t xml:space="preserve"> (S.C.C.).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has claimed damages in the sum of $148,148. That figure is made up of $120,000 that the plaintiff alleges he was required to borrow, plus interest in the sum of $14,869. The balance of $13,275 is made up of legal expenses and mortgage costs that the plaintiff claims to have expended on the property as a result of the solicitor's failure to take instructions relating to the manner in which the property was to be held and registered. To that extent I agree with the submission and approach advocated by Mr. McLeod, counsel for Mr. Walters, wherein he stated that had the title been 60 percent in favour of the plaintiff and 40 percent in favour of Mr. Johnson as tenants in common, then the plaintiff would have had to purchase Mr. Johnson's 40 percent interest in order to acquire full ownership. That interest, according to the evidence, would be worth $120,000. He paid that sum plus interest in the estate, which is said to be approximately $8,500. He did this to put himself in the same position as he would have been in order to acquire full ownership in the property. According to that analysis, he paid approximately $128,500 for a half interest in the property when he ought to have paid $120,000 for a 40 percent interest. There is no evidence that the plaintiff used $120,000 to purchase the property. The plaintiff is also entitled to recover the cost of maintaining the property. That includes any improvements plus property taxes. The plaintiff is not entitled to recover money for the mortgages.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doubt that the plaintiff derived much more benefit from the property than Mr. Johnson did. While the plaintiff incurred expenses for the upkeep and maintenance of the property, he also derived rental income, which according to the evidence was $31,850.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claim that his father, Mr. Johnson, intended the property to be held in joint tenancy is disallowed. Mr. Johnson's intentions were that his interest in the property was to be held as a tenant in common. The plaintiff's claim for damages is the difference between what he paid for his one-half interest in land and what he ought to have paid for a 40 per cent interest in the property. The plaintiff's claim for legal fees for subdividing the property is not allowed. There is no causal link between the legal fees incurred in the filing and hearing of the petition and the acts of Mr. Walters. The plaintiff is held to be 25 percent contributorily negligent.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OPPAL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Strata Plan VIS 3540 v. Oak Meadows Estates Ltd., [2007] B.C.J. No. 1153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Frankel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00-3554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B.C.L.R. (4th)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935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No. VIS 3540, Plaintiff, and Oak Meadows Estates Ltd., Meadowlark Developments Ltd., Kellyoak Enterprises Ltd. (formerly known as Seawest Properties Ltd.), Kelvin D. Armstrong (also known as Kelly Armstrong), David Franklin Vidalin, The Corporation of the District of Saanich, Vic Davies Architect Ltd., Yoneda &amp; Associates Consultants Ltd., Ron Leier Construction Ltd., Ken Poskitt Roofing Ltd., Great West Stucco Ltd., Victoria Deck Limited, Irwin Industries (1988) Ltd., A.C.T. Concrete Placing and Finishing Ltd., National Labour Pool Ltd., Bluewater Fireplace Corp., John Doe and John Doe Limited, Defendants, and Almetco Building Products Ltd., Great West Stucco Ltd., Yoneda &amp; Associates Consultants Ltd., Ken E. Smith, Vic Davies Architect Ltd., Hayward Wells &amp; Associates Ltd., Ron Leier Construction Ltd., The Corporation of the District of Saanich, Victoria Deck Limited, Bluewater Fireplace Corp., Rod Noble (doing business as Noble Sheet Metal), Ken Poskitt Roofing Ltd., A.C.T. Concrete Placing and Finishing Ltd., Irwin Industries Ltd. and 461734 B.C. Ltd. (formerly Diversified Construction Services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2"/>
      <w:bookmarkEnd w:id="84"/>
      <w:r>
        <w:rPr>
          <w:rFonts w:ascii="arial" w:eastAsia="arial" w:hAnsi="arial" w:cs="arial"/>
          <w:b/>
          <w:color w:val="000000"/>
          <w:sz w:val="20"/>
          <w:lang w:val="en-US" w:eastAsia="en-US" w:bidi="ar-SA"/>
        </w:rPr>
        <w:t>Civil procedure — Parties — Adding or substituting — After expiry of limitation period — The plaintiff strata lot owners were permitted to add the manufacture of the doors and windows, etc., as a defendant in this "leaky condo" action — Although it was beyond the limitation period, the delay was explained as counsel error, and any prejudice the defendant would suffer from the missing documents was not attributable to the owners.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Condominiums — Developers — The plaintiff strata lot owners were permitted to add the manufacture of the doors and windows, etc., as a defendant in this "leaky condo" action — Although it was beyond the limitation period, the delay was explained as counsel error, and any prejudice the defendant would suffer from the missing documents was not attributable to the owners.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2"/>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strata lot owners sought to add the manufacturer, Almetco Building Products Ltd., as a defendant to its action against the developer of the property and the other parties in this so-called "leaky condo" action -- Almetco argued that the proposed statement of claim disclosed no cause of action against it, as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windows, doors, etc., were principally concerned with installation, and not manufacture -- It further argued that it was not just and convenient to add it as a defendant 12 and 1/2 years after it had supplied the products -- HELD: The application was allowed -- It was just and convenient to add Almetco as a defendant, as the plaintiffs had explained the delay as being due primarily to counsel error --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not limited to the installation process -- Any prejudice Almetco might suffer as a result of its inability to locate relevant records was not caused by the delay -- The loss occurred long before the expiration of the limitation period, and could not in any way be attributed to the plaintiffs.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6" w:name="Legislation Cited_7"/>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7" w:name="Counsel_12"/>
      <w:bookmarkEnd w:id="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Vince G.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Almetco Building Products Ltd.: Brian D. Rhodes.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2"/>
      <w:bookmarkEnd w:id="88"/>
      <w:r>
        <w:pict>
          <v:line id="_x0000_s1088"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FRANKEL J."/>
            <w:bookmarkEnd w:id="89"/>
            <w:r>
              <w:rPr>
                <w:rFonts w:ascii="arial" w:eastAsia="arial" w:hAnsi="arial" w:cs="arial"/>
                <w:b/>
                <w:color w:val="000000"/>
                <w:sz w:val="30"/>
                <w:lang w:val="en-US" w:eastAsia="en-US" w:bidi="ar-SA"/>
              </w:rPr>
              <w:t>FRANKEL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The Owners, Strata Plan No. VIS 3540, (the "Owners"), are the owners of 18 strata lots which make up The Swan Lake Estates, ("Swan Lake"), a building located at 971 McKenzie Avenue, Victoria. B.C. It has commenced what colloquially can be called a "leaky condo" action against the developer of the property, and numerous other parties. On this application it seeks to add Almetco Building Products Ltd. ("Almetco") as a defendant, pursuant to Rule 15(5)(a)(iii)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Almetco supplied the windows and sliding glass doors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that follow this application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matter has a long history. I will not rehearse every step taken along the path leading to this motion. Rather, I will recite only those events necessary to provide a context for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Construction, Remediation, and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development permit for the building was issued to Meadowlark Developments Ltd. ("Meadowlark") on April 18, 1994. The building permit was issued on August 23, 1994, and the occupancy permit on December 23, 1994. Almetco supplied the windows and glass doors sometime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some isolated reports of water leaks in one or two units in May of 1996, July of 1997, and December of 1998. The Strata Council attempted to have the developers and contractors effect the necessary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request of the Strata Council, building inspectors for the District of Saanich ("Saanich") inspected the building on January 18, 1999. They advised a member of the Council that damage had been caused by structural defects, and that it was Meadowlark's responsibility to effect repairs. The Strata Council wrote to Meadowlark the following day, advising it of the results of the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Meadowlark attempted to effect repairs to the building. Despite these efforts the problems persisted. On April 12, 1999 the Strata Council filed a report with the New Home Warranty Program, seeking coverage for water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New Home Warranty Program advised the Strata Council that they should consider hiring a building envelope engineer. This led to Chatwin Engineering Ltd. ("Chatwin"), being retained in early June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Chatwin delivered its preliminary report on August 5, 1999. It confirmed water penetration was occurring at several locations, including at "Window to stucco/cedar siding intersections". It recommended further investigation be undertaken "in order to identify all building envelope deficiencies as well as to produce a detailed scope of repairs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17, 1999 the Strata Council authorized Chatwin to proceed with a building envelope assessment, and to determine the cost of emergency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same day the Strata Council sent a letter to the Owners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"Preliminary Site Investigation Report" indicates that there are deficiencies in the construction of the building, which involve primarily the roof flashing, ventilation of the attic' space, and probable water intrusion where structures penetrate the building envelope (vents, windows, etc.)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September 8, 1999, a representative of the Strata Council discussed the possibility of commencing an action against those responsible for the defects in Swan Lake with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13, 1999, Chatwin delivered a report entitled, "Phase 1 Building Envelope Condition Survey &amp; Investigation Emergency Repairs". On the first page it describes one of the deficiencies as "Water ingress into the cladding system related to inadequate waterproofed flashing located on the roof and deck parapets". Under the heading "Building Envelope Inspection Results" the report states: "Water travelling along the pitched roof to wall intersection is entering the cladding system at the stucco termination molding [sic] to roof interface".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cost estimate for emergency remedial work in the report included a quote for "the removal and replacement of existing skylights and the installation of new gaskets".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minutes of the Owners Annual General Meeting of November 29, 1999 indicate that the Phase 1 Report was discussed, and that a further inspection dealing with cladding and hydrology was pending. It also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was notified that it is the intention of the Council to seek legal advice regarding any possible recourse to recover the cost of the repairs, and what legal action it may take should any of the owners be delinquent in repaying the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Chatwin's second report, "Phase 2 Hydrology and Building Envelope Condition Survey and Investigation", was delivered on February 1, 2000. It contains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Windows / Sliding Doors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Aluminum [sic] framed windows and sliding doors are used in this project. These types of windows and doors are known to leak at the mitred frame corners as the frame corners are mechanically fastened and sealed with caulking which, over time, breaks down and allows water to enter the wall assembly directly. During our review it was noted that the lower frame corner of unit #302s [sic] sliding door had come apart allowing water to penetrate into the wood components in the above noted fashion. See photo #29 in Appendix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spring of 2000, the Strata Council had some discussions with a lawyer in regard to commencing legal action against the parties responsible for the deficiencies in the construction of Swan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late June of 2000, the Strata Council retained Glen A. Crawford, "to provide legal services relating to the remediation of the Building and to commence action against the parties responsible for the faulty construction of Swan Lake". On June 23, 2000, Mr. Crawford wrote to the District of Saanich to provide notice of his clients' potential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 i.e. "for failure to ensure the proper inspection of the building, and to ensure that it was properly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Shortly after being retained, Mr. Crawford received a Trades List from Saanich listing Almetco as the supplier of windows for Swan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June 29, 2000, Mr. Crawford wrote to the two architects, and the structural engineer involved in the building of Swan Lake, putting them on notice that the Owners would be taking legal action against them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and construction of the building, and for the costs of remediation to the building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10, 2000, Mr. Crawford filed a Writ of Summons in the Victoria Registry, naming Oak Meadows Estates Ltd., Meadowlark, Saanich, and "John Doe Limited" as defendants. A Notice of Discontinuance was filed on August 2, 2000, and a new writ filed the same day. The second writ was necessary because the Owners did not pass a special resolution authorizing litigation until July 27,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Crawford deposes that he did not name any other defendants as he was unsure as to which trades had been negligent. He did not want to miss any limitation period relating to the action against Saanich.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Between August, 2000 and March, 2001, Mr. Crawford took no steps to locate or add additional defendants. He deposes that he did not think there was a limitation problem, as his understanding was that the six year period started to run when the Owners received Chatwin's Phase 2 Report (on February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March or April of 2001, a para-legal employed by Mr. Crawford prepared a praecipe to obtain a desk order adding defendants to the action. It was not filed as Mr. Crawford wished to conduct additional research to discover all potential defendants. However, due to illness, Mr. Crawford did not do this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writ was served in July of 2001. Mr. Crawford states that he did not take steps to have it served earlier, as he was expecting that additional parties would be identified by Chatwin, and added. He says Chatwin did not provide him with the requested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remediation work on Swan Lake commenced on August 31,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September 27, 2001, Mr. Crawford filed a Notice of Motion seeking to add a number of defendants, including Almetco, to the action. This application was never brought on for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Crawford's medical condition worsened in the winter of 2001, and he hired M. Bruce Wardhaugh, a lawyer, to assist him with his leaky condominium files. On January 11, 2002, Mr. Wardhaugh became an associate of Mr. Crawford's firm, and assumed conduct of the Swan Lake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remediation work on Swan Lake was substantially completed by January 22,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30, 2003, Mr. Wardhaugh received a letter from counsel for Saanich stating that unless a Statement of Claim was filed within two weeks, he would seek to have the action dismissed. As a result, Mr. Wardhaugh filed a Statement of Claim on July 9, 2003. Although Almetco was one of a number of new defendants named in the style of cause, no order had been granted adding them. This Statement of Claim was served on Saanich, but not on any of the other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October 14, 2003, Mr. Crawford hired another associate, Justin Hodkinson, to assume conduct of his firm's leaky condominium files. Mr. Wardhaugh's employment with Mr. Crawford's office ended in mid-December,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December, 2003, Mr. Hodkinson noticed that no order had been obtained adding Almetco, and a number of other parties, to the Statement of Claim filed on July 9, 2003. This led to his asking Chatwin for its opinion on whether certain parties should be added. Almetco was not mentioned in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early January, 2004, Mr. Hodkinson advised the Strata Council that he would need a report from Chatwin before moving forward with the litigation, and that it might be necessary to add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July of 2004, Mr. Hodkinson was aware of the proper procedure to be followed in seeking to have parties added as defendants. However, it was his practice to attempt to identify all potential defendants before filing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early August, 2004, Mr. Hodkinson provided the Strata Council with an update. He advised he had identified a number of parties that he intended to add as defendants by the end of September, once he received confirmation from Chatwin. Almetco was one of the parties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Both Mr. Crawford and Mr. Hodkinson attended the Owners Annual General Meeting of September 23, 2004. They acknowledged responsibility for the delay in advancing the action (i.e. procrastination), and said that they would move quickly to add parties, including Almetco.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29, 2004, Mr. Hodkinson wrote to Chatwin seeking its view as to whether Almetco and a number of other parties should be added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21, 2005, Mr. Hodkinson wrote a letter addressed to a number of prospective defendants, including Almetco,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consider this letter to constitute notice that a claim shall be made against each of you in the near future. We anticipate serving each of you with our materials for our application to add each of you as a Defendant in this action shortly. Please advise our office if you intend to instruct your legal counsel to accept service and provide us with their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September 22, 2005, Chatwin provided Mr. Hodkinson with a letter setting out the roles played by various parties with respect to the deficiencies in the construction of Swan Lake. With respect to Almetco, which was identified as the "Window Supplier",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Supplied the original aluminium framed windows for the projects. Windows leaked water into rough openings. Several windows were observed and documented to be leaking into the suites. Water penetration also occurred between the windows and the rough opening which resulted in moisture related damage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Meadowlark issued third party notices against, Almetco, and 13 other parties, on November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November 4, 2005, counsel for Almetco wrote to Mr. Hodkinson seeking information regarding the date of substantial completion of Swan Lake, and the date on which the remediation had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March 21, 2006, Mr. Hodkinson filed an application seeking to add Almetco, and 13 other parties, as defendants. All but Almetco were added by Master Caldwell on September 21, 2006. The motion with respect to Almetco was adjourned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proposed Statement of Claim in the material filed in support of this application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DEFECTS AND DEFICIENCIES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that the Defendants, jointly and severally, owed the Plaintiffs a duty of care to supply labour and materials, and perform services within the area of their respective expertise, to a reasonable industry standard, sufficient to construct a building that was waterproof and fit for its intended purpose, and in accordance with the </w:t>
      </w:r>
      <w:r>
        <w:rPr>
          <w:rFonts w:ascii="arial" w:eastAsia="arial" w:hAnsi="arial" w:cs="arial"/>
          <w:i/>
          <w:color w:val="000000"/>
          <w:sz w:val="20"/>
          <w:lang w:val="en-US" w:eastAsia="en-US" w:bidi="ar-SA"/>
        </w:rPr>
        <w:t>British Columbia Building Code</w:t>
      </w:r>
      <w:r>
        <w:rPr>
          <w:rFonts w:ascii="arial" w:eastAsia="arial" w:hAnsi="arial" w:cs="arial"/>
          <w:color w:val="000000"/>
          <w:sz w:val="20"/>
          <w:lang w:val="en-US" w:eastAsia="en-US" w:bidi="ar-SA"/>
        </w:rPr>
        <w:t xml:space="preserve"> and Saanich Building bylaw. The Plaintiffs claim that the Defendants have breached their duties of care resulting in the failure of the building envelope including, but not restricted to the following defects: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installed windows, in unprotected window openings. The window and sill flashings were installed without end dams, and deteriorated mitred corners along aluminum framed windows allowed water to penetrate the building envelop [sic]. In some cases, the window flanges had been broken off prior to the stucco application. The windows did not meet a reasonable standard;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lapping of the vinyl membrane at the sliding door sill flange and the cladding;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 AGAINST ALMETCO BUILDING PRODUCTS LTD.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Almetco designed, manufactured and supplied the window assemblies, skylights and glass doors were [sic] incorporated into the construction of Swan Lake.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Almetco knew or ought to have known that the window assemblies, skylights and glass doors being supplied by Almetco would be part of the building envelope which, to be effective, required the window assemblies, skylights and glass doors to control and shed water in a manner which would not permit the water to enter into the wall assembly of the Building.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Almetco owed a duty of care to all owners to ensure that all of the windows and glass doors complied with the </w:t>
      </w:r>
      <w:r>
        <w:rPr>
          <w:rFonts w:ascii="arial" w:eastAsia="arial" w:hAnsi="arial" w:cs="arial"/>
          <w:i/>
          <w:color w:val="000000"/>
          <w:sz w:val="20"/>
          <w:lang w:val="en-US" w:eastAsia="en-US" w:bidi="ar-SA"/>
        </w:rPr>
        <w:t>British Columbia Building Code</w:t>
      </w:r>
      <w:r>
        <w:rPr>
          <w:rFonts w:ascii="arial" w:eastAsia="arial" w:hAnsi="arial" w:cs="arial"/>
          <w:color w:val="000000"/>
          <w:sz w:val="20"/>
          <w:lang w:val="en-US" w:eastAsia="en-US" w:bidi="ar-SA"/>
        </w:rPr>
        <w:t>, were constructed and installed in a good and workmanlike manner, and to ensure that such windows, skylights and glass doors would not allow water to enter the Building so as to cause damage, and to ensure that they would be fit for long term residential use and habitation, all of which duties it has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Almetco's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Almetco ceased doing business in August of 2001. At this time all of the company's records were placed in storage by its former president, Michael Lefroy.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Lefroy deposes that it was Almetco's practice to destroy records relating to projects some seven or eight years after they were created. He says that if Almetco had records relating to Swan Lake, then they would have been destroyed in 2000 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further states that in the winter of 2002 - 2003 he disposed of approximately 12 boxes of documents that had become wet. He does not recall seeing anything relating to Swan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was not until September of 2005 that Mr. Lefroy had any knowledge of a potential claim by the Owners. Although he recalls supplying windows to Meadowlark he has no recollection of the specific projects involved. Without any records such as invoices or packing slips, it is impossible for Mr. Lefroy to determine whether Almetco supplied windows for Swan Lake and, if it did, what employees were involved in their sale, design, and 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material part of Rule 15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(5)(a) At any stage of a proceeding, the court on application by any person may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Whether to add a party is a matter of judicial discretion. However, the exercise of this discretion is not unfettered. Rather, it must be exercised having regard to the circumstances, and a consideration of the factors set out by the Court of Appeal in </w:t>
      </w:r>
      <w:r>
        <w:rPr>
          <w:rFonts w:ascii="arial" w:eastAsia="arial" w:hAnsi="arial" w:cs="arial"/>
          <w:b/>
          <w:i/>
          <w:color w:val="000000"/>
          <w:sz w:val="20"/>
          <w:lang w:val="en-US" w:eastAsia="en-US" w:bidi="ar-SA"/>
        </w:rPr>
        <w:t>Teal Cedar Products (1997) Ltd. v. Dale Intermediaries Ltd.</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viz.</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With respect to assessing these factors, in </w:t>
      </w:r>
      <w:r>
        <w:rPr>
          <w:rFonts w:ascii="arial" w:eastAsia="arial" w:hAnsi="arial" w:cs="arial"/>
          <w:b/>
          <w:i/>
          <w:color w:val="000000"/>
          <w:sz w:val="20"/>
          <w:lang w:val="en-US" w:eastAsia="en-US" w:bidi="ar-SA"/>
        </w:rPr>
        <w:t>Teal Cedar Products (1997) Ltd.</w:t>
      </w:r>
      <w:r>
        <w:rPr>
          <w:rFonts w:ascii="arial" w:eastAsia="arial" w:hAnsi="arial" w:cs="arial"/>
          <w:color w:val="000000"/>
          <w:sz w:val="20"/>
          <w:lang w:val="en-US" w:eastAsia="en-US" w:bidi="ar-SA"/>
        </w:rPr>
        <w:t>, Finch J.A.,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There is no requirement in the authorities nor as a matter of "policy", that leave to add a new cause of action against existing parties should be refused solely on the basis that the plaintiff's conduct was the result of a deliberate decision or was "voluntarily dilatory".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Rhodes argues that this application should fail for two reasons. The first is that the Owners have not established a possible cause of action against Almetco. The second, advanced in the alternative, is that having regard to the factors of delay and prejudice, it is not "just and convenient" to now add Almetco as a defendant. I will deal with each of these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There a Real Question or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What is needed to meet this requirement is stated succinctly by Gerow J. in </w:t>
      </w:r>
      <w:r>
        <w:rPr>
          <w:rFonts w:ascii="arial" w:eastAsia="arial" w:hAnsi="arial" w:cs="arial"/>
          <w:b/>
          <w:i/>
          <w:color w:val="000000"/>
          <w:sz w:val="20"/>
          <w:lang w:val="en-US" w:eastAsia="en-US" w:bidi="ar-SA"/>
        </w:rPr>
        <w:t>Strata Plan LMS 1899 v. A.C.G. Developments Ltd.</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(2005), 43 B.C.L.R. (4th) 194</w:t>
        </w:r>
      </w:hyperlink>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2005 BCSC 776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To satisfy the first part of the test the Owners need only show that there may exist an issue or question between the proposed and present parties in the sense that it is not entirely frivolous. The Owners do not have to demonstrate a likelihood that they will succeed. The issue turns on the adequacies of the material facts pleaded, rather than evidence in support of those facts.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(2004), 33 B.C.L.R. (4th) 69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Almetco's position is that the proposed Statement of Claim does not disclose any cause of action against it. Pointing to the opening words of paragraph 28(f), Mr. Rhodes submits that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windows, skylights, and doors, are "principally concerned" with installation, not manufacture. Since it is accepted that Almetco was only a supplier of window products, he argues that no cause of action has been pleaded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do not accept this submission. Although the Owners claim that the windows were improperly installed, their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not limited to the installation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Paragraph 28 contains a general allegation that the materials </w:t>
      </w:r>
      <w:r>
        <w:rPr>
          <w:rFonts w:ascii="arial" w:eastAsia="arial" w:hAnsi="arial" w:cs="arial"/>
          <w:color w:val="000000"/>
          <w:sz w:val="20"/>
          <w:u w:val="single"/>
          <w:lang w:val="en-US" w:eastAsia="en-US" w:bidi="ar-SA"/>
        </w:rPr>
        <w:t>supplied</w:t>
      </w:r>
      <w:r>
        <w:rPr>
          <w:rFonts w:ascii="arial" w:eastAsia="arial" w:hAnsi="arial" w:cs="arial"/>
          <w:color w:val="000000"/>
          <w:sz w:val="20"/>
          <w:lang w:val="en-US" w:eastAsia="en-US" w:bidi="ar-SA"/>
        </w:rPr>
        <w:t xml:space="preserve"> to the Swan Lake project did not meet reasonable industry standards, or the applicable building code, and building by-laws. Although paragraph 28(f) does refer to "improperly installed windows ...", it does go on to allege that, "The windows did not meet a reasonable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Further, paragraphs 68 to 70 allege that Almetco "designed, manufactured, and supplied" windows, etc. which were deficient in that they allowed water to enter the walls of the building, and cause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accordingly, of the view that the material facts as pleaded establish a real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Delay and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Rhodes submits that it is not just and convenient to add Almetco given that it is now some 12 1/2 years after it supplied window products to Swan Lake. In particular, he points to the fact that the Owners knew of his client's involvement in the project before the limitation period expired, and to the prejudice it will face given that its records relating to the project no longer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heard extensive argument as to when the limitation period expired. These focused on the postponement provisions in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In a case such as this the limitation period is determined as discussed by Burnyeat J. in </w:t>
      </w:r>
      <w:r>
        <w:rPr>
          <w:rFonts w:ascii="arial" w:eastAsia="arial" w:hAnsi="arial" w:cs="arial"/>
          <w:b/>
          <w:i/>
          <w:color w:val="000000"/>
          <w:sz w:val="20"/>
          <w:lang w:val="en-US" w:eastAsia="en-US" w:bidi="ar-SA"/>
        </w:rPr>
        <w:t>Strata Plan LMS 1725 v. Pacific Place Holdings Ltd.</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(2006), 60 B.C.L.R. (4th) 339</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2006 BCSC 1358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applicable limitation period for construction deficiency actions is six years: </w:t>
      </w:r>
      <w:r>
        <w:rPr>
          <w:rFonts w:ascii="arial" w:eastAsia="arial" w:hAnsi="arial" w:cs="arial"/>
          <w:i/>
          <w:color w:val="000000"/>
          <w:sz w:val="20"/>
          <w:lang w:val="en-US" w:eastAsia="en-US" w:bidi="ar-SA"/>
        </w:rPr>
        <w:t>Workers' Compensation Board of British Columbia v. Genstar Corporation</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(1988), 24 B.C.L.R. (2d) 157</w:t>
        </w:r>
      </w:hyperlink>
      <w:r>
        <w:rPr>
          <w:rFonts w:ascii="arial" w:eastAsia="arial" w:hAnsi="arial" w:cs="arial"/>
          <w:color w:val="000000"/>
          <w:sz w:val="20"/>
          <w:lang w:val="en-US" w:eastAsia="en-US" w:bidi="ar-SA"/>
        </w:rPr>
        <w:t xml:space="preserve"> (B.C.C.A.). The time begins to run when a plaintiff ought to have reasonably known of the facts and taken advice on those facts so as to conclude that an action would have a reasonable chance of success: </w:t>
      </w:r>
      <w:r>
        <w:rPr>
          <w:rFonts w:ascii="arial" w:eastAsia="arial" w:hAnsi="arial" w:cs="arial"/>
          <w:i/>
          <w:color w:val="000000"/>
          <w:sz w:val="20"/>
          <w:lang w:val="en-US" w:eastAsia="en-US" w:bidi="ar-SA"/>
        </w:rPr>
        <w:t>Strata Plan No. VR 1720 v. Bart Developments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(1998), 53 B.C.L.R. (3d) 304</w:t>
        </w:r>
      </w:hyperlink>
      <w:r>
        <w:rPr>
          <w:rFonts w:ascii="arial" w:eastAsia="arial" w:hAnsi="arial" w:cs="arial"/>
          <w:color w:val="000000"/>
          <w:sz w:val="20"/>
          <w:lang w:val="en-US" w:eastAsia="en-US" w:bidi="ar-SA"/>
        </w:rPr>
        <w:t xml:space="preserve"> (B.C.S.C.), aff'd </w:t>
      </w:r>
      <w:hyperlink r:id="rId227" w:history="1">
        <w:r>
          <w:rPr>
            <w:rFonts w:ascii="arial" w:eastAsia="arial" w:hAnsi="arial" w:cs="arial"/>
            <w:i/>
            <w:color w:val="0077CC"/>
            <w:sz w:val="20"/>
            <w:u w:val="single"/>
            <w:shd w:val="clear" w:color="auto" w:fill="FFFFFF"/>
            <w:lang w:val="en-US" w:eastAsia="en-US" w:bidi="ar-SA"/>
          </w:rPr>
          <w:t>(1999) 49 C.L.R. (2d) 161</w:t>
        </w:r>
      </w:hyperlink>
      <w:r>
        <w:rPr>
          <w:rFonts w:ascii="arial" w:eastAsia="arial" w:hAnsi="arial" w:cs="arial"/>
          <w:color w:val="000000"/>
          <w:sz w:val="20"/>
          <w:lang w:val="en-US" w:eastAsia="en-US" w:bidi="ar-SA"/>
        </w:rPr>
        <w:t xml:space="preserve"> (B.C.C.A.). In </w:t>
      </w:r>
      <w:r>
        <w:rPr>
          <w:rFonts w:ascii="arial" w:eastAsia="arial" w:hAnsi="arial" w:cs="arial"/>
          <w:i/>
          <w:color w:val="000000"/>
          <w:sz w:val="20"/>
          <w:lang w:val="en-US" w:eastAsia="en-US" w:bidi="ar-SA"/>
        </w:rPr>
        <w:t>Bart</w:t>
      </w:r>
      <w:r>
        <w:rPr>
          <w:rFonts w:ascii="arial" w:eastAsia="arial" w:hAnsi="arial" w:cs="arial"/>
          <w:color w:val="000000"/>
          <w:sz w:val="20"/>
          <w:lang w:val="en-US" w:eastAsia="en-US" w:bidi="ar-SA"/>
        </w:rPr>
        <w:t>, the Court held that, once a report from a consultant regarding an assessment of deficiencies in the construction had been received, a reasonable person such as strata owners would have concluded a good cause of action lay against the developers, consultants, architects and various trades as identified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written argument Mr. Rhodes took the position that the limitation period expired on either August 5, 2005 (i.e. six years after Chatwin delivered its preliminary report), or October 13, 2005 (i.e. six years after the Phase 1 Report was delivered). However, in oral argument he submitted that the expiry date was April 12, 2005 (i.e. six years after the Strata Council filed a report with the New Home Warranty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Critchley, on the other hand, submits that it is unlikely that the limitation period began to run before February 1, 2000 (i.e. when Chatwin delivered its Phase 2 Report). On this basis it did not expire until February 1, 2006. His position is that this motion should be granted regardless of when the period expired, and he asks that I not make a finding as to when this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decided to accede to Mr. Critchley's request. Accordingly, I will proceed on the assumption that the clock began to run on the earliest date suggested by Mr. Rhodes, namely, April 12, 1999. With this as the starting point, the time for commencing an action against Almetco expired on April 12, 2005. Had a writ issued on that day, then the Owners would have had until April 12, 2006 to serve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 is disagreement as to what time is to be considered as "delay". In </w:t>
      </w:r>
      <w:r>
        <w:rPr>
          <w:rFonts w:ascii="arial" w:eastAsia="arial" w:hAnsi="arial" w:cs="arial"/>
          <w:b/>
          <w:i/>
          <w:color w:val="000000"/>
          <w:sz w:val="20"/>
          <w:lang w:val="en-US" w:eastAsia="en-US" w:bidi="ar-SA"/>
        </w:rPr>
        <w:t>Strata Plan LMS 2262 v. Stoneman Developments Ltd.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(2004), 39 C.L.R. (3d) 127</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2004 BCSC 828</w:t>
        </w:r>
      </w:hyperlink>
      <w:r>
        <w:rPr>
          <w:rFonts w:ascii="arial" w:eastAsia="arial" w:hAnsi="arial" w:cs="arial"/>
          <w:color w:val="000000"/>
          <w:sz w:val="20"/>
          <w:lang w:val="en-US" w:eastAsia="en-US" w:bidi="ar-SA"/>
        </w:rPr>
        <w:t>, Garson J. held that the entire period leading up to an application is to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To focus only on delay that occurred after the limitation period and the period for service would place emphasis on the prejudice caused to the defendants' interest in not being vulnerable to claims that are out of time. According to this approach, delay before the limitation period expired would not feature in the court's reasoning, despite the potential impact that this delay might have on the justness and convenience of adding the party in question. Similarly, to measure delay exclusively from the date at which the plaintiffs learned the facts upon which it could have reasonably launched an action necessarily focuses the court's attention on the plaintiffs' fault or lack of fault in delaying its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An approach that would more closely conform to the guidelines set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would be to look at the entire delay, and consider factors such as the circumstances surrounding the delay, the expiry of the limitation period, and the prejudice to the parties when determining whether in the circumstances of the particular case it would be just and convenient to add the proposed defendant, despite the delay. As dictated by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none of these factors should be considered as having overriding importance, absent a clear evidentiary basis for doing so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Weinlich v. Campbell</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(2005), 32 C.P.C. (6th) 18</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2005 BCSC 1865</w:t>
        </w:r>
      </w:hyperlink>
      <w:r>
        <w:rPr>
          <w:rFonts w:ascii="arial" w:eastAsia="arial" w:hAnsi="arial" w:cs="arial"/>
          <w:color w:val="000000"/>
          <w:sz w:val="20"/>
          <w:lang w:val="en-US" w:eastAsia="en-US" w:bidi="ar-SA"/>
        </w:rPr>
        <w:t>, Martinson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 only relevant delay is that following the expiry of the limitation period: </w:t>
      </w:r>
      <w:r>
        <w:rPr>
          <w:rFonts w:ascii="arial" w:eastAsia="arial" w:hAnsi="arial" w:cs="arial"/>
          <w:i/>
          <w:color w:val="000000"/>
          <w:sz w:val="20"/>
          <w:lang w:val="en-US" w:eastAsia="en-US" w:bidi="ar-SA"/>
        </w:rPr>
        <w:t>Sun v. Sun,</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35 E.T.R. (2d) 142</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2000 BCSC 1338</w:t>
        </w:r>
      </w:hyperlink>
      <w:r>
        <w:rPr>
          <w:rFonts w:ascii="arial" w:eastAsia="arial" w:hAnsi="arial" w:cs="arial"/>
          <w:color w:val="000000"/>
          <w:sz w:val="20"/>
          <w:lang w:val="en-US" w:eastAsia="en-US" w:bidi="ar-SA"/>
        </w:rPr>
        <w:t xml:space="preserve"> at para. 25. This Court reached that conclusion in </w:t>
      </w:r>
      <w:r>
        <w:rPr>
          <w:rFonts w:ascii="arial" w:eastAsia="arial" w:hAnsi="arial" w:cs="arial"/>
          <w:i/>
          <w:color w:val="000000"/>
          <w:sz w:val="20"/>
          <w:lang w:val="en-US" w:eastAsia="en-US" w:bidi="ar-SA"/>
        </w:rPr>
        <w:t>Wadsworth v. McLeod</w:t>
      </w:r>
      <w:r>
        <w:rPr>
          <w:rFonts w:ascii="arial" w:eastAsia="arial" w:hAnsi="arial" w:cs="arial"/>
          <w:color w:val="000000"/>
          <w:sz w:val="20"/>
          <w:lang w:val="en-US" w:eastAsia="en-US" w:bidi="ar-SA"/>
        </w:rPr>
        <w:t xml:space="preserve"> (24 September 2004), Vancouver M031724 (B.C.S.C.) ( </w:t>
      </w:r>
      <w:hyperlink r:id="rId231" w:history="1">
        <w:r>
          <w:rPr>
            <w:rFonts w:ascii="arial" w:eastAsia="arial" w:hAnsi="arial" w:cs="arial"/>
            <w:i/>
            <w:color w:val="0077CC"/>
            <w:sz w:val="20"/>
            <w:u w:val="single"/>
            <w:shd w:val="clear" w:color="auto" w:fill="FFFFFF"/>
            <w:lang w:val="en-US" w:eastAsia="en-US" w:bidi="ar-SA"/>
          </w:rPr>
          <w:t>[2004] B.C.J. No. 3039</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2004 BCSC 1824</w:t>
        </w:r>
      </w:hyperlink>
      <w:r>
        <w:rPr>
          <w:rFonts w:ascii="arial" w:eastAsia="arial" w:hAnsi="arial" w:cs="arial"/>
          <w:color w:val="000000"/>
          <w:sz w:val="20"/>
          <w:lang w:val="en-US" w:eastAsia="en-US" w:bidi="ar-SA"/>
        </w:rPr>
        <w:t xml:space="preserve">), and it is appropriate that I follow that decision, rather than the decision of </w:t>
      </w:r>
      <w:r>
        <w:rPr>
          <w:rFonts w:ascii="arial" w:eastAsia="arial" w:hAnsi="arial" w:cs="arial"/>
          <w:i/>
          <w:color w:val="000000"/>
          <w:sz w:val="20"/>
          <w:lang w:val="en-US" w:eastAsia="en-US" w:bidi="ar-SA"/>
        </w:rPr>
        <w:t>Stoneman</w:t>
      </w:r>
      <w:r>
        <w:rPr>
          <w:rFonts w:ascii="arial" w:eastAsia="arial" w:hAnsi="arial" w:cs="arial"/>
          <w:color w:val="000000"/>
          <w:sz w:val="20"/>
          <w:lang w:val="en-US" w:eastAsia="en-US" w:bidi="ar-SA"/>
        </w:rPr>
        <w:t xml:space="preserve"> relied upon by Dr.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For my part, I share the view expressed by Garson J. that it is more consonant with </w:t>
      </w:r>
      <w:r>
        <w:rPr>
          <w:rFonts w:ascii="arial" w:eastAsia="arial" w:hAnsi="arial" w:cs="arial"/>
          <w:b/>
          <w:i/>
          <w:color w:val="000000"/>
          <w:sz w:val="20"/>
          <w:lang w:val="en-US" w:eastAsia="en-US" w:bidi="ar-SA"/>
        </w:rPr>
        <w:t>Teal</w:t>
      </w:r>
      <w:r>
        <w:rPr>
          <w:rFonts w:ascii="arial" w:eastAsia="arial" w:hAnsi="arial" w:cs="arial"/>
          <w:color w:val="000000"/>
          <w:sz w:val="20"/>
          <w:lang w:val="en-US" w:eastAsia="en-US" w:bidi="ar-SA"/>
        </w:rPr>
        <w:t xml:space="preserve"> to consider the entire period of delay; i.e. what she refers to as a "holistic approach to joinder": para. 40. However, I expect it will be unlikely that delay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will result in the refusal of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Owners advance the following explanation for the delay:</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Primarily, notwithstanding efforts by the Strata Council to move matters along and to regularly inquire about the status of the litigation, and specifically about limitation issues, counsel, through inadvertence and/or an error in judgment in believing that it was not necessary to act quickly, failed to bring the application to add the Proposed Defendant in a timely way.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of record, Mr. Crawford, has been ill throughout the material time from January 2001 to present, and has relied on other junior counsel to move matters along, who, notwithstanding contrary advice to the Plaintiff, failed to take steps in a timely way to seek to add the Proposed Defendant to the action.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counsel believed, rightly or wrongly, that the Plaintiff had until February 2006 before the limitation period expired and, as a result, dealt with other matters that he viewed as more important to deal with, because of limitation factors, than this action.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also believed, rightly or wrongly, that it was necessary for him to have in his possession an engineer's opinion and Scott Schedule before pursuing an application to add defendants. He did not wish to pursue an application to add parties that he did not require as defendants, and believed that the best way for him to determine the issue was to await an engineer's opinion and Scott Schedule. In the context of complicated litigation involving numerous parties and volumes of documents for consideration, it is submitted that awaiting the advice of an expert regarding "liable" parties is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well, they say, and this is not disputed, that the delay was not for the purpose of gaining any tactical advantage, or other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explanation is supported by the affidavits which have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is not appropriate for me to categorize counsel's defalcations. Although there is some justification for the delay after Almetco was identified as a potential defendant, clearly they could have done more. In the context of this application what needs to be assessed is whether their inaction has caused Almetco real prejudice. As Lambert J.A. stated in </w:t>
      </w:r>
      <w:r>
        <w:rPr>
          <w:rFonts w:ascii="arial" w:eastAsia="arial" w:hAnsi="arial" w:cs="arial"/>
          <w:b/>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(2005), 48 B.C.L.R. (4th) 124</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of what is "just and convenient to determine as between the person and that party" within the concluding words of Rule 15(5)(a)(iii) requires a close focus on balancing the interests of the existing parties and the person sought to be added. It is important not to be diverted from the conduct of the parties to the conduct of their lawyers, except to the extent that the conduct of the lawyers may be at the heart of real prejudice to the other side ... They should not be prejudiced because of conduct on the part of their lawyer unless that conduct was the cause of irremediable prejudice to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Mr. Justice Lambert's judgment in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xml:space="preserve"> also makes clear that the period to be examined in determining whether a proposed defendant has been prejudiced begins with the expiration of the time normally available to a plaintiff to perfect an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 The prejudice that must be presumed should surely be restricted to situations where the period which has passed since the cause of action arose is the length of the limitation period plus one year for service of the Writ. Because, within that time, a Writ could have been filed within the limitation period and served after the limitation period expired for up to a year, without any prejudice to the defendant. And the same is true, as pointed out by Mr. Justice Macdonald, with respect to actual prejudice by destruction of evidence or failure of recollection. If these occur within the limitation period plus the year allowed for service of the Writ, then any prejudice to the defendant sought to be added is not caused by the plaintiff. The defendant should not have conducted himself, herself, or itself in such a way as to pass the detriment caused by the passage of time 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Assuming, the limitation period began to run at the earliest date suggested by Mr. Rhodes, the following chronology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12, 1999</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Limitation period begins to run.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2001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Almetco ceases doing business, and its records are placed in storage.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2001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Latest date on which, in the normal course of business, Almetco would have destroyed any records relating to Swan Lake.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Winter 2002-2003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Almetco's records damaged by water. None found relating to Swan Lake.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12, 2005</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Limitation period expires.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21, 2005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Almetco notified of potential claim against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12, 2006</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Time for service of writ expires.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21, 2006</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Application to add Almetco filed.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is evident, Almetco's records relating to its involvement in the Swan Lake project were destroyed, either voluntarily or by accident, at least two years before any limitation period would have expired. Further, Almetco received notice that a claim would be made against it more than six months before the time for service of a writ issued within time would have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Given the sequence of events, any prejudice Almetco may suffer as a result of its inability to locate relevant records and, through them, to ascertain which employees worked on Swan Lake, was not caused by the delay. The loss occurred long before the expiration of the limitation period, and cannot be attributed in any way to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Almetco will suffer prejudice if added as a defendant in that it will lose the potential benefit of a limitation defence. However, in considering what weight to give to this I must take into account that Almetco is already involved in this action as a third party. As well, I must consider the prejudice to the Owners who, if Almetco is not added, will lose the opportunity to pursue a claim against a party that may bear some responsibility for the damages it allegedly suffered: see </w:t>
      </w:r>
      <w:r>
        <w:rPr>
          <w:rFonts w:ascii="arial" w:eastAsia="arial" w:hAnsi="arial" w:cs="arial"/>
          <w:b/>
          <w:i/>
          <w:color w:val="000000"/>
          <w:sz w:val="20"/>
          <w:lang w:val="en-US" w:eastAsia="en-US" w:bidi="ar-SA"/>
        </w:rPr>
        <w:t>Weinlich</w:t>
      </w:r>
      <w:r>
        <w:rPr>
          <w:rFonts w:ascii="arial" w:eastAsia="arial" w:hAnsi="arial" w:cs="arial"/>
          <w:color w:val="000000"/>
          <w:sz w:val="20"/>
          <w:lang w:val="en-US" w:eastAsia="en-US" w:bidi="ar-SA"/>
        </w:rPr>
        <w:t>, paras. 54,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Taking a holistic approach, I find that it is just and convenient to add Almetco as a defendant. The claim against it is connected to those against the other defendants, and it is participating in this litigation in any event. Although there has been considerable delay, some explanation for it has been advanced. It is not suggested that the failure to bring this application earlier was the result of a deliberate decision, designed to gain the Owners some advantage. Lastly, no fault can be attributed to the Owners with respect to the prejudice asserted by Almetco, i.e. the loss of its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Neither party made submissions as to costs. In the circumstances it is appropriate that they be left to be dealt with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FRANKEL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Teigland v. Killarney Gardens Housing Co-operative, [2001] B.C.J. No. 1141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25, 26 and March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C980522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777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Debra Teigland, plaintiff, and Killarney Gardens Housing Co-operative,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3"/>
      <w:bookmarkEnd w:id="90"/>
      <w:r>
        <w:rPr>
          <w:rFonts w:ascii="arial" w:eastAsia="arial" w:hAnsi="arial" w:cs="arial"/>
          <w:b/>
          <w:color w:val="000000"/>
          <w:sz w:val="20"/>
          <w:lang w:val="en-US" w:eastAsia="en-US" w:bidi="ar-SA"/>
        </w:rPr>
        <w:t xml:space="preserve">Torts — Occupiers' liability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Duty of care — Standard of care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What constitutes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fault — Consent, assumption of risk.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3"/>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Killarney Gardens Housing Co-operative to dismiss the action of the plaintiff Teigland. Teigland and her husband walked through the complex to reach the underground parking lot. They were accompanied by three boys for whom Teigland provided day care. Teigland did not access the lot by pedestrian stairwells. She reached the lot through a car access ramp. She walked quickly to get out of the rain. She was also distracted by the three children. The treads on her shoes were worn away. Teigland slipped on the surface of a speed bump and fell. She noticed that there was a glistening substance on the speed bump. The substance consisted of a mixture of mineral and natural oil. At the top of the ramp was a garbage disposal bin. Liquid garbage drained out of the bin downwards towards the bump. Rain and other liquids had to pass through a drain in the bump before they travelled down to the main drain at the garage door entrance. Blockage of this drain produced an accumulation of water behind the bump. The main drain did not operate effectively to drain accumulated water. Oil was distributed throughout the parkade because some members of the Co-operative changed the oil in their parked vehicles. The parkade had not been power washed in the four years before this accident. The Co-operative relied upon its members to report dangerous or unusual situations. Its employees patrolled the garage only to check for burnt-out lights.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10"/>
            <w:bookmarkEnd w:id="9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Co-operative was liable for 65 per cent of Teigland's damages. Teigland was responsible for 35 per cent of her damages. The area around the garage was unsafe as an entrance for pedestrian traffic. The Co-operative breached its duty of care because this area was not reasonably safe for use. It also did not have a reasonable maintenance system in place. The obligation to conduct regular inspections was not satisfied by the patrol to check for burnt-out lights. Teigland did not take reasonable care and contributed to her injuries. This was an avoidable accident. However, Teigland did not voluntarily assume risk when she did not use the stairwells. The stairwells were not constantly used by members to reach their cars. There was no evidence that they were safer than the ramp.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Legislation Cited_8"/>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1"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s. 3,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4" w:name="Counsel_13"/>
      <w:bookmarkEnd w:id="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W.D. MacLeod, for the plaintiff. C.G. Haddock,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13"/>
      <w:bookmarkEnd w:id="95"/>
      <w:r>
        <w:pict>
          <v:line id="_x0000_s1093"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BURNYEAT J."/>
            <w:bookmarkEnd w:id="96"/>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an application by the defendant pursuant to Rule 18A of the Rules of the Court that the plaintiff's claim against the defendant be dismissed. The plaintiff claims damages for injuries sustained when she fell when she was entering the underground parking parkade owned by the Co-operative of which the plaintiff was a member. The matter is set for a ten day trial in June, 2002. This application relates only to the question of the liability of the defendant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While counsel for the plaintiff submitted that it was not appropriate for the matter to be dealt with on a Rule 18A basis, I am satisfied that the criteria set out in Inspiration Management Ltd. v. McDermid St. Lawrence Ltd. </w:t>
      </w:r>
      <w:hyperlink r:id="rId6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Teigland and her husband resided at the Co-operative from 1991 to 1998. On the morning of July 8, 1997, Ms. Teigland, her husband, and three boys for whom Ms. Teigland was providing day-care, were walking through the Co-operative complex to reach the underground parking lot where a car owned by Ms. Teigland and her husband was parked. Ms. Teigland did not access the underground parking lot through available pedestrian stairwells on that day, as it was her normal practice to reach the underground parking lot through a car access ramp leading to a gated entrance described as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Teigland states that it was raining heavily that day but "it was still warm out" when she fell. In her October 5, 2000 affidavit, Ms. Teigland states: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walked along the left hand side of the slanted access to the entrance and used my key in the wall-mounted control to open the gate. As the gate opened, I walked ahead. As I stepped onto the yellow speed bump at the entrance to the parking lot, my right foot immediately slipped on the surface of the speed bump. I fell, and the next thing I was aware of I was on the ground with my right leg behind me. My upper body was on the speed bump and the rest of my body was on the pavement on the parking lot side of the speed bump.</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was lying on the pavement, I recall my husband coming to help me. I saw him step on the speed bump and his foot also slipped on the surface of the speed bump, but he did not fall.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I fell, I recall looking back at the speed bump. I noticed on the speed bump some substance which was shimmering and glistening.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gate to the parkade began to open, Ms. Teigland told the three boys to go ahead and they did. They passed over the bump and were having "fun in the puddles" which were inside the parkade. At her examination for discovery, Ms. Teigland was asked the following questions and gave the following answers regarding her previous experience with the speed bump where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speed bump, you'd had plenty of experience with it, right? Basically five years of stepping on the speed bump to get to your car. Had you ever found it slippery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I'd never found it slippery before.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you'd walked on it when it was raining outside?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Every type of weather 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Ice. Everything.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MAINTENANCE AND INSPECTION IN PLACE FOR THE VEHICLE RAMP AND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a "Security Committee" in place for the Co-operative. In her May 26, 2000 affidavit, Leah Minuk, the "Property Management Coordinator" of the Co-operative, stated that the duties of the Security Committee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Security Committee does walk-throughs of the Co-op property and underground parking areas from time to time and at least once per week. At the Co-op it is expected that individual members, and especially the Security Committee members, would report any unusual, dangerous or unsafe matter that should come to the attention of the Buildings Committee and/or the maintenance men on duty at the Co-op and/or the Co-op office so that the office may direct the maintenance men to deal with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copy of the April 17, 1995 meeting minutes of the Security Committee was in evidence. Under "New Business", the minutes note that four individuals had gone for "a walk around ... to assess parking stalls." In addition to a review of "conditions of stalls" and "safety violations", the minutes note the following: "Every 3 months to do a check of parking lots." The minutes of the Security Committee for the period October 15, 1996 through July, 1999 are not available and appear to be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that affidavit, Ms. Minuk also states that it was the duty of one of the employees of the Co-operative to "... patrol the buildings and parking garages and check for burnt out light bulbs and fluorescent tubes." Ms. Minuk indicates that this was done once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"maintenance workshop" for the entire Co-operative was located in the underground parkade fairly close to PD2. Les Miller is the Maintenance Supervisor for the Co-operative and was one of two maintenance men working for the Co-operative in July, 1997. Mr. Miller states that his "personal mandate" was to undertake specific maintenance tasks as assigned by the office of the Co-operative, to "generally observe" the condition of the Co-operative property over the entire 9.4 acre site of the property, to be constantly on the "lookout" for any maintenance matter which should be reported to the Co-operative office, to report to the Co-operative office anything "unusual, dangerous, or something that required the attention of the Co-op" and to take care of any "maintenance problem" referred to him. Mr. Miller also confirmed that it was expected of individual members that they bring specific problems to the attention of the maintenance personnel or to the Co-operative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Miller states that his daily routine involves approximately 10 to 20 visits per day to the "maintenance workshop" although he did not usually enter the parkade through PD2. Mr. Miller estimated that he would use PD2 as an entrance or exit at least a couple of times a week on foot. He also stated that he would drive his own vehicle in and out of the parkade via PD2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ACCESS TO THE PARKADE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key provided to Co-operative members will open both the PD2 garage doors and entrances to the pedestrian stairwells entrances. At her discovery on February 12, 1999, Ms. Minuk agreed that most of the townhouse residents would use the parkade garage door entrances. On the basis of the evidence of Ms. Minuk and the other affidavit materials filed, I find that most residents of the Co-operative would use the gate entrances rather than the pedestrian stairwells to enter and exit the underground parkade to access the 75 cars that were parked there. I also find that Ms. Teigland almost invariably used the PD2 entrance to get to and from the family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EXPERIENCE WITH PROBLEMS AT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fact that there were no previous accidents or injuries at the PD2 entrance is not determinative of the issue of whether the defendant has been negligent or the design of the area faulty. Rather, it is merely a factor to be taken into account when determining those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Hazel Burns is a member of the Buildings Committee of the Co-operative. In her May 26, 2000 affidavit, Ms. Burns states that she has reviewed the Buildings Committee meeting minutes for the spring and summer of 1997 and that the minutes do not reflect any problems associated with PD2. She also states: "I do not recall any complaints or reports of slipperiness in or about either of the two entrances to the ... [underground parkade] in or about June or July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records of the maintenance men employed by the Co-operative were in evidence. Ms. Minuk in her February 14, 2001 affidavit sets out a review of the records maintained by the maintenance men between the dates December, 1996 and July, 1997. Her review led Ms. Minuk to conclude that, other than the incident involving Ms. Teigland, there were "... no reports within those documents regarding slippery substances or slippery conditions in or around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Frank Wells was a member of the Buildings Committee of the Co-operative between 1994 and 1996 and has been a member of the Security Committee of the Co-operative since 1991. Mr. Wells provided an affidavit in support of Ms. Teigland's claim. In his October 5, 2000 affidavit, Mr. Wells states that he had made "rounds" through the parking area "on literally hundreds of occasions" as a result of being on the Security Committee. In that affidavit, Mr. Wells further states: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parking lot, I have noticed that there are a number of stalls which had oil stains on the pavement which appeared to be from oil or other automotive fluids dripping from the vehicles.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entrance area being changed in the spring of 1999, whenever it rained, the area of the parking lot leading up to the speed bump at PD2 would flood. Water would accumulate in a pool on the parking lot side of the speed bump to a depth of as much as 9 inches. Although there was a drainpipe that ran through the speed bump to a drain on the outside of the speed bump, that drainpipe would often plug with leaves and debris. I have, on occasion, personally unplugged the drainpipe. On one occasion, I did so in the presence of, and with the assistance of Mr. Les Miller, one of the maintenance men.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seen the pool of water with an iridescent blue sheen on it which appeared to me to indicate the presence of oil floating on the surface. The speed bump, when wet, would on occasion be slippery and indeed I have slipped myself on that speed bump, although I have not fallen.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recall seeing another individual slipping on the speed bump in or about November of 1988. He managed to catch himself but did not fall. At the time, there was again a pool of water on the parking lot side of the speed bump.</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 cannot specifically recall details, I clearly recall that the pooling of the water was a common topic of conversation amongst many of the residents who parked their cars in that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response to the affidavit of Mr. Wells, Mr. Miller swore an affidavit on October 11, 2000 disagreeing with the observations of Mr. Wells:</w:t>
      </w:r>
      <w:r>
        <w:rPr>
          <w:rFonts w:ascii="arial" w:eastAsia="arial" w:hAnsi="arial" w:cs="arial"/>
          <w:sz w:val="20"/>
          <w:lang w:val="en-US" w:eastAsia="en-US" w:bidi="ar-SA"/>
        </w:rPr>
        <w:cr/>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agree that the area of the parking lot leading up to the speed bump of PD2 would flood whenever it rained. In fact, water would gather on the inside of the speed bump only under certain conditions, those certain conditions, being when the wind would drive the rain into the Big L Parking Lot and when water was being dragged in by cars. This did not occur whenever it rained.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impossible that the water could accumulate to a depth of 9 inches. For the water to accumulate to a depth of nine inches, the bump at the entrance of the PD2 would have to be nine inches in height to hold the water back. A nine inch high bump at the entrance of the PD2 parking lot would cause serious damage to all vehicles except those with the highest of clearances. The fact is that the bump had a minimum height of approximately three inches.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pooling of water on rare occasions behind the bump prior to the rebuilding of the bump in 1999. If there was pooled water, a person who desired to enter the Big L Parking Lot through PD2 could avoid the pooled water as the water never pooled across the entire breadth of the entrance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May 26, 2000 affidavit, Mr. Miller states that he had never noticed any "slick, oily or slippery substance ever being on the speed bump" and that he only noticed rain water from time to time "... because the speed bump was just slightly behind the overhang, not far enough behind the overhang to avoid being rained on." Mr. Miller also states that he was in "close proximity" to the speed bump on June 20, 1997 and that he noticed no slippery substance on or about the speed bump at that time. As to the possibility of slippery substances being around the speed bump, Mr. Miller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Plaintiff herein has alleged that there was some sort of slippery or oily substance on the speed bump at the entrance to the Big L parkade. This is specifically the type of matter that Mr. Ngo [maintenance worker] and myself were on the look out for when we were doing our rounds and moving about on the Co-op property. If this condition had been noted by either myself or Mr. Ngo, I verily believe that it would have been reported to the Co-op office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Miller was examined for discovery and was asked about the water accumulating in the parking lot. He agreed that water did accumulate on the parking lot side of the speed bump but disagreed that it accumulated on the "outside of the speed bump." He indicated that water would accumulate on the parking lot side of the speed bump: "Pretty well it rained heavy every time." Mr. Miller was also asked whether he knew why the rain accumulated and he answered: "Just a bad design. I don't know." He described the size of the pool of water that would accumulate as follows: "Depth - two to three inches. Width is about the size of the door, which was about 14 feet. That's at the heaviest." Mr. Miller also stated that the pool of water would go back as much as six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October 5, 2000 affidavit, Raymond Teigland, the husband of the plaintiff,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times over the years that we resided at the Co-op prior to July 8, 1997, I noticed water that had pooled on the parking lot side of the yellow speed bump at PD2. ... The water depth would vary, but would reach a depth of several inches and as vehicles would drive through it on their way out of the parking lot, the waves generated would actually flow over the speed bump. The water would also be carried onto the speed bump by vehicles tires.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many occasions prior to July 8, 1997, when the water had pooled in that area, I noticed a blue shiny film on the surface of the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same parking lot, I have noticed, prior to July 8, 1997, that there were a number of stalls which had oil stains on the pavement which appeared to be from oil or other automotive fluids dripping from the vehicles. In particular, the owner of the car parked in the stall closest to PD2 on the right hand side (looking out of the parking lot), used to change the oil while it was parked at that stall. I saw oil stains on the pavement on and near his stall.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drain pipe running through the speed bump often became clogged with debris, thus increasing the amount of water that would pool. I have personally unplugged it from time-to-time.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Craig A. Brown, P.Eng. of MacInnis Engineering Associates Ltd., was asked to review photographs of the site of the accident in order to explain "... how the site geometry contributed to the presence of motor oil at one end of the speed bump to the underground parking of Killarney Gardens." Mr. Brown did not go to Killarney Gardens but based his report on the photographs that had been provided to him. Those photographs are in evidence. Mr. Brown describes the scene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entrance to the underground parking lot is a downward sloped ramp from the street to approximately the gate of the parking lot. The sloped ramp also has a cross slope, down to the left as one approaches the parking entrance. The entrance of the parking lot is fitted with a sliding gate which opens to the right, relative to entering vehicles. Under the sliding gate there is yellow painted asphalt speed bump which is tapered in height such that the top of the speed bump is approximately parallel with the bottom of the sliding gate. Thus, the left end of the speed bump is higher than the right end (viewed from outside).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Outside the speed bump at the left side there is a catch basin and iron grate to drain water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Regarding the possible source of "motor oil", Mr. Brown stated that vehicles returning to the underground parking will generally be warm, they usually stop while the key switch is activated and the sliding gate opens, that motor oil and other vehicle lubricants will drip onto the driveway surface in the area outside the speed bump near the catch basin and that this oil will be tracked towards the speed bump as vehicles drive into the underground parkade. As well, as vehicles climb over the speed bump, the upward motion will tend to dislodge "droplets of oil that are on the underside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To refute this, Mr. Miller in his January 23, 2000 affidavit states that there is a second speed bump 20 feet away from the entrance of PD2 which must be crossed before vehicles entering PD2 would travel over the speed bump at the entrance of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CHANGES MADE TO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Subsequent work in an area where an accident has occurred is not determinative of the issue of whether the Co-operative has been negligent or the design of the area faulty. Again, it is merely a factor to be taken into account when determining those questions. Since July 8, 1997, the speed bump has been removed and replaced with another speed bump, the drain was reinforced and the ramp down to the parkade was repaved. Ms. Minuk indicated that the drain was reinforced "... as it appeared to have been sinking." In his January 23, 2002 affidavit, Mr. Miller states that he has not noticed: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concentration of motor oil or other vehicle lubricants dripping onto the driveway surface in the area indicated by Mr. Brown. Part of my duties as maintenance supervisor of the Co-op are to specifically notice such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her May 16, 2000 affidavit, Ms. Minuk also stated that she had instructed one of the maintenance workers to "power wash the entrance areas and speed bumps at both PD2 and PD3" and that this work was undertaken on July 16, 1997. While there is no suggestion that power washing was undertaken for that purpose, it is clear that the power washing eliminated any possibility of detecting or analyzing any substances which may have been in the area of the speed bump at PD2 on July 8, 1997. There is no indication that there had been any power washing in the three or four years before July 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GARBAGE DISPOSAL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a garbage disposal bin outside of the parkade approximately 10 feet away from PD2. In his May 26, 2000 affidavit, Mr. Miller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garbage bin is located in the recess to the left-hand side of PD2. There is a sewer grate between the garbage bin and PD2. The slope of the land between the garbage bin and PD2 would cause any liquid substances that may have originated from the garbage bin to drain into the sewer grate as the sewer grate intercepts the path of least resistance for liquids flowing down-hill between the garbage bin and PD2. I have never seen liquid draining from the garbage bin toward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his examination for discovery, Mr. Miller was asked whether it was a common occurrence for garbage that did not make it into the garbage disposal bin to be on the ground and he confirmed that it was and that it would be a "common occurrence." In her May 26, 2000 affidavit, Ms. Burns who was a member of the Buildings Committee of the Co-operative,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recall any complaints or notifications from the membership or staff with regard to any leakage or slipperiness originating from the BFI container adjacent to the entrance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SUBSTANCES ON THE SPEED BUMP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Teigland noticed "some substance which was shimmering and glistening" when she looked back at the speed bump after she had fallen. In his October 5, 2000 affidavit, Mr. Teigland states that he went to provide assistance to his wife and: "As I stepped on the speed bump, I also slipped but managed to catch myself and did not actually fall. The speed bump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May 26, 2000 affidavit, Mr. Miller states that he was "in close proximity" to the speed bump at PD2 on June 20, 1996 and that he noticed "no slippery substance on or around the speed bump." In her May 26, 2000 affidavit, Ms. Minuk states that neither Mr. Miller nor Mr. Ngo reported to her any slippery substance or difficulty "... whatsoever with the area around PD2." Ms. Minuk states that the only report about problems associated with PD2 which she could find in the records of the Co-operative was in the July 14, 1997 letter received from Ms. Teigland: "On Monday, July 8, 1997 at approximately 8:45 a.m., I was walking to my car in the underground parking lot, when I slipped on a speed bump covered with some sort of slippery substance, oil or other substance breaking my ankle in four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support of her submission that the speed bump was wet and had a slippery substance on it, Ms. Teigland indicates that the t-shirt that she was wearing that day became wet from the water on the pavement or the speed bump and that it also became stained with "some black substance." At her discovery, Ms. Teigland was asked whether she touched or checked out what sort of substance might have been on the speed bump and she stated that she was in considerable pain so she did not: "It wasn't until I got to the hospital when I had to get into a gown that I noticed that I had black marks all over my shirt." She was also asked whether she knew where the substance could have come from and she stated: "No, because when I fell I don't know. It could have come from the garage floor, you know, because it was even on my pants and my underwear."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From the photographs of the t-shirt which were in evidence, discoloration on the front of the white t-shirt and considerable discoloration on the back lower portion of the t-shirt can be seen. In her February 15, 2001 affidavit, Ms. Teigland states the t-shirt she put on the day was "clean" and that she did not cook breakfast or anything else that morning. She states: "Most of the stains on the shirt were on the back with some smaller stains on the front. The stains on the front may have been caused by my wiping my hands on it after the fall. I can think of no manner in which the shirt would have become stained on the back other than from my fall." I accept Ms. Teigland's evidence in this regard and find that the stains which are now evident were not on the t-shirt prior to the accident. I also find that the t-shirt that was tested was the t-shirt she was wearing that day and that there has been no intervening opportunity for substances to be added to the t-shirt prior to the testing which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evidence was a March 26, 1999 letter from Power Tech Labs Inc. (G.R. Ashby) who analyzed the substances found on the t-shirt. The conclusion reached by Mr. Ashby indicated the presence of "a mixture of mineral oil and a natural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27, 2001, counsel for the defendant cross-examined Mr. Ashby on his February 13, 2001 affidavit. Mr. Ashby was asked to differentiate between mineral oil and natural oil and he stated: "Mineral oil is essentially from a petroleum product, like oil, and natural oils are from sort of natural sources like soy bean oil, linseed oil. It can come from beans or plant materials." Mr. Ashby confirmed that there was an indication of mineral oil near the collar of the shirt and he also confirmed that there was a mixture of mineral oil and natural oil in the stained and non-stained areas of the 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Mr. Ashby concluded that the natural oil was "possibly cooking oil", he also confirmed that he had not done any testing to identify it as cooking oil and that his observations about this were based on "speculation": "... it's in a housing complex: where is a natural oil going to come from? It could be a cooking oil, something like that, sort of a logical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Ashby also confirmed during his cross-examination that he had not done any testing to see if the stained area which was dark amber in colour was in fact "dirty automotive oil." He confirmed that this was also "speculation"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Ashby was also questioned regarding the statement that there was "widespread presence of the oily substance on the shirt" and the suggestion in his report that the oily substance "... likely covered a fairly wide area that was not confined to just the speed bump." He responded that the oily substance was all over the back of the shirt which indicated that the shirt "... has come into contact with oil over a wide area." He was then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basically would have to lie on her back completely?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oil?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on the ground?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bottom to top, just flat?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statutory duty of care that the Co-operative owed to Ms. Teigland is set out under s. 3(1) of the Occupiers Liability Act. The Co-operative owes a duty of care to Ms. Teigland that is, in all the circumstances, is reasonable to see that she would be reasonably safe using the premises of the Co-operative. Section 3 of the Act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who invokes that section must still be able to point to some act (or some failure to act) on the part of the occupier which causes the injury complained of before liability can be established. Bauman v. Stein </w:t>
      </w:r>
      <w:hyperlink r:id="rId240"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(at p.127)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Before liability can be established, Ms. Teigland must point to a fundamental flaw in the design of the area or to some act or failure to act on the part of the Co-operative which also caused her injuries. The court cannot presume that some act, or failure to act, on the part of the Co-operative caused Ms. Teigland to fall: Vandergaast v. Atterton </w:t>
      </w:r>
      <w:hyperlink r:id="rId241" w:history="1">
        <w:r>
          <w:rPr>
            <w:rFonts w:ascii="arial" w:eastAsia="arial" w:hAnsi="arial" w:cs="arial"/>
            <w:i/>
            <w:color w:val="0077CC"/>
            <w:sz w:val="20"/>
            <w:u w:val="single"/>
            <w:shd w:val="clear" w:color="auto" w:fill="FFFFFF"/>
            <w:lang w:val="en-US" w:eastAsia="en-US" w:bidi="ar-SA"/>
          </w:rPr>
          <w:t>[1988] B.C.J. No. 2695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satisfied that Ms. Teigland has proven on a balance of probabilities that the area in and around PD2 was unsafe as an entrance for pedestrian traffic and that the Co-operative breached its duty of care to her in that the area was not "reasonably safe" for use. I find that the presence of a garbage disposal bin at the top of the ramp leading to PD2 allowed liquid garbage to drain downward towards the speed bump as the Co-operative did not have a garbage disposal bin that would hold all of the garbage that was deposited between pickups or that the Co-operative did not enforce any bylaws or regulations which may have been in effect which require members of the Co-operative not to place garbage on the ground. Even Mr. Miller agreed that garbage on the ground was a "common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Next, rain and other liquids had to pass through a drain in the speed bump before travelling to the main drain at the PD2 entrance. Any blockage of this drain would produce an accumulation of water behind the speed bump. This design fault created a situation whereby water could accumulate behind the speed bump and thereby add to what would be the usual accumulation of water on a speed bump when it was 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Next, it is clear that the drain at the PD2 entrance was not operating to effectively drain accumulated water. I accept the evidence of Messrs. Wells and Teigland in this regard. Regarding the evidence of Mr. Miller in this regard, I note irreconcilable differences between his May 25 and October 11, 2000 affidavits and his examination for discovery. I find that the description that he gave at his discovery should be preferred. I find that it was very common when it rained that a considerable amount of water accumulated inside the parkade at the PD2 entrance. One of the photographs in evidence shows such an accumulation. Mr. Miller speculated that the reason for this accumulation was "bad design" and I find this to be the case. I find that, when it rained, rain accumulated across much of the PD2 entrance. As a consequence, vehicles exiting the parkade would carry water forward and that water would be deposited on the speed bump along with any other water and liquids that were already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also find that at least some of the members of the Co-operative changed the oil in their vehicles while their vehicles were parked in stalls within the parkade. In addition to the usual accumulation of petroleum products deposits that would be anticipated on the parkade floors, the lack of control taken over members changing liquids created a situation whereby vehicle traffic would further distribute petroleum products throughout the parkade.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there was power washing of the PD2 area only eight days after the accident, there was no evidence in the records of the Co-operative that there had been a power washing of that area or any area within the parkade in the prior four years. The failure of the Co-operative to power wash the parkade contributed to a situation where the premises were not reasonably safe for the use of members such as Ms. Teigland as there was no opportunity for the usual accumulation of petroleum products, the additional accumulation of petroleum products occasioned by members changing the oil in their vehicles while parked within the parkade, and the usual accumulation of dust and grime to be removed from the parkade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basis of the evidence of Messrs. Wells and Teigland, Ms. Teigland and the Security Committee minutes, I am satisfied that "oil smears" were present and that petroleum products became mixed with the water that accumulated near the PD2 entrance when it rained. Similarly, I find that this mixture of petroleum products and water was then tracked up the ramp and onto the speed bump by vehicular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prefer the evidence presented on behalf of the plaintiff regarding whether petroleum products were common on the parkade floor and not the evidence of Mr. Miller and Ms. Minuk. First, I cannot be satisfied that the records of the Co-operative accurately reflect problems such as the accumulation of water or the presence of petroleum products on the floor of the parkade. Despite the evidence of Mr. Miller that water accumulated during heavy rain, there is nothing in the records of the Co-operative which notes such an accumulation. From that, I conclude that either such occurrences were not recorded or that such occurrences were so common that no one bothered to record such incidences. Second, Mr. Miller does not state that it was within his regular duties to record findings of slippery substances or slippery conditions in or around PD2. Third, there is no evidence from Mr. Ngo and no explanation provided by the Co-operative as to why there is no affidavit from Mr. Ngo. Fourth, the minutes of the Security Committee after October 15, 1996 are not available so that it cannot be known whether there was any reference in those minutes to slippery substances or the pooling of water in or around PD2. Fifth, the observations of Mr. Miller on June 20, 1997 are hardly determinative of the conditions that might have been in place 18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"bad design" described by Mr. Miller was exacerbated by the failure of the Co-operative to take reasonable steps to make sure that liquid garbage, moisture from rain and snow, and petroleum products did not accumulate near the PD2 entrance so that the vehicle traffic entering and exiting that entrance would spread those substances throughout the entranceway and, in particular, on to the speed bump where Ms. Teigland fell. In light of the evidence before me, I find that Ms. Teigland has proven on a balance of probabilities a prima facie breach of duty by the Co-operative. I find that a dangerous condition was allowed to exist for an unreasonable length of time so that the Co-operative did not take reasonable care to see that Ms. Teigland was reasonably safe in the area around PD2 when she and other members of the Co-operative regularly used that entrance to get to and to come from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requirement of reasonable foreseeability is fundamental to the common law duty of care. This is also the case under the Occupiers Liability Act even though the word "foreseeability" does not appear the statute: Rendall v. Ewert </w:t>
      </w:r>
      <w:hyperlink r:id="rId242" w:history="1">
        <w:r>
          <w:rPr>
            <w:rFonts w:ascii="arial" w:eastAsia="arial" w:hAnsi="arial" w:cs="arial"/>
            <w:i/>
            <w:color w:val="0077CC"/>
            <w:sz w:val="20"/>
            <w:u w:val="single"/>
            <w:shd w:val="clear" w:color="auto" w:fill="FFFFFF"/>
            <w:lang w:val="en-US" w:eastAsia="en-US" w:bidi="ar-SA"/>
          </w:rPr>
          <w:t>(1989) 60 D.L.R. (4th) 513</w:t>
        </w:r>
      </w:hyperlink>
      <w:r>
        <w:rPr>
          <w:rFonts w:ascii="arial" w:eastAsia="arial" w:hAnsi="arial" w:cs="arial"/>
          <w:color w:val="000000"/>
          <w:sz w:val="20"/>
          <w:lang w:val="en-US" w:eastAsia="en-US" w:bidi="ar-SA"/>
        </w:rPr>
        <w:t xml:space="preserve"> (B.C.C.A.). It was reasonably foreseeable that harm would come to Ms. Teigland and others because of the failure of the Co-operative to maintain proper cleaning and inspection standards relating to the ramps leading to parkades and the parkade itself, to remedy the faulty design of the drainage relating to the speed bump and the PD2 entrance area, and to enforce the appropriate storage of garbage so that the possibility of liquids seeping from garbage sitting on the ground would not exist. The physical changes made to the area and the power washing which took place shortly after the accident are indicative of the precautions which should have been taken prior to July 8, 1997. The fact that there had been no accidents before was a matter of luck. The fact that remedial steps were taken afterwards merely reinforces my finding that precautions should have been taken beforehand. The reasonable consequences of failing to take steps to abate or remove the hazard was the type of accident that Ms. Teigland had on July 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beyond mere speculation to find that Ms. Teigland's fall was caused by the accumulation of a slippery substance on the speed bump. I am satisfied that Ms. Teigland has shown on a balance of probability that there were slippery substances on the speed bump that day and that those slippery substances caused or contributed to causing her fall. First, Ms. Teigland observed and experienced the accumulation of water and the presence of a "blue sheen." Second, I accept the evidence of Mr. Teigland that he almost fell as well that day. Third, I accept the evidence presented regarding the t-shirt and the presence of both mineral oil and natural oil on the t-shirt. I find that the presence of those two types of oil can only be explained if the t-shirt of Ms. Teigland came into contact with the surface of the ramp and the speed bump outside PD2 that day and with those two types of oil being present on those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question which then arises is whether the Co-operative has shown that there was a reasonable maintenance system in place and, if so, that the system was followed on the day of the accident: Atkins v. Jim Pattison Industries Ltd., </w:t>
      </w:r>
      <w:hyperlink r:id="rId243" w:history="1">
        <w:r>
          <w:rPr>
            <w:rFonts w:ascii="arial" w:eastAsia="arial" w:hAnsi="arial" w:cs="arial"/>
            <w:i/>
            <w:color w:val="0077CC"/>
            <w:sz w:val="20"/>
            <w:u w:val="single"/>
            <w:shd w:val="clear" w:color="auto" w:fill="FFFFFF"/>
            <w:lang w:val="en-US" w:eastAsia="en-US" w:bidi="ar-SA"/>
          </w:rPr>
          <w:t>[1998] B.C.J. No. 3050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it relates to the surface of the parkade and, in particular, the area around PD2 and the ramp leading to the PD2 entrance, I find that the Co-operative did not have a reasonable maintenance system in place. There was no regular patrol of the area around PD2. The fact that maintenance workers drove through that entrance on a twice daily basis would not particularly assist them in ascertaining whether mineral or natural oil were accumulating. The two maintenance workers were repairing the units within the Co-operative and were not charged with either the routine inspection or the maintenance of PD2.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Rather, the Co-operative appeared to rely on individual members of the Co-operative to report dangerous or unusual situations. First, it is not a reasonable maintenance scheme to rely on such random checks: Coulson v. Canada Safeway Ltd., </w:t>
      </w:r>
      <w:hyperlink r:id="rId244" w:history="1">
        <w:r>
          <w:rPr>
            <w:rFonts w:ascii="arial" w:eastAsia="arial" w:hAnsi="arial" w:cs="arial"/>
            <w:i/>
            <w:color w:val="0077CC"/>
            <w:sz w:val="20"/>
            <w:u w:val="single"/>
            <w:shd w:val="clear" w:color="auto" w:fill="FFFFFF"/>
            <w:lang w:val="en-US" w:eastAsia="en-US" w:bidi="ar-SA"/>
          </w:rPr>
          <w:t>[1988] B.C.J. No. 2067</w:t>
        </w:r>
      </w:hyperlink>
      <w:r>
        <w:rPr>
          <w:rFonts w:ascii="arial" w:eastAsia="arial" w:hAnsi="arial" w:cs="arial"/>
          <w:color w:val="000000"/>
          <w:sz w:val="20"/>
          <w:lang w:val="en-US" w:eastAsia="en-US" w:bidi="ar-SA"/>
        </w:rPr>
        <w:t xml:space="preserve"> (B.C.C.A.); Ramji v. Westfair Properties Ltd., </w:t>
      </w:r>
      <w:hyperlink r:id="rId245" w:history="1">
        <w:r>
          <w:rPr>
            <w:rFonts w:ascii="arial" w:eastAsia="arial" w:hAnsi="arial" w:cs="arial"/>
            <w:i/>
            <w:color w:val="0077CC"/>
            <w:sz w:val="20"/>
            <w:u w:val="single"/>
            <w:shd w:val="clear" w:color="auto" w:fill="FFFFFF"/>
            <w:lang w:val="en-US" w:eastAsia="en-US" w:bidi="ar-SA"/>
          </w:rPr>
          <w:t>[1995] A.J. No. 337</w:t>
        </w:r>
      </w:hyperlink>
      <w:r>
        <w:rPr>
          <w:rFonts w:ascii="arial" w:eastAsia="arial" w:hAnsi="arial" w:cs="arial"/>
          <w:color w:val="000000"/>
          <w:sz w:val="20"/>
          <w:lang w:val="en-US" w:eastAsia="en-US" w:bidi="ar-SA"/>
        </w:rPr>
        <w:t xml:space="preserve"> (Alta.Q.B.); and Gogol v. F.W. Woolworth Company, </w:t>
      </w:r>
      <w:hyperlink r:id="rId246" w:history="1">
        <w:r>
          <w:rPr>
            <w:rFonts w:ascii="arial" w:eastAsia="arial" w:hAnsi="arial" w:cs="arial"/>
            <w:i/>
            <w:color w:val="0077CC"/>
            <w:sz w:val="20"/>
            <w:u w:val="single"/>
            <w:shd w:val="clear" w:color="auto" w:fill="FFFFFF"/>
            <w:lang w:val="en-US" w:eastAsia="en-US" w:bidi="ar-SA"/>
          </w:rPr>
          <w:t>[1996] B.C.J. No. 2047</w:t>
        </w:r>
      </w:hyperlink>
      <w:r>
        <w:rPr>
          <w:rFonts w:ascii="arial" w:eastAsia="arial" w:hAnsi="arial" w:cs="arial"/>
          <w:color w:val="000000"/>
          <w:sz w:val="20"/>
          <w:lang w:val="en-US" w:eastAsia="en-US" w:bidi="ar-SA"/>
        </w:rPr>
        <w:t xml:space="preserve"> (B.C.S.C.). Second, any obligation on a member of the Co-operative to report dangerous or unusual situations cannot absolve the Co-operative itself from taking reasonable steps to keep areas such as PD2 reasonably safe. The obligations of members of a Co-operative to a Co-operative cannot be any greater than the obligation which would be imposed on any party to show reasonable care for their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obligation to make regular inspection for unsafe conditions in the parkade area was not met by the patrol by one of the employees of the Co-operative every two weeks to check for burnt out light bulbs and fluorescent tubes. In Coulson, supra, Hutcheon J.A. stated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system in place in the store was to rely on the observations of employees and customers. That is a system that takes the chance that for a period of time no one will be present in aisle No. 2. In this case there is no evidence of the reasonableness of that period. For all the evidence discloses Mrs. Coulson was the only one, apart from the mischief maker, who walked down that aisle after the sweeping shortly after 8 o'clock in the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onus was on Canada Safeway to shorten that period to a reasonable time before the incident. Because Canada Safeway has not done that or even attempted to do that, I would find that the defendant did not take reasonable care that day and is liable for the consequences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the system in place was not of sufficient thoroughness or frequency to allow me to conclude that a reasonable maintenance system for the PD2 area specifically and the parkade generally was in place. As Dixon J. stated in Ramji, supra: "... I was left with the distinct impression that its implementation was left to chance and that if adequate timely and consistent floor coverage was achieved, it was a matter of some luck." (At para.6.)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Even if I am wrong in concluding that a reasonable system of maintenance was not in place, I find that there is insufficient evidence before me to allow me to conclude that the maintenance system which was in place was followed on the day of the accident. Accordingly, I cannot conclude that a reasonable maintenance system was in place and that it was followed on the day of the accident so as to then find that the conditions around the speed bump at PD2 were not of common occurrence. Rather, I can conclude that the conditions around the PD2 entrance were an accident waiting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clear that Ms. Teigland must show reasonable care for her own safety: Indermaur v. Dames (1866), L.R. 1 C.P. 274 at 288. While the Co-operative was entitled to assume that Ms. Teigland and others would exercise reasonable care for their own safety in light of their own knowledge of the particular area including the fact that Ms. Teigland had not experienced a problem in the past although she had been through that area many times, it is also the case that the Co-operative cannot rely on this factor in fulfilling its duty of care to make the area reasonably safe. Rather, the care that Ms. Teigland must take on her own part for her own safety is one of the "circumstances" which can be taken into account when the Co-operative is making the area reasonably safe and one of the factors that the court can take into account when ascertaining whether Ms. Teigland has contributed to causing the accident because she did not use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After reviewing all of the evidence, I am satisfied that the defendant has demonstrated on a balance of probabilities that Ms. Teigland did not take reasonable care and, by this want of care, contributed to causing her own injury: see the judgment of Wallace J.A. on behalf of the court in Hamel v. Westminster Quay Holdings Ltd. </w:t>
      </w:r>
      <w:hyperlink r:id="rId247" w:history="1">
        <w:r>
          <w:rPr>
            <w:rFonts w:ascii="arial" w:eastAsia="arial" w:hAnsi="arial" w:cs="arial"/>
            <w:i/>
            <w:color w:val="0077CC"/>
            <w:sz w:val="20"/>
            <w:u w:val="single"/>
            <w:shd w:val="clear" w:color="auto" w:fill="FFFFFF"/>
            <w:lang w:val="en-US" w:eastAsia="en-US" w:bidi="ar-SA"/>
          </w:rPr>
          <w:t>[1993] B.C.J. No. 1190</w:t>
        </w:r>
      </w:hyperlink>
      <w:r>
        <w:rPr>
          <w:rFonts w:ascii="arial" w:eastAsia="arial" w:hAnsi="arial" w:cs="arial"/>
          <w:color w:val="000000"/>
          <w:sz w:val="20"/>
          <w:lang w:val="en-US" w:eastAsia="en-US" w:bidi="ar-SA"/>
        </w:rPr>
        <w:t xml:space="preserve"> and Nance v. The British Columbia Electric Railway Company, </w:t>
      </w:r>
      <w:hyperlink r:id="rId248" w:history="1">
        <w:r>
          <w:rPr>
            <w:rFonts w:ascii="arial" w:eastAsia="arial" w:hAnsi="arial" w:cs="arial"/>
            <w:i/>
            <w:color w:val="0077CC"/>
            <w:sz w:val="20"/>
            <w:u w:val="single"/>
            <w:shd w:val="clear" w:color="auto" w:fill="FFFFFF"/>
            <w:lang w:val="en-US" w:eastAsia="en-US" w:bidi="ar-SA"/>
          </w:rPr>
          <w:t>2 W.W.R. 665</w:t>
        </w:r>
      </w:hyperlink>
      <w:r>
        <w:rPr>
          <w:rFonts w:ascii="arial" w:eastAsia="arial" w:hAnsi="arial" w:cs="arial"/>
          <w:color w:val="000000"/>
          <w:sz w:val="20"/>
          <w:lang w:val="en-US" w:eastAsia="en-US" w:bidi="ar-SA"/>
        </w:rPr>
        <w:t xml:space="preserve"> at 672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the defendant has shown that Ms. Teigland was walking too quickly and proceeding without paying proper attention. It is clear that Ms. Teigland was trying to get out of the rain. It is also clear that the three children that she was accompanying ran ahead and began to play in the water which had accumulated inside the PD2 entrance. In those circumstances, it is not surprising that she did not pay the usual attention she would pay to the area outside the PD2 entrance and, in particular, the speed bump where she fell. I also find that her footwear that day contributed to causing the accident. The "blocky" tread of the footwear was worn off and three rows of the tread block on the right shoe were completely worn away. I am satisfied that the wearing of such footwear contributed to causing the accident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I reject the submissions made on behalf of the Co-operative that the use of the parkade entrance rather than the pedestrian stairwells was an assumption of risk undertaken by Ms. Teigland which produced a lesser duty of care on behalf of the Co-operative and contributed to causing the accident that day. While the pedestrian stairwells to the parkade were always available for use, it is clear that the stairwells were not constantly used by members of the Co-operative to get to or come from their vehicles and there is nothing before me which would suggest that the pedestrian stairwells were a safer alternative for entrance and exit of pedestrian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On a test of reasonableness, I find that Ms. Teigland did not take reasonable care for herself. This is an accident that could have been avoided. In the circumstances of this case, I allocate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between Ms. Teigland and the Co-operative as 65% against the Co-operative and 35% against Ms. Teigland. I am satisfied that this percentage appropriately represents the damages which were caused to Ms. Teigland as a result of her own carelessness or haste.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Subject to my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Ms. Teigland, the application by the Co-operative pursuant to Rule 18A of the Rules of Court is dismissed. There will be judgment for Ms. Teigland for the accident which occurred on July 8, 1997 with the amount of those damages to be assessed. There is a finding that Ms. Teigland contributed to the extent of 35% of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T.W.N.A. v. Clarke, [2001] B.C.J. No. 1621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27 - 31, April 3 - 7, 10 - 14, 19, 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25 - 28, May 1 - 3, October 2 - 6, 10 - 13, 23, 26,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30, November 6 - 10, 14 - 17, 20 - 22, 24, 30,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10 - 11, 25, 26, 29 - 31, February 1 and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C886397, C986621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B.C.L.R. (3d) 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T.W.N.A., E.A.J. and G.B.S., plaintiffs, and Derek Clarke, Anthony William Harding, Her Majesty the Queen in Right of Canada as represented by the Minister of Indian and Northern Affairs, defendants, and The Anglican Church of Canada, the Anglican Diocese of Cariboo, the General Synod of the Anglican Church of Canada, the Synod of the Anglican Diocese of Cariboo and Derek Clarke, third parties (Vancouver Registry No. C886397) And between E.R.M., plaintiff, and Derek Clarke, the General Synod of the Anglican Church of Canada, the Synod of the Anglican Diocese of Cariboo, and Her Majesty the Queen in Right of Canada as represented by the Minister of Indian and Northern Affairs, defendants, and the General Synod of the Anglican Church of Canada, the Synod of the Anglican Diocese of Cariboo and Derek Clarke, third parties (Vancouver Registry No. C986621)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5"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4"/>
      <w:bookmarkEnd w:id="97"/>
      <w:r>
        <w:rPr>
          <w:rFonts w:ascii="arial" w:eastAsia="arial" w:hAnsi="arial" w:cs="arial"/>
          <w:b/>
          <w:color w:val="000000"/>
          <w:sz w:val="20"/>
          <w:lang w:val="en-US" w:eastAsia="en-US" w:bidi="ar-SA"/>
        </w:rPr>
        <w:t>Damages — Aggravation — Aggravated damages, sexual abuse — Exemplary or punitive damages — Conditions precedent (or when awarded) — Sexual assault (incl. sexual abuse) — General damages — General damages for personal injury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8" w:name="Case Summary_14"/>
            <w:bookmarkEnd w:id="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four plaintiffs, TWNA, EAJ, GBS and ERM, for damages for pain, suffering and loss of quality of life they suffered as a result of sexual assaults perpetrated on them while they were residents of provincial residential school. Liability was admitted. The defendant, Clarke, was the dormitory supervisor. He sexually assaulted EAJ and TWNA starting from when they were nine years old. The school principal, the defendant, Harding, was informed of the sexual assaults, but did nothing. The abuse was repeated many times. TWNA was continuously sexually assaulted for four years by Clarke, and ERM also suffered regular sexual abuse. GBS was sexually assaulted by Clarke approximately twice per month for one and a half years. The plaintiffs also experienced harsh treatment and verbal abuse at the hands of staff. As adults, the plaintiffs experienced difficulties with their employment and personal lives to varying degrees. They abused drugs and alcohol, and ERM attempted suicide on several occasions. Psychiatric assessments indicated that the plaintiffs had suffered varying degrees of post-traumatic stress disorder and other psychiatric conditions induced by the trauma of the abuse. The defendants argued that many of the plaintiffs' difficulties stemmed from their treatment prior to entering the residential school and that their psychological difficulties were not the result of the abuse.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9" w:name="Holdings of Court_11"/>
            <w:bookmarkEnd w:id="9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difficulties experienced by the plaintiffs prior to entering the residential school would not have caused the psychological harm now evident in the plaintiffs. The sexual assaults materially contributed to the plaintiffs' psychological difficulties. EAJ was awarded non-pecuniary damages of $150,000. TWNA and ERM were each awarded non-pecuniary damages of $140,000. GBS was awarded non-pecuniary damages of $130,000, as the assaults on him did not continue for as long a period of time. The defendants were in a position of authority and trust over the plaintiffs, who were helpless children, cut off from their extended families. The use of that authority to facilitate sexual assaults was an aggravating factor. The plaintiffs were each awarded $25,000 in aggravated damages. The defendants' failure for so many years to uncover the terrible crimes and their failure to report the matter to the police and parents demonstrated disregard for every principal of decency, which was the foundation for an award punitive damages. The plaintiffs each received punitive damages of $50,000. Each received different amounts for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0" w:name="Legislation Cited_9"/>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6"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1" w:name="Counsel_14"/>
      <w:bookmarkEnd w:id="1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P.R.A. Grant, B. O'Reilly and A.M. Early, for the plaintiffs. M.R. Taylor, Q.C., J. Mules, A. Maclure and R.S. Whittaker, for Her Majesty the Queen in Right of Canada. G.E.H. Cadman, Q.C., and H.D. Craig, for the Anglican Church of Canada. D.C. Harris and R.A. Finlay, for the Synod of the Anglican Diocese of Cariboo.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2" w:name="Judgment_14"/>
      <w:bookmarkEnd w:id="102"/>
      <w:r>
        <w:pict>
          <v:line id="_x0000_s1098" style="position:absolute;z-index:2518272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September 11, 2001. The changes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3" w:name="WILLIAMSON J."/>
            <w:bookmarkEnd w:id="103"/>
            <w:r>
              <w:rPr>
                <w:rFonts w:ascii="arial" w:eastAsia="arial" w:hAnsi="arial" w:cs="arial"/>
                <w:b/>
                <w:color w:val="000000"/>
                <w:sz w:val="30"/>
                <w:lang w:val="en-US" w:eastAsia="en-US" w:bidi="ar-SA"/>
              </w:rPr>
              <w:t>WILLIAMSON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313"/>
        <w:gridCol w:w="3346"/>
        <w:gridCol w:w="2927"/>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E.A.J.</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S.M.</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T.W.N.A.</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97</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E.R.M.</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117</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M.M.</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P.M.</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174</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G.B.S.</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184</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N.M.</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224</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333"/>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Ingrid Söchting</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Susan Penfold</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Judith Daylen</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Note on the Psychiatric Evidence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659"/>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E.A.J.</w:t>
            </w:r>
          </w:p>
        </w:tc>
        <w:tc>
          <w:tcPr>
            <w:tcW w:w="430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T.W.N.A.</w:t>
            </w:r>
          </w:p>
        </w:tc>
        <w:tc>
          <w:tcPr>
            <w:tcW w:w="430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E.R.M.</w:t>
            </w:r>
          </w:p>
        </w:tc>
        <w:tc>
          <w:tcPr>
            <w:tcW w:w="430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G.B.S.</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AGGRAVATED DAMAGES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WAGE LOSS</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CATEGORIES OF DEFENDANTS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DAMAGE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trial, as the style of cause indicates, two actions were heard together. The original seven plaintiffs in the T.W.N.A. case and E.R.M. were all resident students at St. George's Indian Residential School (St. George's) in Lytton, British Columbia in the 1960s. During the time that they were resident at the school, they were physically and sexually assaulted repeatedly by their dormitory supervisor, the defendant Derek Clarke. Many years later, Clarke was convicted of criminal offences and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Two of the plaintiffs were also sexually assaulted by Reverend Anthony Harding, at one time the principal of St. George's, now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have agreed upon the issue of liability. I will refer to that agreement in more detail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trial, four of the plaintiffs in the T.W.N.A. action settled. This trial, then, is a determination of the damages that should be awarded to the remaining plaintiffs in that action and to E.R.M. as a result of the injuries they sustained by reason of the sexual, physical, emotional and psychological abuse perpetrated upon them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Canada, of course, is a defendant by reason of its constitutional responsibility for Native Indians. The Church defendants and third parties are here because Canada contracted with the Anglican Church to administer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August of 1999, after another trial before this court involving the same individual and institutional defendants, Madam Justice Dillon found that the Church and Canada were each liable for damages suffered by a different plaintiff. See: F.S.M. v. Clarke, </w:t>
      </w:r>
      <w:hyperlink r:id="rId256" w:history="1">
        <w:r>
          <w:rPr>
            <w:rFonts w:ascii="arial" w:eastAsia="arial" w:hAnsi="arial" w:cs="arial"/>
            <w:i/>
            <w:color w:val="0077CC"/>
            <w:sz w:val="20"/>
            <w:u w:val="single"/>
            <w:shd w:val="clear" w:color="auto" w:fill="FFFFFF"/>
            <w:lang w:val="en-US" w:eastAsia="en-US" w:bidi="ar-SA"/>
          </w:rPr>
          <w:t>[1999] B.C.J. No. 1973</w:t>
        </w:r>
      </w:hyperlink>
      <w:r>
        <w:rPr>
          <w:rFonts w:ascii="arial" w:eastAsia="arial" w:hAnsi="arial" w:cs="arial"/>
          <w:color w:val="000000"/>
          <w:sz w:val="20"/>
          <w:lang w:val="en-US" w:eastAsia="en-US" w:bidi="ar-SA"/>
        </w:rPr>
        <w:t xml:space="preserve"> (BCSC), hereinafter Mowatt. In that case, liability was apportioned 60% to the Church and 40%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this case, the plaintiffs submit that there is evidence which was not before Madam Justice Dillon. The parties are nevertheless bound by the agreement on liability referred to in paragraph 3 above. That agreement states, in part, that:</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 of resolving liability in T.W.N.A. et al each of the Defendant Her Majesty the Queen in Right of Canada ("Canada") and the Third Parties, the Anglican Church of Canada, the General Synod of the Anglican Church of Canada (together referred to as "General Synod"), the Anglican Diocese of Cariboo and the Synod of the Diocese of Cariboo (together referred to as "Diocese of Cariboo") will admit liability against it as found by the trial court in Mowatt. Canada will admit liability to the Plaintiffs founded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vicarious liability, as found in Mowatt. The General Synod and the Diocese of Cariboo will admit third party liability, joint and several, to Canada founded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vicarious liability, as found against each of them, jointly and severally, as defendants in Mowatt.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plaintiff in T.W.N.A. et al will be entitled to claim damages against the Defendant Canada in accordance with the findings of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vicarious liability in Mowatt.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Contribution and indemnity as between the Defendant Canada and the Third Parties General Synod and the Diocese of Cariboo in T.W.N.A. et al for damages for any plaintiff as determined under clause two (2) will be in accordance with the determination of liability as between Defendants and as between Defendant and Third Party in Mowatt based on the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vicarious liability.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contribution and indemnity as between the Defendant Canada and the Third Parties General Synod and the Diocese of Cariboo referred to in clause three (3), above, will be subject to adjustment on the basis of the ultimate determination as between defendants and as between defendant and third party on appeal in Mowatt and, specifically, the ultimate determination of the court on vicarious liability,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to the extent applicable, and the Plaintiffs agree to be bound by such ultimate determination. Adjustment will also occur having regard to clause thirteen (13)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agreement sets out similar provisions with respect to the E.R.M. action. Paragraph 13 gives the parties liberty to apply should there arise issues of damages not common to Mowatt.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are all male and are all now in their late thirties or early forties. All were repeatedly physically and sexually assaulted during their stay at St. George's. The plaintiffs seek general, aggravated and punitive damages. They say they were robbed of their childhood, that as a result of the persistent physical and sexual abuse in circumstances in which they were virtually captives, their lives have been devastated. They say that the evidence discloses that as a result of their suffering they have had their personal and emotional lives irreparably damaged, that their income earning ability has been slashed, that they have been robbed of their cultural origins, and that their self-esteem has been virtually destroyed. They seek substantial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start with a review of the evidence called by the five plaintiffs, including their own testimony and that of other lay witnesses who testified on their behalf. I will deal in detail with the psychiatric and psychological evidence called by all parties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witness was the plaintiff E.A.J. At the time of this trial, EAJ was 37 years old. He started at St. George's at age six. He testified about his life before age six when he lived with his family on a ranch between Lytton and Lillooet in the interior of British Columbia, and about his relationship with his extended family throughout his youth. He described the home in which he lived, his recollection of his grandmother, other members of his family, and his relationships with his three brothers and four sisters. He described his close relationship with one of his uncles. Not surprisingly, he has limited memory of events before he went to St. George's. While at St. George's he was separated from his family except for his trips home every summer. He said that his mother, who had also been a residential student at St. George's, counselled him that if he was to get along at St. George's, he should mind his own business and not bother others. He was a resident of the school from age six until age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about eight or nine, he went from residing in the junior dormitory to the intermediate dormitory, where the defendant Derek Clarke was the supervisor. Dormitory supervisors exercised almost complete authority and control over the children. Dillon J. found, at p. 306,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dormitory supervisors oversaw all of the boys' activities from the moment that each awoke until bedtime except for school instruction. They were on duty for 24 hours, residing in rooms near the dormitory. Their duties included: supervising prayers throughout the day; escorting to meals; supervising daily and weekend chores; ensuring personal and environmental hygiene; supervising homework and play time; putting to bed at night; enforcing discipline; taking on outings; and ensuring attendance at church service. Treats from parents were stored and allocated by the dormitory supervisor. Discipline including strapping was done by the supervisor sometimes in the dorm and sometimes in the principal's office. Failure to follow daily prayers or attend religious services was cause for discipline.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E.A.J. testified that some months after he moved to the intermediate dormitory, Clarke arranged a work task that required him to go to Clarke's room. There Clarke sexually assaulted him for the first time. Many similar assaults followed. They included fondling of E.A.J. by Clarke, forcing E.A.J. to fondle Clarke, and anal rape. He described the latter as "making me scream - he just treated me like a dog". He testified that when Clarke "was done fucking me" he gave him a chicklet and told him not to tell anyone. He said that after the first incident, he left and went to his bed where he lay down and cried. He said he looked out the window and watched the other kids having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he felt confused and scared. He said that he felt hatred for Derek Clarke and, importantly, for his own mother. Questioned as to why he felt hatred towards his mother, he said that he hated her for "bringing me to that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E.A.J. said that he was assaulted many times but that he had no idea how many. He said that these assaults always included anal rape, and in cross-examination he said he was forced to perform oral sex. He also described physical abuse at the hands of Clarke. He was candid that these punishments sometimes followed wrong-doing on his part. He described stealing some alcohol from the principal's residence and being subsequently strapped by Reverend Harding. He also described being strapped by Clarke when he had been caught running around the hills during a time when he was not suppose to leave the school property. He said that he and the others were spanked with ping pong paddles until the paddle broke, after which the punishment continued with a slipper. During such spankings, his trousers were at his ankles. No other adults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some years, E.A.J. was taken to the office of the principal of the public school in Lytton, Joseph Chute. At this time, Reverend Harding was present. Apparently a number of children were called in to the principal's office one by one and asked if they knew anything about what Mr. Clarke might be doing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E.A.J. testified that he was asked whether Clarke was sexually assaulting him and that he told the principal, Mr. Chute, that that was true. He said that during this meeting, Reverend Harding was standing in the door between the office of the secretary and the principal's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said that as far as he knew, after that disclosure Clarke was no longer at the school. But he said that his family was not informed and nothing was done for him to assist him in dealing with the trauma he had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said that the next time he told anyone about these assaults was when he was interviewed by an R.C.M.P. officer when he was living in the Okanagan in the second half of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E.A.J. testified at length about his inability to hold a lengthy job, and about his abuse of drugs and alcohol. Fortunately, for the last nine years, after some time in a treatment centre on Vancouver Island, he has remained sober. He has not, however, found permanent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E.A.J. also testified about his difficulties in his personal relationships. He has problems with sexual matters, and has difficulty trusting those who would be intimate with him. He testified that the first woman with whom he had an intimate relationship eventually committed suicide. He then had a lengthy relationship with a second woman, by whom he had a daughter C. It was a stormy relationship which, after she learned of his disclosure of the sexual abuse at St. George's, included her suggesting that he was homosexual and that he had, while incarcerated for impaired driving, had sexual relationships with other men. That relationship eventually broke up, apparently with some acrimony including a custody battle.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1994 he has been with the same woman, his wife. She has three children by a previous marriage, and his daughter C has lived with them for the past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he now appears to be in a stable relationship, E.A.J. still manifests emotional difficulties. He has outbursts of anger against his wife and against his children which he says are brought on by nothing which is their doing. He ends these by leaving the house for some time until he cools down and eventually coming back and apologizing to his wife and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Every once in awhile, perhaps three times a year, he disappears into the mountains for three or four or as many as five days. He testified that he does this to "clear my head - to shout out my anger - to feel at peace with myself". He said the mountains are a place where he can cry by himself and no one bothers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testified that after he stopped drinking, he sat down with his mother after dinner one evening and told her that he had to deal with the sexual abuse to which he had been subjected to at St. George's. This was the first time he had discussed this with his mother. He said that he apologized to her for saying that he hated her and told her how he had blamed her wrongfully for what he had gone through. He said that that marked a change in his relationship with his mother, that he realized that he loved her and should not have treated her as he did. He said they now get along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E.A.J. still finds it uncomfortable to go into the Town of Lytton. He must do so because his mother and other members of his family live there but, he testified, he finds as many excuses as he can to avoid or to limit his stays in Lytton.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E.A.J. was cross-examined thoroughly. A number of questions put to him raised suggestions that there are reasons other than his experience at St. George's School which are causes of his difficulties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First, a number of questions were put to him about the early death of his father, when E.A.J. was five or six years old, and the impact that had upon him. Questions were put to him about his ambivalence concerning the character of his father and indeed, as to whether his father was in fact his biological father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E.A.J.'s sexual relationships with woman were reviewed in detail. Referring to his first intimate relationship, it was suggested, and he agreed, that in many respects he held himself partly responsible for her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mentioned, E.A.J.'s second serious relationship (with G's mother) ended principally because when she learned about his sexual abuse in the residential school, she "threw it in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also suggested through questions in cross-examination that E.A.J.'s difficulties in his relationship with his mother were because she disagreed with his drinking. He conceded that until about the age of 28, he was a heavy drinker and that his mother was opposed to that. He was also questioned extensively about his employment record. It was suggested that he really did not want full-time employment, rather he wished to work from time to time in order to acquire credits with respect to unemployment insurance so that he could take long periods off to pursue his own interests, including his many trips to the mountains.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suggested to him in cross-examination that a factor in his discomfort about going to Lytton was that as a young man he had been involved in frequent fights and that those with whom he had been involved still frequented Lytton and therefore were a threat to him. He denied this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was also cross-examined about the details of the sexual assaults upon him by Clarke. In cross-examination, he said that he had been forced to perform oral sex on Clarke, and that Clarke had performed oral sex upon him. The language used by the witness was more graphic than I am using here. Counsel asked him to explain why he had not said in-chief that oral sex had been involved. E.A.J. replied that he was not comfortable talking about these matters, that he hated reliving those events, and in effect he said as little as possible to get through the repetitive telling of his experience necessitated by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was also cross-examined as to why he had said that Clarke used a towel "to wipe us down" after the sexual assaults. The witness replied that Clarke "always wiped his victims down". It was suggested to him in cross-examination that to know this he must have been discussing these events with other plaintiffs or other victims and that indeed he was confusing their experiences with his. The witness said that this was not true and that he used the expression "us" to give him a sense of not going through this experience alone. He conceded that he did not really know whether Clarke used a towel to wipe other victims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Asked why he could tell this story to the elementary school principal but not to his mother, he said that it was principally because he blamed her, indeed hated her, for "signing me in and leaving me"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was also cross-examined on the distance of the ranch where he lived, 25 Mile Ranch, from Lytton and any schools. The suggestion here was that the reason that he went to St. George's was that no school was proximate to where he would have otherwise been living with his mother at the 25 Mile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re-direct examination, E.A.J. testified that neither the moving of his first girl friend from Canada when he was sixteen, nor the custody battle that he had with C.'s mother, caused him to have nightmares or caused an increase in his abuse of alcohol or drugs. Questioned about his relationship with his bosses in various jobs, and with the principal of St. George's School, he testified that he believes he does have trouble with people in authority and that one result of that is a desire to find a way to be self-employed.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denied that his discomfort about going to Lytton had to do with former drinking buddies being there, testifying that he has former drinking buddies in both Lillooet and at the Fountain Reserve but that he has no difficulty visiting those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second witness was SM, E.A.J.'s sister. She was born at 25 Mile Ranch and is two years older than E.A.J.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described E.A.J. as a happy child and described their life at 25 Mile Ranch before he went to St. George's. Certainly, the picture she painted was of a happy extended family involved in fishing, farming, and a great deal of play. She said that her brother got into no more or less trouble with his elders than did she.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went to St. George's two years ahead of E.A.J. She said that they would go home to 25 Mile Ranch for the summers. She testified that when he was around ten or eleven years old, she noticed a change in him. She said he was not as much fun as he used to be, that he kept to himself more. She said that when he had the opportunity he would go away with his Uncle rather than stay with his mother and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apparent that S.M. has dreadful memories of St. George's. She missed her brothers and sisters and although some of them were in the school, she saw very little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gave a graphic description of being taken from 25 Mile Ranch in September to the school. She said she did not want to go and tried to hold onto anything to prevent being dragged to the car. She said she kicked at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she first arrived there, she was told by a supervisor that she had to be there because they were too "isolated" where they lived. Her response was that there was no "ice" there. She said she was told that if she did not go to the school, her parents would go to jail and that she would never see them again. She described the principal, Reverend Harding, as being angry all the time. She said he banged doors and would frequently become red in the face with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testified that the staff of St. George's called the students "savages" and "heathens". She said that occasionally at the beginning of the year students would bring things, in particular, food. She said her group would bring dried fish, natives from further south would bring smoked dried fish, and that children from the north would bring dried seaweed. They would trade them back and forth. She testified that if they were caught, what they had brought was thrown into the trash can and they were told, "... that is where it belongs", that such food was what heathens ate, and that was not what they were at St. George's to learn.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said that they were required to attend church in the chapel regularly, but that she would faint or throw up from what she thought later was some sort of allergy, possibly to the incense. She said when she fainted, a supervisor dragged her out and told her that she was evil and had the devil in her and that was why she could not stay in church. She testified that the supervisor asked her if she had ever been burned and she said that she had been burned, once in the foot, around a fire when she was younger. She said the supervisor told her, "That's what it feels like when you burn in hell, except it's all over and that's where you're going." She testifies that to this day, she worries about "the devil in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also testified about the attitude of St. George's staff to native languages. Once, while listening to two other girls converse, a supervisor who observed that she was listening, smacked her on the ears and dragged her to bed. She said the supervisor hit her head on the bed rail and told her to stay in bed because she should not "listen to that kind of trash". Ms. M. cried frequently throughout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cross-examination, she said that she is still very afraid, or would be, in church but that she tells herself she does not believe in God and does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witness was T.W.N.A., one of the plaintiffs. He was born in 1956, so was 34 years old at the time he testified. He is married and has two daughters. He was one of six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spent the first years of his life at a ranch at the 14 mile mark on the same road which continues on to 25 Mile Ranch where the plaintiff, E.A.J., lived. T.W.N.A. lived with his paternal grandparents, a number of aunts, uncles and cousins. He had a good recollection of the ranch and of the activities of the children in that period. He was happy, well fed and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some years he moved briefly to Vancouver where his mother worked in a fish cannery. He lived in what seemed to be a communal house with his brother and his mother, a house that housed a number of other cannery workers. After that he went to live with his maternal grandparents at Kanaka Bar, a Reserve on the Trans-Canada Highway in the Fraser Canyon. Here again, he developed a close relationship with his grandfather, this time his maternal grandfather. There were also other members of the extended family living there. He remembers fishing in the Fraser River with his uncles and described a "friendly, warm, caring atmosphere, with a lot of joking and laughing around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said his grandparents spoke their native language but that although he understood it, and still does a little, he cannot recall whether at that age he could speak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described a rite of passage he went through with his grandfather, which essentially involved leaving him with a fire to fend for himself for three or four days in the woods. He testified as to how that incident brought him closer to his grandfather.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remembered being taken to St. George's School to enter Grade 1 and to live in the residence. He said that his mother and his aunt took him, along with his cousin J., to the school where they were met by Canon Wickenden, then the Principal. When they were taken to the dormitory, he said that he and J. cried for a long time, feeling hurt after his mother and aunt left. He said no one told him why he was going there nor how long he would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described the routine in the residential school in terms that would be reminiscent of a military boot camp. He said the beds had to be carefully made every morning before breakfast with the sheet so tight that if a dime did not bounce, the supervisor tore the bedding off and the bed had to be re-done. All students were kept from going down for breakfast until all the beds were perfect or at least to the supervisor's liking.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described the food as poor, and testified that often the breakfast, which in the junior dormitory was always mush, was often served with sour milk. Lunches were baloney sandwiches on white bread or peanut butter and jam sandwiches.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described some of the suppers and said none of the children liked them, either how the food smelled or tasted, and that sometimes he threw his dinner under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described in detail the routine in the junior school. He also described certain punishments, such as being forced to clean stairways running from the basement to the fourth floor with a toothbrush, being forced to sit in the corner in front of the class wearing a dunce's cap, and having been caught chewing gum, having the gum stuck to the end of his nose in front of the class while the teacher beat him on the fronts and backs of his hands and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first came under the control of the defendant Clarke when he moved to the intermediate dormitory in the third year he was at the school. There he was sexually assaulted. He was sexually abused by Clarke repeatedly for the next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described in detail the first time that he was assaulted. He said that after the boys had had a bath, their entire bodies were checked by Clarke to make sure they were clean. On this occasion, he was kept back while the other children were sent to bed. He said that he was taken to Clarke's room and that Clarke went into his bathroom and came out with a towel and a container of vaseline.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said that Clarke had him lie naked on the bed with his back to Clarke, that Clarke took his clothes off and got into bed behind him. He said that Clarke fondled him all over his body and kissed him all over his body. He said that Clarke then took the vaseline container and wiped some "on my bum area". He said that Clarke then took his (T.W.N.A.'s) left hand and "had me reach back" and touch his penis.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T.W.N.A. said that he felt the penis was hard although he never saw it. He said Clarke then started putting the penis between his legs, "humping me that way" and "whispering in my ear and saying, it's okay, it's okay" and that he then started to put his penis "in my bum". He said that he started to cry because it really hurt and that Clarke had him crying into a pillow. He said it all took a long time and that Clarke kept at it, "until white stuff came out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T.W.N.A. was nine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testified that for the next four years while he was in the intermediate dormitory, Clarke assaulted him as much "as he possibly could". He said generally the assaults were as he had described above, although on a couple of occasions, Clarke performed oral sex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T.W.N.A. said he never told anyone because he did not know how to talk about it. He said he did not know how to put words to what was going on. He also said that Clarke was "our supervisor, and if you said anything against the supervisor you got punished".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said in the four years living under Clarke's supervision the only period he was free of the assaults was when he was sick with mumps, then measles, and then finally the 'flu and was eventually in hospital. Once he recovered and returned to the school, he was assaulted again "until I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left St. George's in 1969 because his father showed up in June of his Grade 6 year and said that he was taking the family to Seattle. T.W.N.A., his brother D. and his father then moved to Seattle where T.W.N.A. attended junior high school for Grade 7, 8 and 9, and a senior high school for Grade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the end of Grade 10, he and D. decided to move and live with their mother, who was by then living with another man in Peschastin, in eastern Washington State. After a few months, they returned to Kanaka Bar and began attending high school in Lytton.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T.W.N.A. testified, however, that the sexual assaults by Clarke did not end when he left St. George's. He said that while he was living in Seattle, Clarke contacted T.W.N.A.'s father while visiting Seattle and took D. and T.W.N.A. out. He said that four times, twice in 1970 and twice in 1971, he was sexually assaulted in Seattle by Clarke in a similar manner to the assaults which took place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T.W.N.A. also described certain incidents of a bizarre sexual nature, that have troubled him since his experiences with Clarke. One such incident involved his breaking into a school in Seattle, lighting a number of candles, running up and down the hall masturbating, and subsequently leaving, but leaving the candles burning so that eventually the school caught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also described a period during his time in Seattle when he would insert anything round and smooth in his anus, using vaseline. He also described two incidents involving girls. The first was an incident with his sister, S., when he was 16 and she was about eight, during the time they were living in Peschastin in Washington State. His mother's common-law husband had been drinking and had frightened the children, causing them to run in various directions to escape his anger. He said that he and S. ended up together behind a tree. S. was wearing only shorts and a tee-shirt. She was scared and shaking. He said that he hugged her from behind, and then found himself starting to put his hand inside her panties. She told him to stop. 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he described an incident which occurred when he and his family had returned to the Lytton area. He testified he was walking home with a bad hangover when a female relative of his called him and said that she desperately needed a babysitter so that she could go to town to buy some supplies. She had two babies who were sleeping in a crib. He said he would baby-sit the children and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said the babies awoke and that they needed their diapers changed. He testified that he had been told where "the pampers" were and that he cleaned up the babies, but found that before he put on the new diapers he started to touch "their private area" (both were female). He said that very quickly, he said to himself, or felt a jolt of fear run through him and he asked himself, "what the fuck am I doing?" He said he put the diapers on the babies and ran out of the room shaking worse than he had been from the hangover. He said that he smoked and smoked until the woman returned and then he ran and did not tell anyone about the incident until much later when he attended a treatment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T.W.N.A. also testified the he participated in a number of "gang-rapes" of women in the Lytton area. He said this happened about four times and that in at least one of the cases he facilitated the event. He testified that he carries a great deal of shame and guilt about those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T.W.N.A. then reviewed his work history and his education history. Without going into a great amount of detail, it is clear that until he entered into his present relationship, he lived a fairly peripatetic life. He held a number of jobs, initially labouring jobs, but after completing high school, he took a number of courses which led him to family violence counselling, and counselling of young persons. He also worked for awhile assisting Band councils to document their cultural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T.W.N.A. testified at length about his relationship with his father. Although he had lived most of his life, when he was not at St. George's, with his mother, for a time he lived in Seattle (for almost four years) with his father. He described his father as friendly, social, playing the guitar and singing with family and friends in the evenings, and happy to take the children to various functions such as concerts and rodeos. However, he said that when his father was drinking, he would be mean, and on a few occasions would "cuff me around". It seems that T.W.N.A. left Seattle not so much because of his relationship with his father, but because of the violence and gang mentality of the teenagers in the area where he went to high school. As noted, T.W.N.A. left Seattle and went to Eastern Washington to live with his mother, and shortly after they returned to the Lytton area. T.W.N.A. had little contact with his father thereafter, testifying that only once since leaving Seattle did he see his father at Kanaka Bar where T.W.N.A. eventually lived. He said his father died in January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also testified about his relationship with his mother. He said that at times she was a good housekeeper, made sure that the family was provided with food, and that the laundry was done. However, she too had an alcohol problem and he said that when she was drinking these things were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the family returned to Kanaka Bar in the Fraser Canyon from the U.S.A., it appears that it was his maternal grandmother, more than his own mother, who took the main maternal role 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T.W.N.A. testified at length about his substance abuse. He said he started drinking when he was nine years old and living at Kanaka Bar, which was after the defendant Clarke had commenced his sexual assaults of T.W.N.A. He testified that from that time until 1978, he drank repeatedly and became involved in drugs. He also said that from 1978 to 1985, that is to say from age 22 to 29, he did not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in 1985, after he separated from a woman with whom he had had a lengthy relationship, he started drinking again. He continued to drink until December 1986, at which time, for a number of reasons, he came to understand that he had to stop using drugs and alcohol in an abusive way. In January 1987, he attended the Round Lake Treatment Centre and remained there until mid-February of the same year. Since that time he has been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T.W.N.A. testified at some length about his relationship with R.A., his present wife, which commenced shortly after he completed the Round Lake program. They have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testified about his love for her, but also that he sometimes has "a hard time with her" which he says comes from his jealousy of her previous relationships and from his inability to talk about his sexual relationship with her. He says that he is never comfortable discussing his sexuality.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blames this on his abuse at St. George's School. Indeed, he says that the residue of the sexual abuse has had a major impact upon his family life and continues to do so. With some emotion, he described what he perceives as his failure to be a good parent to his daughters. He said he wants them to have a normal life and that they cannot because, as he put it, "I don't know how to be a parent". He says that there is so much anger and rage in him, "so much garbage" that it interferes with his parenting. He says it is difficult for him to play with his children or to have them physically close. He says that only recently has he been able to talk to them about how they are doing in school. This he relates in his mind to the abuse visited upon him by the defendant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T.W.N.A. stresses the difficulty which he has with authority figures. For example, he testified that he was frightened of the counsel for both the Church and Canada who were present in the courtroom. He blames this irrational fear of authority figures upon the repeated sexual abuse which he suffered at the hands of authority figures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T.W.N.A. said that as a result of the assaults upon him, he has suffered all his life from nightmares. He said that after the assaults commenced, he was subject to bed-wetting that continued into adulthood. He testified that when he wet the bed at St. George's, the supervisor, the same Derek Clarke, "would stuff my face in the wet sheet" in front of the other intermediate boys who, he said, all laughed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also said that as a result of these assaults and the distress which they caused, he was unable to concentrate on his school work and, in his view, that had an impact upon the quality of his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cross-examination, T.W.N.A. testified about his relationship with his wife, R.A. He described his family as now "very close". As had been the case with the first witness, E.A.J., T.W.N.A. was cross-examined about other traumatic or troubling events in his life which it is suggested may have contributed to his present psychological condition. Thus, his relationship with his father, including his father's use of alcohol and occasional physical punishment, was explored. The alleged infidelity of his mother was also explored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one point, T.W.N.A. responded very angrily that it was the sexual, physical, and emotional abuse he suffered at St. George's that was responsible for his present condition. He said it was wrong to suggest that by now he has recovered, and that he, in fact, "has a very long way to go". He said that he had "literally been taken away from his parents, from his cultural identification". He said that they "took everything and sexually abused me". He denied that he had been abandoned by his parents, testifying that he believes they had no choice. He was also very definite that the word "parent" included his grandparents and his extended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When a statement in examination for discovery that his parents had abandoned him "big time" was put to him, he countered saying that he had his grandparents, a response which I inferred illustrated the cultural difference between a society that purports to enshrine the nuclear family and a culture that is characterized by close-knit extended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Asked whether his schooling at St. George's had prepared him appropriately for later school and subsequently for work, he replied that it had "barely". The cross-examination continued on rather minuscule points. T.W.N.A. was challenged because he had said in-chief that the first time he was raped by Clarke was after the evening bath and he had been told to remove his towel, whereas in examination for discovery, he had said that Clarke had "removed all his clothes". Having testified that after the anal rape his "bum hurt", he was cross-examined on whether he had seen a doctor because of the pain. He was also challenged about his statement that when he had masturbated in Seattle he had "freaked out" when he saw the ejaculation, because if he had been raped by Clarke, as he testified, he must have known about seminal fluid. I found such cross-examination less than helpful to any attempt to grasp the horrific effect of these repeated rapes of nine and ten year old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Cross-examination also brought out his drug use, the fact that an incident which he described in a Seattle theatre was in an adult theatre although he was not an adult at the time, and that he had committed some other offences, including the fire about which he had testified, and some shoplifting.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was also cross-examined at length about his relationship with his stepfather and the fact that the stepfather had been violent towards him. He agreed that he had said in discovery that his stepfather had "beat the shit out of him" and was alcoholic and violent. But he also testified that once his stepfather found out about the school abuse, he was "very, very sorry and apologized to me". He said this occurred after his session at the Round Lake Treatment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Counsel attempted through cross-examination to demonstrate that T.W.N.A., in fact, had lost neither his cultural roots nor his language. He was referred to a chant which he had performed in court the previous day as an example. T.W.N.A. responded by testifying about steps that he has taken to re-immerse himself in his cultural heritage.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Cross-examination by counsel for the Anglican Church sought to bring out parts of the St. George's experience that were "enjoyable". Thus, T.W.N.A. was asked whether he had participated in Cubs and Scouts, played sports, picnicked, fished and hiked. He agreed that he did these things and that there were some enjoyable times. While the response to such questions serves to underline the honesty of the witnesses, the content cannot minimize the effect of the rapes.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T.W.N.A. was also taken through various counselling records in which there were suggestions that he had felt abandoned by his parents. He conceded that the Church had provided counselling for a couple of years for victims of the St. George's experience. He also conceded that he had told counsellors that in his life there was "no consistent parental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re-direct examination, he said that although the Church provided counselling in Lytton for about two years in the mid-90s, he only attended a couple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next witness was T.W.N.A.'s wife R.A. Their relationship commenced in 1988, and they married in November 1989. They have two daughters, born in 1990 and 1992, and Mrs. R.A. is a teacher at Lytton Elementary School. They live by the Stein River on Reserve property in a five bedroom house, which they have lived in since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Mrs. R.A. testified that they have a stable relationship which, in her view, will continue. As she put it, she is in it to stay. It was clear from her evidence that she is deeply committed to her husband. She described the relationship, however, as a roller-coaster, although she testified that there are "enough good times to outweigh the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described T.W.N.A.'s relationship with his daughters, and with three other children who lived with them for lengthy periods of time. She described their residence, which sits on a one-acre parcel of land, in detail. She said there is a large garden with plants, vegetables, fruit trees, and herbs. She testified that T.W.N.A. has built a sweat lodge on the property and that there is a playground or child space. She described it as a "full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Her description of drying fruit and meat, canning, drying and freezing food, was reminiscent of T.W.N.A.'s description of his childhood prior to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described in some detail T.W.N.A.'s sexual inhibitions. In particular, she emphasized that he is extremely shy about his body and has difficulty being naked around other people, including her. She says that he showers compulsively. She also said that he is obsessed with the relationships which she had with other men before she met him. Further, she says that he fails to understand the boundaries of physical contact with women other than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She stressed that he has never hit her physically as, she testified, he knows that if that happened she would leave him. However, she said he has flashes of fierce anger in which he swears at her or the children profusely. She testified that he is a different personality in public than he is at home. This has caused some stress in their relationship because in the community he is seen as a counsellor and healer, frequently helping other people to deal with the difficulties in their lives. Mrs. R.A. sees this as somewhat hypocritical and while she supported these activities on his part in the beginning, she has come to not support them until such time as he can deal with the problems in his own relationships. She described a number of instances in which he reacted inappropriately, in her view, incidents ranging in time from early in their relationship to during the course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objected to some of this evidence, suggesting it was evidence of her feelings which were not relevant to damages in this case. However, I permitted this evidence because, in my view, it came squarely within those points in the pleadings dealing with the alleged impact of the physical, emotional, sexual and psychological abuse at St. George's upon T.W.N.A.'s ability to have intimate relationships, or to relate to people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Mrs. R.A. testified that when T.W.N.A. has his angry outbursts, she quickly separates the children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Asked about whether he talks in his sleep, she said that she has never heard him scream but that she does hear words like, "help me" or "no". She also described what she called "a strange scream" which he makes while sleeping with his mouth closed, a scream she described as way back in the throat but loud enough to wake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With respect to his employment, she said that when he starts a new job, or a new contract position, he always attacks it with great enthusiasm. She said that at those times he is full of energy, but that eventually he loses his enthusiasm for a particular position and begins to look for something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Questioned about the therapy which the two of them have undergone together, and which he has undertaken on his own, she said that it is of some help to him. She pointed out, for example, that since January 1, 2000, he has had weekly, rather than monthly, therapy and that in general he has been calmer.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Mrs. R.A. testified that he has taken her to many of the places that he remembers from his childhood, locations such as 14 Mile Ranch, Kanaka Bar, and places in the Stein Valley. She said, however, that he has never taken her to the site of St. George's although it is only about seven minutes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cross-examination, Mrs. R.A. said that there are not too many times when T.W.N.A. is not under stress of some sort. She said that she cannot be sure how stressful he finds his work because she has asked him not to discuss his counselling cases with her, fearing a breach of confidentiality. But she did say that "all his jobs are stressful" and that he uses music as a release from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said good times with him are usually associated with being away from the community of Lytton. So, for example, she described him being happier and them being happier together when visiting 14 Mile Ranch, the west coast of Vancouver Island, her grandparents' home in Washington State where they have summer vacations, or the Stein Valley. She said that while some of these places are only 14 or 15 miles from Lytton, they are not within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Mrs. R.A. says that T.W.N.A. sometimes talks of moving away from Lytton but that they have not done so as it is her view that his troubles would simply follow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She was asked if she agreed that it is men more than women, in her experience, who tend to be violent or, at least, verbally violent, or prone to outbursts of anger and rage. She said that she thought that was so but that the people in her life who exhibit that anger are First Nations people who attended residential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Mrs. R.A. testified about her knowledge of Ruby Dunstan, the sometime Chief of the Lytton Band who, earlier evidence had alleged, had made life difficult for T.W.N.A. Mrs. R.A. said that, in her view, Ruby Dunstan was trying to show him to the community without his mask. She said that her actions have been a stress to T.W.N.A. but she, Mrs. R.A., seemed to dismiss Dunstan's impact by saying that she is another person who attended residential schools and, as a result, is angry, lashing out without thinking things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testified that this court process has been part of T.W.N.A.'s stressors for the whole 12 years that she has known him (the proceedings were commenced in 1988). She testified that she has never known him without the stress of these proceedings and that she finds it difficult to separate the proceedings themselves from the stress caused by him having to stand in public and repeat in detail what happened to him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a number of points in her evidence, she testified about the impact of the residential school on the entire community. For example, when asked if she had been advised by counsellors that she and her husband should take time alone without their children, she said they had received such advice but the difficulty was in obtaining appropriate child care. She said that child care "in the wounded Lytton community" is a difficult problem. She said it is hard to find a home free of alcohol and its attendant violence, or without a sexual offender present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Mrs. R.A. said that her daughters are doing well in school, but she exhibited considerable concern about her oldest daughter, who she described as a perfectionist, who has "zero self-confidence" as she feels her father does not love her. She testified that her daughter's striving for perfection is an attempt to obtain her father's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next witness was the plaintiff E.R.M., who was 46 years of age at the time he testified. He was at St. George's for eight years from 1961 to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Prior to going to St. George's, he was raised by a large extended family in the community of Nahamanak, or the homestead as I should perhaps describe it, which is on the west side of the Fraser River across from Siska, a community about eight miles south of Lytton.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Nahamanak, he lived with his mother and father, his grandparents, at least two uncles, a number of his siblings (he was the youngest of eight) and a number of cousins. Using an aerial photograph of the area which was an exhibit in the proceedings, he described in considerable detail the homestead with its four gardens, its proximity to a fishing site on the Fraser River, and its separation from Siska on the west side of the river. In order to go from Siska to Nahamanak, one drove a car down to the station on the Canadian National Railroad, walked a path to the Canadian Pacific Railway line, and walked across the Fraser River via the railway bridge. One then walked through a railway tunnel and finally along a path to the clearing where the homestead was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said that the extended family was largely self-sufficient, with four gardens in which they grew vegetables (which were preserved and canned), and with ample fish caught in the Fraser River during the Adams River run which were dried, or canned and stored. He recited a number of memories of incidents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described his relationship with his father as somewhat distant as his father spent a lot of time working for the railroad, where he worked throughout his working life, and said that when he was home he was working in the garden or fishing. He said as a small child he wasn't permitted to go down to the fishing site at the river, although he was when he was older. He said that his relationship with his mother was somewhat similar to that with his father as there was "not much interaction" between us. He said this was because she had a house full of children, grandchildren, nieces and nephews and that she therefore worked all day doing domestic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described the close relationship that he had with one of his grand-uncles who lived on the homestead, and described several memories of that uncle.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also said that at that stage of his life his parents and his grandparents spoke to him in the Thompson language. He said that he understood it, and that they rarely spoke to him in English. However, he said that when his older siblings came home from St. George's, they spoke to him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summary, he described his life at the Nahamanak homestead, prior to as he put it "them coming to get me to take me to St. George's" as happy and filled with a large extended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recalled his first arrival at St. George's when he was about six years old. He did not understand when he arrived that he would be left there and after he realized it he cried, saying he wanted to go home. His mother was not among the group that took him to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described in detail the various dormitories, of which he said there were four: the junior, the junior intermediate, the senior intermediate, and the senior dormitories. He spent the first two years in the junior dormitory.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 described a number of the teachers and staff, some of whom were very nice to him and of whom he has fond memories, and some of whom were mean. He described disturbing incidents involving those who were mean. For example, he testified that when he arrived back in the fall, darker skinned because of having spent the summer in the sun, one teacher refused to believe he was clean, took a scrub brush, and scrubbed him until his arms were sore, all the while, calling him a "dirty Indian".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was when he was in the junior intermediate dormitory, about three years after his arrival, that he first met Derek Clarke, the supervisor of that dormitory. At that time he had never been sexually abused. Derek Clarke sexually abused him. He described in detail the events which would always take place after the evening bath. The boys, wrapped only in a towel, were always inspected by Clarke to see whether they were clean. He knew, if he were put to the back of the line-up, that he had been singled out to spend time with Clarke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first time it happened, he was taken to Clarke's room where a towel was spread out on the bed. He was told to lie down on the towel. He did not know what was going to happen. He said on that first occasion, Clarke kissed him, touched him "all over" and took the boy's penis in his mouth. He said he had a bristly beard and that it felt like sandpaper.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E.R.M. testified that the second time Clarke went further, repeating what he had done before, but this time Clarke applied vaseline to the boy and to himself and attempted anal intercourse. Apparently it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said from then on, this abuse took place two or three times a week for a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E.R.M. testified that during these incidents, he would look out the window and "disappear" by which he said he meant that in his mind, he would go away so as not to have to be there. He said he felt confused, scared and ashamed and that he didn't want to tell anyone because he feared if he did, they would not have anything to do with him, that they would feel it was his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also said that, in all other respects, he liked Clarke who was kind to him, taking him on weekend excursions and providing him with candy.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disclosed these incidents only after he attended at the Nechako Treatment Centre in about 1995. He did not report the matter to the police until the winter of 1996-1997.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 said that after that first assault, he never wanted to go to St. George's. He said that when he was away from the school, and was returning, he'd cry as soon as he came over the hill and saw the school. He told his parents and his extended family that he didn't want to go to the school but he never told them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After he left the school in 1969, he never returned until 1999, when he visited the site. The school had since burned down. The chapel still stands, he testified, although it is not used. He said that he went into the chapel and found it scary because it had been out of bounds when he was a student and he was "looking over my shoulder" expecting a priest to admonish him. To his surprise, despite its abandoned and dirty condition, it still smelled as it had the last time he was there in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with other witnesses, he testified as to the food which was served at St. George's and how he did not like it. He said "I guess I was always hungry" and described incidents of breaking into the root cellar, or vying to assist the bakery truck driver when he came, in exchange for donuts.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E.R.M. testified that he began drinking during the years he was at St. George's, although it was at home during the summers when his whole family drank and partied. He developed a serious alcohol problem until he eventually quit drinking in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 described in detail the incident that led him to quit drinking, an incident in which he destroyed his brother-in-law's car on the same day that his brother-in-law became intoxicated and died as a result of becoming sick and filling his lungs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also testified that he was a victim of a second series of sexual assaults by one Brigden, who was a counsellor at Kumsheen Secondary School which E.R.M. attended in the mid-70s. This abuse happened during a year which he lived with a number of other boys in Brigden's residence. He said it happened two or three times a month on weekends, always when there was "a lot of booze and pot flying around". He said that during these incidents he was always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 then described his sexual relationships with women from his first encounter when he was 13 or 14 through a number of women until he entered into a relationship with his now wife in about 1981. They began to cohabit in the winter of 1982-1983, subsequently married, and have been together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E.R.M. is a qualified journeyman carpenter. He described his education in some detail including, eventually, after considerable experience and various courses working in the carpentry area, following a four year work and course program at Cariboo College leading to his obtaining his journeyman's certificate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Throughout the 80s and early 90s, he worked off and on as a carpenter. However, he testified that as a journeyman, he has been unable to find work as the employers prefer to hire less qualified people and pay $10 an hour instead of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In-chief, E.R.M. testified about what he called his difficulty with people in authority. He reviewed his employment record, and named a number of his bosses or supervisors and set out the reasons he had difficulty with them. He said that he frequently became frustrated and angry with them, that as a result of the experience at St. George's he simply did not like or was unable to accept people who constantly told him what to do and how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 also testified about his relationship with his children and, with some emotion, described how he struggles in that relationship. He finds it difficult to be sympathetic to them and often becomes angry with them, even when they have hurt themselves. He pointed out that when they are in difficulty, they always go to their mother and never to him. He says that he cannot hold them. When they are hurt, he treats them the way he was treated at St. George's, which is to say that when they get hurt, his response is "Why weren't you watching what you were doing?" and so forth, a response he describes as typical of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 also described at some length his relationship with his wife, a relationship that started in 1981 or so, and, as he put it, "got serious" in the winter of 1982-1983. He said that in the early part of the relationship in the mid-1980s, they drank a great deal, partying every weekend or at least twice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said when they were drinking, the relationship was characterized by verbal abuse, and on at least one occasion he physically pushed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After 1985, the time when they both quit drinking, he said there were still, and are still, frequent arguments. He testified that she wants him to do things - to get a job, to spend more time at home. He said that his response to this is similar to his response to those in authority and jobs. He resents her telling him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also described how he is obsessively angry and jealous about her relationships with other men. He always thinks she is "fooling around", an obsession that echoes the testimony of Mr. T.W.N.A.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E.R.M. also described at length what he called his abnormal sex drive and his mistreatment of his wife sexually. He testified that their sexual relationship is characterized by him getting what he wants regardless of what she wants. He said that he has no idea of "what my role as a man is", and that it never "dawned" on him how he should conduct himself as a man sexually, a problem that he said remains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 also testified about three incidents in the lives of his children involving sexual abuse. He said there have been two occasions when his son was sexually abused, and one when his daughter was sexually abused. All three of the incidents, he testified, have been extremely difficult for him because he was "watching and hearing what" his children were going through. He said these incidents caused him to be aware of and to recall that which he did not want to remember, that is to say, how he was abused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He described about half a dozen incidents when he attempted, or came close to attempting, suicide. On at least two of these occasions, he ended up in the hospital. He described in some detail not caring what happened - not caring if he died. He said he has been ashamed and felt those around him would be better off if he were dead. He testified that he was "ashamed of the pain I've caused my family". He added "...these are the people I love and they are the ones I was hurting".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Towards the end of examination in-chief, he gave a concise statement of what his experience at St. George's, including the sexual assaults, has done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hate people in authority. ... in the residential school we were always told what to do. We had chores and we had to do it seven days a week, ten months a year and it was every day, we never got a rest. We always had chores we had to do. We had to do it. We had to do it. And I hated it. I hated it because they were - they'd tell us when to go to bed, they would tell us when to wake up. They would tell us when to eat, what to eat, what to wear, what to do in school - I - it's pissing me off just talking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went on to describe the continuing effect of the residue of the sexual assaults upon his family: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wish I could tell you what it's like - it's a hard one for me to describe. Because I want her I guess in a sense a lot of times I want her [his wife]to spend a lot of time with me, to hear what I have to say, to hear that I love her, and my sexual experience, my sexual relationship with her is it's my way or the highway. In the relationship that I have with [his wife] it's everything that I say has got to be my way. No compromise, no middle ground or nothing. It's my way or the highway. And it's been like that throughout the 18 years that we've been together. And for my children, my oldest daughter is 13. It really hurts, it really hurts when I see other men playing with my kids. It really hurts because I can't do that with my children. Because I'm always scared that I'll harm them or I'll abuse them. That when my kids ask me for a hug I - it makes me feel uncomfortable. Or when they ask me for help I tell them go see mom or I ignore them. And it's hard. It's hard because everything that I'm doing to my children has been done to me. And I see that. But I don't know how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was cross-examined by counsel for the Diocese and he agreed he couldn't remember ever being eager to learn. He said that this was right from the start of St. George's, well before the incidents with Derek Clarke. He described relationships he had with other boys at the school, and some things that he enjoyed about the school, although I took from his evidence that anything he enjoyed was rather lukewarm.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Cross-examined about things he had said to Dr. Daylen (an expert who assessed him on behalf of the defendants, and who testified), he agreed that he told her alcohol was supplied to him by family members. He said that when he first left St. George's, he drank "wherever the booze was, wherever a party, I drank to get drunk". He also talked about the death of a number of males close to him: a close friend, his brother-in-law, and another friend who died in a motor vehicle accident. The object of this cross-examination appeared to be to establish that he had difficulty making male friends because of these deaths and a resulting fear that if he became close to people he would have to suffer their loss. He agreed he may have said something along this line to Dr. Daylen. But he also made it clear that it is men to whom he has a difficult time getting close, a difficulty which I understood him to imply arises from the abuse he suffered at the hands of a man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He conceded that alcohol has played a destructive role in his life with women prior to his present relationship. He also testified that the sexual abuse he sustained subsequently at the hands of Mr. Brigden would not have occurred had he not been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E.R.M. also said in cross-examination that he told Dr. Daylen he dropped out of Grade 12 due to "drinking and partying" and that for the same reason he failed the track program at Cariboo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also said he told Dr. Daylen that he never felt "unconditionally loved" except by his wife, and that two of his sisters had attempted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E.R.M. was also cross-examined by counsel for Canada. He discussed his drumming and agreed that the demands on him by the community with respect to drumming sometimes interfered with the time he could spend with his family. He agreed that he and his wife had talked of relocating but that they concluded that would be robbing their children of their extended family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 became angry during this cross-examination, exclaiming that 20 of his 46 years had been robbed by the Church and the State. That, he said, was almost half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said that he has a hard time understanding his mother, who speaks little English, because his family and way of life were taken from him. While his older brothers and sisters learned their native language from their grandmother, she died before he could have that benefit. He said that his family was not able to pass it on to him as they were separated by the residential school system and in effect taught to give up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agreed that after an incident at the Bonaparte Reserve involving intoxication and a gun, he was made a ward of the court. His mother and sister were present at the court proceedings which resulted. But, he testified, that at the time of that event, no family member was able to offer to support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said that his level of anger, which interferes with his family relations, can be triggered by stressful events. He agreed that his wife's family does not like him and that he has had "run-ins" with a couple of members of her family. He is upset, he said, by the demands which his wife's family places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 testified that he had always had concerns about his wife's fidelity, but he said that "today, I trust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re-direct examination, he said that both of his sisters who attempted suicide had themselves attended residential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M.M., E.R.M.'s mother, was called as a witness. She was born in May of 1914, and testified through an interpreter in the Thompson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She described life at Nahamanak with her family prior to E.R.M.'s attendance at St. George's. She said that she moved there in 1928 when she moved in with her husband, whom she married in 1929. She described their farm and their self-sufficiency and said that they produced everything except flour, sugar and salt. Her husband worked steadily for the C.N. Railway for most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She testified that her husband drank once in awhile but never when working. She said that he worked six days a week for the first part of the marriage and then eventually five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Asked why she sent her children to St. George's, she said that when the older children first went, the Indian Agent had come to her and told her that they all had to go and that if they didn't, she risked going to jail. She said that because she was afraid of the Indian Agent she only had to be told that once, and that thereafter she always let the children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She said that during the ten months that the children were at St. George's, other than holidays, she only saw them about four days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She became very emotional when asked if, after E.R.M. started at St. George's, he changed. She testified that after he went to the residential school, he was all right for awhile but they then started to see a significant change. She said that he didn't listen to his family members anymore. She said "that's when I lost my son" and said that she and her husband "have a lot of hurt because they were doing what they were doing and we lost our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M.M. was not cross-examined. In submissions, I understood counsel to suggest that it was for reasons of compassion that this was so. In any case, the result is that her evidence concerning E.R.M.'s life before St. George's is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next witness was P.M., E.R.M.'s wife. She was born September 30, 1966 and met E.R.M. in 1981 at a pow-wow. They were friends for about 18 months before they started going out. She was still in high school. She said it was 1983 when "we fell for each other." They moved in together with E.R.M.'s sister for about two months at Skuppah and eventually moved to E.R.M.'s mother's house in Siska. She said that at the beginning of their relationship, things were okay, but that after awhile, E.R.M. got into drugs and alcohol and the relationship deteriorated. She described in some detail the anger with which E.R.M. sometimes treats her and frequently treats their three children. She said that in the early years, he would "drink to get drunk." She also said that he was very controlling and throughout the 1980s he made all the decisions. She said that about three years ago, his controlling behaviour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She also described at least two occasions in which she knows he was unfaithful to her. She reviewed their sexual relationship in some detail and described his sexual needs in a manner reminiscent of T.W.N.A.'s wife's description of her husband's needs. P.M. also confirmed what her husband had said - that is to say, that their sexual relationship was one that was geared to meet his demands regardless of her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is apparent, despite the problems P.M. described, that she is determined to make the marriage work. She said when they married in 1982, and indeed even before they were sexually active, she knew they would always be there for each other no matter what. She intends to stand by him because "my love for him in my heart is just and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She also described his suicide attempts, and in particular, the incident when he took sleeping pills (about which he had testified) when she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She also made a strong statement about the impact upon her and her children which she believes resulted from the abuse her husband sustained at St. George's. She said that her children were innocent and didn't ask to be treated the way they were by their father nor, she testified, did her husband ask as a child to be treated as he was at the residential school. As she put it, "my kids were born into this residential garbage".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She described two incidents in which her husband physically assaulted her. She said that sometime after each he apologized and said he would never do it again. This was before a period in which they separated for about nine months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She said she knows that it is the sexual abuse at St. George's School that has caused her husband to be the way he is because, among other things, he told her during one of the suicide episodes that his problems were all "in this book". The "book" was a notebook in which he had written that he could not handle things in his life and in which he went on to describe the sexual abuse he had suffered at the hands of Derek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Finally, P.M. testified that as a child, she lived in the home of alcoholics. As a result, she has consumed alcohol only six times in her life. She testified that alcohol was "never for me" and said that "raised with alcohol around her every day" she grew "to hate that way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Asked if her husband had talked to her about his experiences at St. George's, and specifically whether he had mentioned Derek Clarke, she said that he first discussed those incidents with her in about the fifth year of their relationship. She said that whenever he discussed it, he always mentioned Derek Clarke by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P.M. was cross-examined only briefly. She said that when her husband first told her about St. George's School, he did not mention sexual assault. She said it was probably about a year after the first mention of St. George's that that topic came up. She testified that her husband had also mentioned Mr. Bridgen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final plaintiff to testify was G.B.S. He was one of the original plaintiffs who commenced the action in 1988. Born in 1961 in Lytton, he lived with his family on Indian Reserve 17, not far from Lytton. He went to Lytton Elementary School for Grades 1 and 2. He failed the latter and repeated the year. At the beginning of Grade 3, he went to the residence at St. George's, although he continued as a student at Lytton Elementary School. He did not fail any other grades, and graduated from Grade 12 in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has no recollection of his father, but lived at Indian Reserve 17 with his mother and seven of eight siblings (one brother had died in infancy).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G.B.S. was a very soft spoken and cautious witness. He paused long before answering questions, and a number of times, when discussing the assaults he suffered at St. George's, he broke down in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Although he did not remember his father, there were two step-fathers in his life. He described both of them as "treating us [the children]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He said that, at times, he recalled his mother drinking with others when he was young, but that it was not too often. He doesn't remember her as being violent, although he says she got loud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family had contact with his mother's brothers frequently. One of those brothers is E.A.J., one of the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His recollection is that he was enrolled in St. George's School because he had been missing too much school. When he was first enrolled, he was in Grade 3 at Lytton Elementary School and was placed in the junior dorm. In Grade 4, he was moved to the intermediate dorm and was there for Grades 4 through 6. In Grades 7 and 8 he was in the senior dorm.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 recalls his first impression of St. George's and says that the environment was very different and from what he was used to and that he was afraid. His brother was in the same dormitory. Another brother attended the school later, but they were never in the same dormitory.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Although he doesn't recall the names of the dormitory supervisors in the junior dormitory, he does remember being frightened and homesick.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When he moved to the intermediate dorm, he had heard about Derek Clarke. He said that Clarke would spank students with a large leather slipper, with their pants pulled down. He said that happened to him once when he was found in a place which was out of bounds.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He said at first he thought Clarke was just like the other supervisors - not too bad. However, sometime after Christmas, during his first year in the intermediate dorm, he found himself assigned to the weekend chore of cleaning Derek Clarke's room. The first time this happened, he said Clarke followed him into the room and started "to feel me up around my privates". He said that he was scared and did not know what to do. However, that was all that happened and Clarke left. He said nothing like that had ever happened to him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weekend chores were assigned by the boys entering their name opposite one task on a sign up sheet. One of the tasks was to clean Clarke's room. G.B.S. found that Clarke had filled in his name opposite that chore. About the third time he had to do the task, Clarke followed him into the room. He said that Clarke grabbed him from behind, and then told him to take his clothes off and lie on the bed. He said he was scared and did as he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He then said he felt Clarke lying on top of him with no clothes on. He said that Clarke rubbed vaseline on his bottom and "had sex with me". He said that Clarke had an orgasm.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G.B.S. testified that he went blank. He said "I went to a different place - I wasn't there - my mind wasn't there". When G.B.S. gave this testimony, he was literally shaking in the witness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He said that afterwards Clarke gave him a towel, told him to clean up, and let him go. He said he went back to the dormitory, lay on his bed and cried himself to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These assaults were repeated for a period of one and a half years. He said that at first the assaults in Clarke's room took place about twice a month, but later were reduced to about once a month. Each time, Clarke entered G.B.S.'s name opposite the task of cleaning Clarke's room. G.B.S. said he tried to avoid that job by signing up for different jobs, but Clarke would change the names on the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On one occasion, G.B.S. was assaulted by Clarke away from St. George's. This took place when he was taken to Vancouver by Clarke, with four or five other boys, on a weekend outing. The boys stayed in Clarke's room or apartment which he had in Vancouver. Clarke put the other boys in one room, and assaulted G.B.S. in the second room in the same manner as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G.B.S.'s response to all this was to feel scared, alone, ashamed, and hurt. He said at times he blamed himself and asked what he had done to deserve that treatment and what he could do to stop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one attempt to stop going to Clarke's room, he took his name off the chore list where Clarke had entered it. As a result, Clarke made him clean the urinals in the washroom with a tooth brush.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Finally, G.B.S. simply stayed at home rather than returning to St. George's. It was as a result of this, that the Principal of St. George's, Rev. Harding, went and spoke to the Principal at Lytton Elementary School, Mr. Chute. Chute called G.B.S. into his office to ask him why he had not been returning to the residence. He said that at that time he told Chute and Harding what Clarke had been doing. He couldn't remember his exact words, but said he remembered saying that Clarke had "bum holed" him. He said he understood that to mean "two guys having sex".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He said that Harding told him not to return for a couple of weeks but then to come back to the residence. He remained home for two weeks and when he returned to St. George's, Clarke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said that Harding and Chute did nothing further to assist him. They offered no help, no counselling, and did not tell his mother or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G.B.S. does not drink. He formerly did. His first experience with alcohol was in the dorm at St. George's residence, but he said that that happened only once. However, from Grades 8 through 12, he drank regularly on weekends, drinking to the point of passing out in order, he said, to "blank out the assaults". After Grade 12, his drinking gradually decreased until he stopped in 1985 or 1986, when he first became a father and was told by one of his older brothers that as he now had family responsibilities, he should "smarten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He experimented with marijuana during his high school years but said that the drug did nothing for him and he stopped using it before he quit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G.B.S. described a number of flash back situations where events or things reminded him of the assaults he had sustained at St. George's residence. He said that he did not do well in high school because he has always had a fear of adult teachers and it took a long time for him to accept them. Once he did, he managed to pass but it was too late, he testified, to do really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After graduating from high school, he worked briefly for Lytton Lumber Mill in 1982 and then returned there in 1984. He has worked for the same employer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He has also had one steady relationship since becoming an adult. He said the woman with whom he has lived in a common-law relationship for some 15 years was his first girlfriend. He said he first noticed her in high school but they did not get together until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 said that his common-law wife is the only woman with whom he has ever had a sexual experience, and in fact, the only other sexual experience he has had was the assaults suffered at the hands of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He says that he talks to his wife a lot, but not about Derek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He says that as result of his experience with Clarke, he is not outgoing and prefers to do things at home. He is concerned that he holds his boys back, because he keeps them with him rather than letting them go out in the world to do things, out of fear that what happened to him will happen to them. He remains, he testified, nervous among strangers or nervous among groups of people in small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He testified the worst thing in his life was the sexual abuse inflicted upon him by Derek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G.B.S. was cross-examined by counsel for Canada. He said that as a young child, before St. George's, he shared a bedroom with a number of members of his family, and his bunk bed with his younger brother A. He said that at times, the older siblings looked after the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His younger brother was eventually apprehended (presumably by Social Services personnel) and died while he was still under the care of that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Questioned about whether his family was "impoverished" he said he would not use that word to describe his family. "We had enough money" he said. He conceded the house had no bathroom, the family had no car, and the children had few store bought toys.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He said that while living at home, he walked to school which was about half a mile from his home. He said at first, his mother walked him to school but subsequently he walked with three of his older brothers. He said that he often missed school at Lytton Elementary in the winter because of weather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As with other witnesses, a number of things he allegedly said to Dr. Daylen were put to him. He agreed that he had said many of those things, but denied saying some of them. He implied that Dr. Daylen misunderstood some things such as the friendship he had with a girl from St. George's after the two of them had moved on to high school. That unfortunate young woman died in a fire. G.B.S. testified, however, that by that time they were not really close. He also denied that he had told Dr. Daylen his mother did not demonstrate physical affection.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G.B.S. was also cross-examined about the "incidents" with Derek Clarke. The point of the cross-examination seemed to be to demonstrate that there was no, or minimal, violence. G.B.S. said that Clarke did grab him and put him on the bed, but he did not allege in-chief or in cross-examination any further acts of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He testified that the assaults by Clarke have always been with him and he denied that he had told Dr. Daylen that as an adult he rarely remembered what had happened to him at the hands of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He conceded in cross-examination that when his first child was stillborn, it was upsetting both to him and to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re-direct examination, G.B.S. repeated that there were a number of other things which Dr. Daylen reported him as saying which he did not say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G.B.S.'s wife, N.M., testified. She was born in 1967. She never attended St. George's, but went to school in Lytton until partway through Grade 10. She has been G.B.S.'s common-law wife for about 15 years. They live on the west side of the river across from Lytton on Reserve land. They have four children, three boys and a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N.M. testified that G.B.S. distanced himself from the babies and would not have much physical contact with them. The caring of the children was left to her. She testified that now that the children are older, he has more to do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Her description of their marriage was somewhat different then G.B.S.'s. He said that he talks a great deal with her. She said that communication is one of the difficulties in their marriage. She says that because of the poor communication, because he is too controlling, because they argue about money, and because of her view that he yells too much at the children, she has from time to time considered leaving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She said that G.B.S. does not like her to go out or have relationships with other people. He does not attend her family gatherings with her and the children. His circles of friendship, she implied, are limited to his own family. She participates in his family gatherings.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cross-examination, she conceded that he loves all the children, that he does play with them and does help them with their school work. She said, however, that he does not appreciate that she "works" when she stays home to care for the children while he works at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She also said that he has a tendency to spoil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PSYCHIATRIC/PSYCHOLOGICAL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Ingrid Söchting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Ingrid Söchting testified on behalf of three of the plaintiffs. She was retained to do an assessment and to prepare a report setting out her impressions of the psychological status and functioning of E.A.J., T.W.N.A., and E.R.M. She was asked in particular to set out her opinion on the extent to which the psychological, physical and sexual abuse they sustained at St. George's have contributed to what problems they may now have. She also recommended specific avenues of therapy for each of these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Söchting has a Ph.D. in Clinical Psychology. She was educated in Denmark and France, and obtained a Diploma in Psychology from the University of Copenhagen in 1986. She went on to obtain her Bachelor of Arts, Master of Arts, and Ph.D. at Simon Fraser University. She became a member of the College of Psychologists of British Columbia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her various reports she set out that since 1994, she has specialized in the assessment and treatment of anxiety disorders including post-traumatic stress disorder. She has designed and implemented treatment programs in hospitals, developed and implemented post-sexual trauma treatment plans for First Nations people, and implemented such programs in the Lower Mainland and Northwestern British Columbia. The material shows that she is familiar with several aspects of First Nations' cultural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Söchting was challenged in a determined fashion in cross-examination. She acquitted herself well. She was adamant that her conclusions were based not only upon the utilization of various recognized psychological tests, but principally upon her clinical assessment based upon an interview and the review of collateral information. She impressed me as a careful witness who responded directly and candidly to questions put to her on cross-examination. In short, I found her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For example, she was challenged as to why, knowing that the plaintiff T.W.N.A.'s mother had consumed alcohol around the time of his birth, she did not pursue the possibility of fetal alcohol effect. She was clear that she did consider such a possibility, but that her clinical judgement based upon her observations confirmed by collateral information led her to conclude that pursuing that aspect would not be worthwhile.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Similarly, when questioned about why she did not include in her report the fact that two sets of psychological tests had been conducted for one plaintiff, Dr. Söchting gave a plausible explanation. She said that the first test had been administered in a partly unsupervised fashion, leading to an invalid result. The subject was re-tested and the results of that test were also invalid. She testified that it was inappropriate to compare or discuss two sets of invalid results. However, she did inform counsel that there had been two incidents of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She testified that she included everything in her report that she understood the court would be required to know, that is to say, every relevant fact underlying her opinion. I am satisfied that this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As a third example, counsel pressed her on the fact that although the American Psychiatric Association's Diagnostic and Statistical Manual of Mental Disorders, 4th edition, (the "DSM-IV") describes a diagnosis for post-traumatic stress syndrome, there is no diagnosis in that document for partial post-traumatic stress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Throughout her report, and in her testimony, Dr. Söchting had used the latter. She testified that it was true that the DSM-IV does not include a partial category. But she said as the literature in the area used such a nomenclature, in her view it would be wrong to pay no attention to specific symptoms because they were not sufficient in number, or listed in particular groups, and therefore did not come within a specific diagnosis in the DSM-IV. I found this approach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E.A.J. was assessed by Dr. Söchting. She interviewed him for six hours and had him complete the Minnesota Multifacit Personality Inventory (MMPI) and the Trauma Symptom Inventory (TSI). She also reviewed a number of other documents including his statement to the RCMP in 1987, and various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Although on the tests E.A.J. produced a valid profile, Dr. Söchting was of the view that these results should be interpreted with caution because the subject disclosed an unusual number of psychological symptoms. She concluded that he had suffered from a complex trauma reaction as a result of the abuse he suffered, in particular at the hands of Clarke. She described a complex trauma reaction as similar to post-traumatic stress syndrome but broader. She concluded, however, that he did suffer from post-traumatic stress disorder (PTSD) and that he had, as a result of the assaults sustained at St. George's, been profoundly damaged in his psychological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She said that as a result of his PTSD, he attempted to distance himself from his inner turmoil by using alcohol, engaging in risky behaviour, and by a rigid and inflexible approach to work and leisure.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She attributed these characteristics to the combined effects of the sexual abuse at St. George's and the lack of social support for him at the time, as well as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She was of the opinion (challenged vigorously by counsel for Canada) that had E.A.J. stayed longer in his home environment, maintaining regular contact with his family and culture, it is highly unlikely he would have developed his present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Söchting also assessed Mr. T.W.N.A. She interviewed him for five hours in November of 1999. In January of 2000, she had him complete the MMPI and the TSI. She also reviewed collateral information including T.W.N.A.'s statement to the R.C.M.P., some other psychological reports from 1989 through 1991, some educational transcripts, and medical records. She found that T.W.N.A.'s test results were invalid due to his responding in an exaggerated manner. She testified, however, that "invalid" results still had some value to her in her assessment, demonstrating that he is a person in "great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She concluded that the results disclose that he is "a person who feels overwhelmed by their trauma and feels uncertain about their identity and internal psychological state". She also said that his high score on one of the scales reflects the fact that he is having "unwanted thoughts both about his own abuse but also about the anti-social acts he committed that cause him distress and guilt".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Söchting concluded from the data she obtained through the interview and the TSI that T.W.N.A. has suffered or suffers from major depressive disorder in remission, a number of specific difficulties, and a partial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As noted elsewhere, Dr. Söchting said that while "partial" post-traumatic stress disorder is not a diagnosis, it is used as a term to facilitate communication among health care professionals when a patient meets several but not all of the DSM-IV criteria for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Dr. Söchting concluded that the abuse suffered by T.W.N.A. at St. George's caused him to suffer several psychiatric disorders which interfere with his functioning, and cause him distress and embarrassment. She set out a number of treatment recommendations, and concluded that with appropriate treatment, his long term prognosis is "fair to good". She was positive about his insight into his difficulties and the resourcefulness that has led him to seek psychological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third plaintiff assessed by Dr. Söchting was E.R.M. She interviewed E.R.M., administered and assessed psychological tests, and reviewed a number of relevant documents and clinical records. In her interview, she observed a "mild form of dissociation, and reported "much crying as he spoke about his low regard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reviewing his history with Dr. Söchting, E.R.M. reported that while he experienced some verbal abuse from his parents when they were drinking on weekends, he did not experience any physical or sexual abuse. He also described his close relationship with his grand uncle. He recounted his experiences with Clarke, and his lack of any reporting of that abuse until he went to a drug and alcohol treatment centre in l995.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Söchting concluded that E.R.M. attempted to cope with the sexual abuse by dissociating, but that over time the effects of that abuse led to "a slow erosion of his positive self" to the point where he became suicidal. She was told of three suicidal incidents, and concluded E.R.M. remains at risk for suicide. She also concluded that but for the sexual abuse, E.R.M. would not have become severely depressed, and would not have abused alcohol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She summarized her findings in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psychological, physical and sexual abuse suffered by [E.R.M.] at St. George's has been detrimental to his formation of a healthy and positive sense of self. It has also caused him to suffer from several psychiatric disorders which to this day continue to interfere with his life. Most importantly, his depression due to a belief that he is the cause of the problems in his family, places him at risk for suicide. In addition to a number of psychiatric disorders, he has also suffered damage often seen in victims of prolonged and severe childhood sexual abuse. This damage includes, but is not limited to, suicide attempts, revictimization, parenting deficits, and attempts to regulate his inner emotional state by acting out his frustrations. Hence, it is apparent that the sexual abuse has profoundly damaged him as a person. At present, he externalizes his inner tension by forcing sexual activities within his marriage. He has not recovered from any of his problems. Although he has demonstrated an ability to refrain from alcohol use, he has relapsed several times, and remains at risk for a relapse especially as he has to confront his abuse during the litigation process. It is my opinion that he was not particularly vulnerable to develop the problems he currently has in the absence of having gone to St. George's and been a victim of severe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Partly because she considers E.R.M. a serious risk for suicide, Dr. Söchting recommends five years of therapy, including two years of family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Susan Penfold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Penfold was retained on behalf of the plaintiff G.B.S. to conduct a psychiatric assessment and to provide an opinion concerning the psychological impact of the sexual abuse sustained by him while a student at St. George's. Dr. Penfold is a Professor in the Division of Child Psychiatry at the University of British Columbia. She qualified in England as a physician in 1960 and registered with a specialty in psychiatry in British Columbia in 1967. In her report, she stated that a major focus of her practice is "assessment and treatment of the effects of child sexual abuse throughout the lifespan".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She took a personal history from G.B.S., and reviewed his medical, educational and occupational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factors, which in her opinion, should be taken into account when considering the impact of sexual abuse upon a child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child's pre-existing adjustment; the age when the abuse began; the relationship of the child to the perpetrator; the severity of the abuse; the duration and frequency of the abuse; the use of force or threats by the perpetrator; concurrent physical or psychological abuse - not necessarily by the perpetrator; the degree of captivity and helplessness of the child; the availability of adults for nurturing, support and guidance; the availability of parent or caretaker support at the time of disclosure; the child's perceived need to keep the abuse secret.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Much of the evidence in the trial related to the above list of factors. With respect to G.B.S., Dr. Penfold review hospital records which showed a number of hospital admissions as an infant. Dr. Penfold thought that his multiple hospital admissions in the years before he entered St. George's, as well as the financial stresses in his family and his mother's drinking, may have had an effect upon him. After reviewing the above factors as they pertain to G.B.S., Dr. Penfold concluded that he suffers from post-traumatic stress disorder, a personality disorder, and alcohol abuse in sustained full remission. She stated that in her opinion "it is obvious that [G.B.S.] is still vastly influenced by the trauma of sexual abuse". She described his social relationships as characterized by an isolated lifestyle, testified that he is intimidated by authority figures, and that he needs help to develop relationships in which he is not afraid to communicate his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She found that G.B.S. was deprived of consistent parenting "from his mother or other extended family members". She said that as people learn to parent from their own parents or parent figures and as G.B.S. largely missed this experience, he has difficulties in parenting his own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While recognizing that G.B.S. has a stable job, she noted that his position as a lumber stacker is susceptible to lay-offs or technical change. She concluded, therefore, that he required occupational and vocational therapy to prepare him for the possibility of having to change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She also recommended, given the PTSD, personality disorder, and alcoholic past, G.B.S. would need six months to a year off work to follow a course of appropriate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her summary, she stated that G.B.S. was "badly damaged" by the prolonged sexual abuse in circumstances in which he was captive in the residential school. She reported that all areas of his functioning have been affected. She included in these areas psychological health, social skills, his marital relationship, his parenting and other family relationships, as well as his spiritual beliefs and occupational and vocational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add here that Dr. Penfold was subject to a sustained attack by the defendants because of her admission that she herself is a survivor of sexual abuse. Having reviewed her responses to this line of cross-examination, as well as her reports and the submissions of counsel on this point, I am not persuaded that that fact is such as to render her opinion invalid. In short, I reject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Judith Daylen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Judith Daylen was retained by the defendant Canada to provide an opinion on the likely impact of the sexual assaults committed upon the four plaintiffs during their time at St. George's. Dr. Daylen is a Clinical and Consulting Psychologist who specializes in Forensic Psychology. For each plaintiff, Dr. Daylen reviewed a considerable body of materials including pleadings, psychological files from earlier assessments, examinations for discovery, medical records, educational records, and so forth. She also conducted a lengthy interview with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She was alert to the fact that, as these assessments were done in the context of civil litigation, there were possible biases in reporting because of potential financial gains or vindication. She testified, however, that she found no such problems or biases with any of these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Daylen was also concerned about discrepancies between some of the plaintiffs' descriptions of their experiences in the interviews when compared and contrasted with evidence given in the various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With respect to the plaintiff E.A.J., Dr. Daylen considered his relationship with his extended family prior to his attendance at St. George's critical. She was particularly concerned about his relationship with his mother and stated in a report that it is questionable "whether or not he had formed a strong bond with her" prior to his attending the residential school. In cross-examination, however, she conceded that if his sister's evidence (SM) was correct, then E.A.J.'s testimony that he felt safe and secure in his early family home is more consistent with his having formed an appropriate bond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Nevertheless, after reviewing her interview notes and test results, and observing that while E.A.J. exhibits an oppressed mood as well as anger, hostility and resentment, she concluded that any difficulties in his psychological functioning are "primarily due" to factors other than the sexual abuse. She did agree that the sexual assaults have "negatively affected [E.A.J.'s] self-esteem and self-perception". She found that his history of substance abuse is due primarily to factors other than sexual assaults. She recommended a psychiatric consultation and a consideration of anti-depressant medication. She recommended "approximately 50 - 75 one hour sessions" being made available to him over an extended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Daylen also assessed T.A. She conducted a lengthy interview with him, reviewing his history in considerable detail, and conducting psychological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considering the impact of the sexual assaults upon T.W.N.A., it was her opinion that his experiences within his family of origin played a major role in his psychological development. She wrote that "it is unclear to me how the context (i.e. the St. George's Residential School) in which the sexual assaults occurred may have contributed to the impact of the sexual assaults" other than to note that he was in effect in a captive situation. She conceded that these circumstances "have likely contributed to some extent" to his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her opinion, T.W.N.A. initially responded to the abuse with anxiety, but over time he accepted the abuse as being "normal". Dr. Daylen testified that this acceptance reduced the impact of those assaults. It was also her view, however, that the sexual assaults have played a role in T.W.N.A.'s ongoing experiences of anxiety, anger and paranoia. Her principal conclusion is that T.W.N.A.'s psychological concerns "relate primarily to other factors" [other than the sexual assaults] including his negative experiences, as she saw them, with his family of origin. It was also her opinion that the sexual assaults had "little causal significance, in regard to his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her assessment of E.R.M., which also involved a review of his history, a lengthy interview, and psychological testing, Dr. Daylen concluded that E.R.M.'s psychological difficulties relate primarily to "deeply ingrained dysfunctional aspects of his personality". She does not assign a significant causal role to the sexual assaults in regard to his suicidal tendencies, perhaps because she assumed, for the purposes of her report, that E.R.M. experienced only two incidents of sexual assault - incidents that she said included fondling and kissing, one incident of fellatio and one incident of attempted anal intercourse. E.R.M. testified at this trial that after the first attempted intercourse, the assaults continued about twice a week for a couple of years. For reasons set out in paragraphs 284(??) and 285 below, I accept his testimony and reject her assumption of two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She also notes that, because E.R.M. has engaged previously in therapy which has not been particularly effective, it may now be counter-therapeutic for him to engage in further therapy focussed upon his history of abuse. She does recommend further psychiatric evaluation to consider the use of medication to treat his ongoing "depressive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 Daylen conducted a similar evaluation and assessment of G.B.S. She reviewed documents, reviewed his personal history, assessed his psychological status and conducted psychological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She concluded that while G.B.S. experienced considerable stress and anxiety related to the sexual assaults at the time, he developed a capacity to deal with these matters and to put them to the back of his mind. She concluded that he currently does not suffer any diagnosable medical disorder. She found, however, that he continues to experience anxiety when reminded in some way of the sexual assaults and that he continues to experience embarrassment and shame over them. She concludes that bringing closure to this matter is "likely to be therapeutic" for G.B.S.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Note on the Psychiatric/Psychological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Fourteen years ago in Sengbusch v. Priest </w:t>
      </w:r>
      <w:hyperlink r:id="rId257" w:history="1">
        <w:r>
          <w:rPr>
            <w:rFonts w:ascii="arial" w:eastAsia="arial" w:hAnsi="arial" w:cs="arial"/>
            <w:i/>
            <w:color w:val="0077CC"/>
            <w:sz w:val="20"/>
            <w:u w:val="single"/>
            <w:shd w:val="clear" w:color="auto" w:fill="FFFFFF"/>
            <w:lang w:val="en-US" w:eastAsia="en-US" w:bidi="ar-SA"/>
          </w:rPr>
          <w:t>(1987), 14 B.C.L.R. (2d) 26</w:t>
        </w:r>
      </w:hyperlink>
      <w:r>
        <w:rPr>
          <w:rFonts w:ascii="arial" w:eastAsia="arial" w:hAnsi="arial" w:cs="arial"/>
          <w:color w:val="000000"/>
          <w:sz w:val="20"/>
          <w:lang w:val="en-US" w:eastAsia="en-US" w:bidi="ar-SA"/>
        </w:rPr>
        <w:t xml:space="preserve">, at p. 40, McEachern C.J.S.C. (as he then was), observed that too often expert witnesses, competent to give opinion evidence, provide opinions in areas in which the court with proper assistance from counsel is able to reach a proper conclusion upon commonplace problems. In Sengbusch, the Chief Justice quoted Dickson J. (as he then was) in R. v. Abbey, </w:t>
      </w:r>
      <w:hyperlink r:id="rId258"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at p.42: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expert's function is precisely this: to provide the judge and jury with a ready made inference which the judge and jury, due to the technical nature of the facts, are unable to formulate.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am not ruling, as occurred in Sengbusch, that the expert evidence is inadmissible. Rather, I have in mind in considering the psychiatric and psychological evidence the caution with which courts should reflect upon such testimony. I consider the views expressed in Sengbusch apposite.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particular, I mean no disrespect to the medical witnesses in this case when I venture to suggest it would be commonplace for any reasonably informed trier of fact, having heard the evidence in this trial, to conclude that there would be significant psychological problems resulting from repeated sexual assaults upon children over a lengthy period of time by figures of authority in circumstances where the children are in effect held captive away from their families or extended families. I venture further to suggest that whether the psychological status of a particular plaintiff meets the precise criteria for a particular diagnosis as set out in the DSM-IV usually will have little impact upon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question, rather, is has the psychological impact of the sexual assaults upon these plaintiffs significantly interfered with the quality of their lives? If the answer be yes, they are entitled to be compensated. This is so whether they suffer from rigidly described medically defined post-traumatic stress syndrome, a personality disorder, depression, or none of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have, of course, listened with care to what the expert witnesses had to say. I have read and reread their reports. I have noted that each has tended to render an opinion more favourable to the party who retained them. I have observed that as a result, the plaintiffs have attacked the defendants' psychologist for "minimizing" the psychological impact of the sexual assaults upon the plaintiffs. In turn, counsel for the defendants have attacked the plaintiffs' psychiatrist because she herself is the survivor of sexual abuse, and the plaintiffs' psychologist because she was prepared to point out symptoms that did not group themselves in the appropriate clusters permitting a "diagnosis" according to the DSM-IV.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the result, I accept much of what each of these expert witnesses said, but I do not accept all of it. This, if it need be said, is what a trier of fact is entitled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While I am not prepared to accept submissions of counsel that any of these experts deliberately "slanted" their opinions (or as counsel put it, became "advocates"), I have concluded that generally speaking, where the psychiatric/psychological evidence called by the plaintiffs conflicts with that called by the defendants, I reject that of the defendants and accept that of the plaintiffs. My finding in this respect is based, among other things, upon four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First, it is apparent from the evidence of these plaintiffs and other witnesses such as their spouses or other family members that they all suffer, to a greater or lesser degree, significant psychological difficulties which impact constantly upon the quality of their lives and the lives of members of their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Second, common sense dictates that children who have been subjected to the horrific sexual assaults suffered by the plaintiffs at St. George's would be left with manifest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Third, Dr. Daylen consistently emphasized the importance of the parent-child bond and, in contrast to Dr. Söchting, failed to appreciate or to accept the importance in native communities of the extended family. I conclude that she thus misconceives the nature of these plaintiffs' family experiences prior to attending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Fourth, I find that Dr. Daylen's account of the history of some of these plaintiffs is inaccurate and, in particular, that her reports omit evidence which I find significant. For example, concerning the plaintiff E.R.M., she observed that there was an inconsistency in his evidence in that in discovery, and subsequently at trial, he estimated that the sexual assaults occurred two to three times a week over a two year period. She contrasted this with his "distinct memory" reported to her of one or two incidents of sexual assault. She then assumed that E.R.M. experienced only two incidents of sexual assault and based her opinion in part upon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She testified that, if it were determined that numerous incidents over two to three years had occurred, her analysis would differ. I am unable to ascertain precisely how often E.R.M. was sexually assaulted, but I find as a fact upon the evidence, that he was assaulted many times more than the two incidents accepted by Dr. Daylen. As all of the medical witnesses agree with the common sense conclusion that the duration and frequency of the assaults is an important factor, this assumption alone renders Dr. Daylen's opinion about E.R.M. less helpful than Dr. Söchting's.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am also troubled by Dr. Daylen's decision not to include what came to be known in this trial as the "flag" incident in her report on G.B.S. She testified that sometime after she had conducted her interview of G.B.S., he contacted her telling her he wanted to discuss something that was of importance. It turned out that he had a flag that had been given to him by Derek Clarke and which he had kept all these years. He told her that he did not know what to do with it. The fact that this flag was causing G.B.S. such distress that he felt compelled to return to the psychologist retained by the defendants about this issue more than two decades after he was assaulted (and given the flag), would seem to be of some psychological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Similarly, in assessing the significance of the incident involving the plaintiff T.W.N.A. breaking into a school in Seattle and setting it on fire, Dr. Daylen omitted to mention that during this incident, he reportedly ran up and down the school hallways masturbating. This bizarre sexual behaviour is of significance in the circumstances of this case and warrants at least some consideration in relation to the sexual assaults sustained by T.W.N.A. and the possible sexual dysfunction resulting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This is not to say that I reject all of Dr. Daylen's evidence. I do not. Rather, it is to say that in some important respects I reject her evidence and accept that of Dr. Söchting or Dr. Penfold.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 add that the preoccupation of the medical witnesses with the pre-St. George's period of these plaintiffs' lives as children assumes considerable importance in light of the defendant's submission that it is essential to consider the quality of life that awaited these plaintiffs had they not attended residential school and been sexually assaulted by Clarke. In short, Canada, supported by the Church, says the plaintiffs' early lives were characterized by dysfunctional families, ill health, alcoholism, violence, poverty and abandonment. Thus, it is suggested that the quantum of damages should be reduced, as they would have grown up with significant difficulties regardless of what happened at St. George's. This is consistent with Dr. Daylen's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I find this submission troubling. As has been repeatedly emphasized by the Supreme Court of Canada, the Crown has a fiduciary obligation towards native peoples and indeed that "the honour of the Crown" is at stake in its dealings with native peoples: R. v. Marshall, </w:t>
      </w:r>
      <w:hyperlink r:id="rId259" w:history="1">
        <w:r>
          <w:rPr>
            <w:rFonts w:ascii="arial" w:eastAsia="arial" w:hAnsi="arial" w:cs="arial"/>
            <w:i/>
            <w:color w:val="0077CC"/>
            <w:sz w:val="20"/>
            <w:u w:val="single"/>
            <w:shd w:val="clear" w:color="auto" w:fill="FFFFFF"/>
            <w:lang w:val="en-US" w:eastAsia="en-US" w:bidi="ar-SA"/>
          </w:rPr>
          <w:t>[1999] 3 SCR 456</w:t>
        </w:r>
      </w:hyperlink>
      <w:r>
        <w:rPr>
          <w:rFonts w:ascii="arial" w:eastAsia="arial" w:hAnsi="arial" w:cs="arial"/>
          <w:color w:val="000000"/>
          <w:sz w:val="20"/>
          <w:lang w:val="en-US" w:eastAsia="en-US" w:bidi="ar-SA"/>
        </w:rPr>
        <w:t>. In effect, Canada is arguing that it did such a terrible job of fulfilling its constitutional and fiduciary responsibilities to native people, that what happened at St. George's made little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Could a person purporting to be in the role of a parent who sexually assaulted his or her child or step-child and was subsequently sued by that child, argue successfully that prior to the sexual assaults taking place he or she provided such a terrible environment in the complainant's home and life that the sexual abuse made little difference? I think not. It is disquieting that Canada, supported by the Anglican Church, has raised such a defence. Nevertheless, given the fundamental principles underlying the assessment of damages, I must consider these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plaintiffs seek damages for the pain, suffering and loss of quality of life they have sustained and continue to suffer. They say they have experienced severe psychological dysfunction as a result of the sexual assaults perpetrated upon them at St. George's. They submit that as a result, their education, vocational experience, and family and social interactions have been impaired. They claim substantial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Two difficult issues arise. The first is what part of the plaintiffs' present psychological status can be said to be caused by the sexual assaults? Second, can they claim for the sexual assaults only, or are the other deprivations and insults they experienced at St. George's compensible?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With respect to the first, I have already set out that the defendants say that the primary causes of the plaintiffs' difficulties are to be found in the quality, or the lack of quality, of their lives before they attended St. George's. They also point to tragic incidents in their lives after St. George's as causal events contributing to current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In Athey v. Leonati, </w:t>
      </w:r>
      <w:hyperlink r:id="rId26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 court held that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presence of other non-tortious contributing causes does not reduce the extent of the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fundamental rule has always been that if the wrong (here the sexual assaults) alone caused the plaintiffs' psychological dysfunction, the defendants are liable. However, where other non-tortious factors are involved, Athey set out three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Applied to this case, those propositions are as follows. First, if the plaintiffs' current psychological difficulties would exist regardless of the sexual assaults at St. George's, the defendants are not liable. Second, if both the sexual assaults and other traumatic life events were necessary, in combination, to cause the plaintiff's psychological dysfunction, the defendants are liable. Third, if the sexual assaults and the other traumas were each in and of themselves sufficient to cause the psychological harm, then the question arises whether upon a balance of probabilities the sexual assaults materially contributed to the harm. If so, the defendants are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In paragraph 15 of Athey, the court noted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 so long as that contributing factor is something more than "de minimus".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An example of the application of these principles in a sexual assault case where non-tortious factors were present is M.M. v. R.F. </w:t>
      </w:r>
      <w:hyperlink r:id="rId261"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(C.A.), a case involving the sexual assault of a female child by her step-brother. In that decision, Donald J.A., who wrote the minority judgment, considered Athey. He set out the fundamental rule that the plaintiff is entitled to be placed in the position in which she would have been had the tort not occurred. He went on to hold (Esson and Cumming JJA. agreed with Donald J.A. on this point) that even if there had been non-tortious causes that contributed to the plaintiff's condition, the plaintiff would be entitled to full recovery from the defendant so long as the tort was a "material contribution" to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The pre-St. George's experiences of the plaintiffs would be relevant only if at the time they entered St. George's it was already apparent that their present psychological status was inevitable. This could be demonstrated if the evidence disclosed that the plaintiffs, at the time they first entered the residential school, were suffering a "manifest and disabling condition". See: Pryor v. Bains and Johal </w:t>
      </w:r>
      <w:hyperlink r:id="rId262"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The defendants have failed to persuade me this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For reasons I will discuss below, I conclude that while one can point to some unfortunate aspects of the plaintiffs pre-St. George's lives, these difficulties fall far short of a demonstrated manifest and disabling condition. Indeed, some of them could well fit the de minimus description, by which I simply mean that, when compared with the enormity of repeated sexual assaults upon captive children, they pale in significance. But more importantly as the legal test is not one of comparison, I find the evidence fails to persuade me that these pre-St. George's experiences would have caused the psychological harm now evident in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defendants seize upon a number of early childhood events they say demonstrate a failure in parenting by the plaintiffs' fathers and mothers. For example, with respect to E.A.J., they note that on one occasion when he was four months old, he was left in a car overnight, that he has no recollection of his father (who died when he was very young) or of the family home, and that he does not recall his grandmother's name. The defendants also point to post St. George's events which they submit evidence psychological trauma. To suggest these difficulties somehow render what happened to E.A.J. and the other plaintiffs at St. George's School an insignificant matter in a child's life and subsequent development is less than persuasive. I conclude that these pre-school and post-school experiences did not lead inexorably to the plaintiffs' current psychological status. If I were wrong in this conclusion, it would not resound to the benefit to the defendants, for I conclude without doubt that the sexual assaults at St. George's materially contributed to the plaintiffs' post St. George's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The second issue to which I have referred in paragraph 293 above concerns the Limitation Act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Before that act was amended in 1992, all of the claims in this action would have been statute barred. The amendment changed the law so that a cause of action based upon misconduct of a sexual nature, which occurred while the complainant was a minor, is not subject to any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Because of that change in the law, the plaintiffs are entitled to be compensated for any damages resulting from the sexual assaults. While a court may take into account the circumstances in which those assaults took place when considering the quantum of damages, or in relation to aggravated or punitive damages, (which I have done below) I am not here assessing damages for the cultural destruction suffered by native peoples as a result of the residential school system, as just or deserving as such compensation might be. I am limited, as a court must be, to assessing damages for the wrongdoings which the Limitation Act recognizes as permitted causes of action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turn to the individual plaintiffs. I will consider non-pecuniary damages for each of the four plaintiffs first. Then, I will turn to the topics of aggravated damages, punitive damages, income loss for each plaintiff and cost of future care in the order in which they testified: E.A.J., T.A., E.R.M., and G.B.S.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E.A.J., now 39, resided with his extended family at 25 Mile Ranch on the west side of the Fraser River before he entered St. George's at the age of six. While one might be sceptical of the joys of pastoral life sung by counsel, I am satisfied that he had a reasonably good childhood before St. George's, a life characterized by positive relations with his extended family, a lack of violent discipline or punishment, and by successful efforts by that family to provide for themselves through farming and fishing. This is evident not only from his own testimony, but from the testimony of his sister. There is scant evidence which would lead one to conclude he had a manifest disabling condition at age six. I find as a fact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 also reject the submission that the perception that his father committed suicide had a significant impact upon him. First, there is no evidence that his father did commit suicide. What little we know is equally consistent with accidental drowning. Second, there is no evidence the thought that his father may have committed suicide arose when he was a child. While Dr. Daylen may have accepted this, I am bound by the evidence heard in this trial and do not accept opinions based on facts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am satisfied that the sexual abuse was a significant factor in E.A.J.'s later abuse of alcohol. He testified that he drank "to forget about" what he went through at the residential school. This is important, for Dr. Söchting concludes he drinks because of the sexual abuse and is depressed because of the sexual abuse. Dr. Daylen concluded he is depressed because he drinks. While it is difficult to separate the source of depression, I accept E.A.J.'s testimony that a major reason he abused alcohol was to blank out the rapes.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also accept, as found by Dr. Söchting, that E.A.J.'s tendency to isolate himself is a result, in the main, of his treatment at St. George's, and that it has had a significant impact upon him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find it important in assessing damages to consider the fact, which I accept, that from the time he was first raped by Clarke, he hated his mother. He testified he hated her because he blamed her for having put him into St. George's and therefore into the place where these events happened. It was years before he came to accept her innocence, and began to restore his relationship with her, a matter which he said has troubled him greatly.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Dr. Söchting found that the sexual assaults: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profoundly damaged his psychological development. It has caused him to suffer from several psychiatric disorders which to this day continue to interfere with his life. Most significantly, his active POST-TRAUMATIC STRESS DISORDER prevents him from talking about his sexual assaults due to both a fear of being overwhelmed by the memories, and a fear of not being able to trust the person he confides in. Instead of confronting therapeutically his sexual abuse, he has developed various maladaptive ways of coping with it. These ways include, but are not limited to, attempts to distance himself from his inner emotional turmoil by using alcohol, reckless driving, unannounced escapes from people who care for him, and a rigid and inflexible approach to both work and leisure including cultural activities. These ways are consistent with several, but not all, aspects of SCHIZOID PERSONALITY DISORDER and an OBSESSIVE-COMPULSIVE PERSONALITY DISORDER. While these personality traits can be conceptualized and appreciated as a tormented mind attempting to cope with otherwise overwhelming emotions and situations, they significantly reduce the quality of his life. It is my opinion that he was not especially vulnerable to develop these particular personality styles in the absence of having suffered the sexual assaults at St. George's, and I attribute their development to the combined effects of having endured the sexual abuse and not having had social support at the time, and later, to assist him in dealing with the effects of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Dr. Daylen found that E.A.J. continues to experience "clinically significant psychological difficulties that cause him distress and interfere with his day to day functioning", and conceded in cross-examination that it is likely he suffers from PTSD. However, in her report she concluded that, while the sexual assaults have contributed to and exacerbated E.A.J.'s "personality dynamics ... I do not believe that they constitute the primary causal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accept Dr. Söchting's opinion that the combined effect of the sexual assaults and the lack of support at the time are the major cause of his current psychological problems. I find the importance of the sexual assaults alone, given all of the circumstances, to be more than that caught by the expression "having made a material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assess non-pecuniary damages at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T.W.N.A., now 35, spent his early childhood at a ranch 14 miles from Lytton, living with an extended family. That history is set out above, beginning at paragraph 49. Counsel for T.W.N.A. describes his pre-St. George's life as "a positive experience, lived in a communal environment, with his extended family on the farm and in the surrounding area". Counsel concedes, however, that T.W.N.A. has unpleasant memories of the period during which the family lived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defendants characterize T.W.N.A.'s pre-St. George's life as seriously at risk. They point to T.W.N.A.'s father's alcoholism, and his risking his children by driving them in a car while drunk, as well as the father's inconsistent presence. They point to an incident of T.W.N.A. observing his mother committing adultery.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There is no doubt T.W.N.A.'s early life had its unhappy periods and that he was exposed to inappropriate behaviour. But T.W.N.A. also recalls close and affectionate relationships with grandparents and an uncle. Certainly, he has positive memories of his life at Kanaka Bar, living with a grandmother he testified he called "mom". He remembers fishing and preserving fish with his grandparents and uncles, and describing those adults as "caring". He testified that "there was a lot of laughter and jokes around the table during meal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conclude that, despite some difficult periods, T.W.N.A. was happy and well cared for at Kanaka Bar in the period before he entered St. George's. But at the same time, I recognize, as do Drs. Söchting and Daylen, that there was a chaotic aspect to his pre-St. George's life which put him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Counsel for the defendants submit T.W.N.A. went to St. George's because his parents drank excessively, were violent, and had separated. But that is also likely why he was living at Kanaka Bar with his extended family. Counsel point out that there was no school at Kanaka Bar, and that Lytton was 14 miles away. That is the evidence. It can hardly ameliorate what happened to T.W.N.A. at St. George's. Nor can evidence that, in some respects, St. George's provided T.W.N.A. with many enjoyable activities and gave him an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T.W.N.A. was sent to St. George's School in grade one. He was first assaulted by Clarke when he was nine years old. These assaults continued for four years, and only ended when his father decided to take the family to Seattle. Of course, as noted above, he did not escape completely, for Clarke followed him to Seattle and assaulted him again in l970 and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While there are some inconsistencies in T.W.N.A.'s memory of and testimony about these many assaults, I reject the suggestion that his description of the assaults and his reaction to them is unreliable. His difficulty in remembering these painful incidents, and in particular their frequency and duration, is not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T.W.N.A. drank excessively as a teenager. He stopped such drinking in l978, but again began drinking excessively in 1985 and in l986, entered the Round Lake Treatment Centre. He has not consumed alcohol since. There can be little doubt, however, that these lengthy periods of abusing alcohol have had an impact upon his life. I think it significant the evidence is, he first drank at age nine, shortly after he was first sexually attacked by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 find these repeated sexual assaults over a lengthy period have had a major negative impact upon T.W.N.A.'s life. His wife's testimony, which I found compelling and which in the main I accept, confirms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Mrs. T.W.N.A.'s testimony is also consistent with the opinion of Dr. Söchting, set out in paragraphs 243 and following above, conclusions which are significant given the fact that Dr. Söchting was careful to consider the significance of an early childhood marked by "by multiple caregivers and alcohol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Dr. Daylen agrees that T.W.N.A. has "suffered negative psychological consequences associated with the sexual assaults" he sustained at St. George's. However, she is of the opinion that T.W.N.A.'s current psychological concerns relate "primarily to other factors", in which she includes his early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With respect, I have no doubt in concluding upon the evidence that the sexual assaults upon T.W.N.A. as a child by a figure in authority from whom he could not escape, and for a long period of time, are the primary cause of his problems since he left St. George's. These factors contribute materially to his current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As both Drs. Söchting and Daylen observe, T.W.N.A. is a remarkably resilient man who has done well despite the terrible psychological insults he has sustained. This achievement has been aided no doubt by a determined spouse, a strong person herself, who is devoted to him and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Taking into account all of the above, I assess non-pecuniary damages in T.W.N.A.'s case at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E.R.M. is now 46 years old. He was the youngest of eight children, and prior to St. George's lived with his parents at Nahamanak. His father was steadily employed by CN Rail from before E.R.M.'s birth until his retirement in l970.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have set out above E.R.M.'s evidence concerning his memories of his early life. It can be seen that it is characterized by a relatively stable family life. Counsel for the defendants have suggested, nevertheless, that he was neglected because his father was always at work and his mother had too many people for whom she had to care. This submission is not persuasive. There were members of the extended family present, and in any case, I ask would the defendants have had the father unemployed and the mother not a hard working homemaker? I think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Dr. Söchting recognized that at the time of the assaults, E.R.M., a child, did not perceive the activities as entirely wrong, but rather tried to cope "with the physical pain and psychological confusion" by dissociating and adjusting his self-image accordingly. However, she went on to say that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felt unable to prevent the sexual assaults by Mr. Clarke. Due to his accommodating nature and desire to be liked, he did not question his supervisor's behaviour. Instead, he attempted to cope the best he could. He was able to dissociate, an ability that not everyone has. This allowed him to detach himself from the sexual assaults. Although it helped him at the time, it has later been detrimental to his ability to confront the abuse therapeutically. However, the effects of the sexual abuse manifested itself in a slow erosion of his positive sense of self, and in his need to externalize his internal state of 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Dr. Söchting also noted that as E.R.M.'s parents were alcoholics, he had an elevated risk of abusing alcohol. She also observes that he began abusing alcohol at age 11, "at the height of the sexual abuse he suffered by Mr. Clarke" and that he used alcohol to distance himself from "his painful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She found that the sexual abuse has caused him to suffer from several psychiatric disorders that have had an impact upon him and his family, leading to depression and placing him at risk for suicide. She particularly notes the negative impact upon the sexual aspect of his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Dr. Daylen, while recognizing that the sexual assaults "heightened his sensitivity to rejection and contributed to his deeply rooted feelings of insecurity", concludes that it is his early childhood and subsequent experiences that are the most significant contributors to his ongoing depressed mood. She was unable to offer a specific opinion "as to the extent to which the assaults by Mr. Clarke contributed to [E.R.M.'s] current confusion" about his sexual 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am satisfied that it is the sexual assaults, including their nature, frequency, duration and circumstances, that are the prime cause of his difficulties. I assess non-pecuniary damages at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G.B.S., who never knew his biological father, spent his early childhood with his mother and a number of siblings and half siblings on one of the Lytton Indian reserves. At different times, there were two different step fathers. G.B.S.'s recollections of that period are limited. He had extensive contact with extended family, and recalls no corporal punishment or violence. He remembers that his mother drank excessively on occasions, but he did not fear her. He told Dr. Daylen that his perception of his life at that time is that it was "not too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G.B.S. was a pupil at the Lytton Elementary School who went to St. George's as a resident when he was in Grade 3. He was at St. George's for approximately four and one half years. Notwithstanding the incident of having to clean the urinal with a toothbrush, his description of life there was, I found, not as negative as that of other plaintiffs, except that corporal punishment administered by Clark with a slipper became a major component in his fearful memories.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He was first assaulted by Clarke part way through the year that he moved to the intermediate dormitory. The assaults continued for about one and one half years until he refused to return to the residence and moved back with his mother. Shortly after this, as noted above, he disclosed the assaults to Rev. Harding and the principal of the elementary school, Joseph Chute.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G.B.S. testified that he still fears Clarke. As late as the trial he described checking to see if Clarke was around. He leads an isolated life-style, and has developed what Dr. Penfold described as "a well entrenched" method of coping by using a "ball" in his head to hide memories of the assaults. He previously abused alcohol for the same purpose. She described G.B.S. as "still vastly influenced by the trauma of the sexual abuse", and described those impacts as I have set out in paragraph 260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Dr. Daylen recognizes that the sexual assaults "negatively affected [G.B.S.'s] self esteem and self respect at the time, and that he continues to experience embarrassment and shame". She notes, as did Dr. Penfold, that G.B.S. is resilient and has coped well. She concludes he does not suffer currently from any diagnosable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assess non-pecuniary damages for G.B.S. at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The plaintiffs submit that any award of non-pecuniary damages should be increased by an amount of "aggravated" damages in order to compensate fully the plaintiffs for the losses they sustained as a result of the sexual assaults. They rely upon the aggravating factors set out by the Court of Appeal in Y.(S.) v. C.(F.G.) </w:t>
      </w:r>
      <w:hyperlink r:id="rId263"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at paragraphs 57 through 59. These include considerations of whether the defendants were in a position of trust, whether the defendant's response was characterized by remorse, the age of the plaintiffs at the time of the assaults, the nature, number, frequency and duration of the assaults, and the physical pain and mental suffering associated with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All of the plaintiffs in this case were under the control of the defendants or their agents at the time of the assaults. The defendants were in a position of authority and trust over the plaintiffs. The plaintiffs were children. They were, in effect, helpless at the time, cut off from their extended families and even from siblings also resident in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experience at St. George's was, as Dillon J. found, like the military. That in itself may not have been unacceptable at the time, but the use of that authoritarian coercive milieu to facilitate sexual assaults was and is unacceptable and is an aggravating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defendants, although they have now expressed some remorse, did nothing for many years. Since the commencement of these actions, they have defended the claims with tenacity, requiring the plaintiffs to relive their experiences and repeat the stories a number of times, including in a public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conclude the sheer horror of what happened to these children, and in particular the fact that for all of them the assaults continued over a period of time that must of seemed exceedingly long to children, warrants an award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An award of aggravated damages must not be so small that it fails to make the point, but being compensatory, it must not cross the line to an amount that is punitive. In the circumstances of this case, I assess aggravated damages at $25,000 and augment E.A.J.'s compensatory award by that amount. I find each of the plaintiffs similarly entitled to aggravated damages, and therefore augment the award of non-pecuniary damages for the other three plaintiffs by the same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The plaintiffs seek punitive damages. Such damages are awarded not to compensate the plaintiffs, but to punish the defendant or defendants. The defendants say that punitive damages may not be awarded where liability is vicarious, or where the underlying tort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do so, they submit, is inappropriate because vicarious liability is liability without actual fault, and because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intentional.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I am satisfied that if punitive damages may be awarded within the categories of liability found by Dillon J. and binding upon me (because of the agreement between the parties in this case), the dreadful circumstances found here warrant such damages. The institutional defendants' failure over so many years to uncover the terrible crimes of Clarke, the failure of the defendants to report the matter to the police and to the parents of these children (particularly in light of the fact that the principal, Rev. Harding, was himself abusing children), and the failure to move immediately when the sexual assaults came to light to see to the needs of the children, demonstrated in the words of Legg J. (as he then was), in Meyer v. Gordon </w:t>
      </w:r>
      <w:hyperlink r:id="rId264" w:history="1">
        <w:r>
          <w:rPr>
            <w:rFonts w:ascii="arial" w:eastAsia="arial" w:hAnsi="arial" w:cs="arial"/>
            <w:i/>
            <w:color w:val="0077CC"/>
            <w:sz w:val="20"/>
            <w:u w:val="single"/>
            <w:shd w:val="clear" w:color="auto" w:fill="FFFFFF"/>
            <w:lang w:val="en-US" w:eastAsia="en-US" w:bidi="ar-SA"/>
          </w:rPr>
          <w:t>(1981), 17 C.C.L.T. 1</w:t>
        </w:r>
      </w:hyperlink>
      <w:r>
        <w:rPr>
          <w:rFonts w:ascii="arial" w:eastAsia="arial" w:hAnsi="arial" w:cs="arial"/>
          <w:color w:val="000000"/>
          <w:sz w:val="20"/>
          <w:lang w:val="en-US" w:eastAsia="en-US" w:bidi="ar-SA"/>
        </w:rPr>
        <w:t xml:space="preserve"> (B.C.S.C.), a "disregard of every principle of decency which is the foundation" for an award of punitive damages. The defendants' conduct was both arrogant and high handed. The well-being of these violated children was sacrificed, as Dillon J. said in paragraph 40, "so as not to attract attention to St. George's School" and, I would add, to protect Clarke and the then administrator, Rev.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The plaintiffs rely upon Peeters v. Canada </w:t>
      </w:r>
      <w:hyperlink r:id="rId265" w:history="1">
        <w:r>
          <w:rPr>
            <w:rFonts w:ascii="arial" w:eastAsia="arial" w:hAnsi="arial" w:cs="arial"/>
            <w:i/>
            <w:color w:val="0077CC"/>
            <w:sz w:val="20"/>
            <w:u w:val="single"/>
            <w:shd w:val="clear" w:color="auto" w:fill="FFFFFF"/>
            <w:lang w:val="en-US" w:eastAsia="en-US" w:bidi="ar-SA"/>
          </w:rPr>
          <w:t>(1992) 54 F.T.R. 289</w:t>
        </w:r>
      </w:hyperlink>
      <w:r>
        <w:rPr>
          <w:rFonts w:ascii="arial" w:eastAsia="arial" w:hAnsi="arial" w:cs="arial"/>
          <w:color w:val="000000"/>
          <w:sz w:val="20"/>
          <w:lang w:val="en-US" w:eastAsia="en-US" w:bidi="ar-SA"/>
        </w:rPr>
        <w:t xml:space="preserve">, and the subsequent appeal decision </w:t>
      </w:r>
      <w:hyperlink r:id="rId266" w:history="1">
        <w:r>
          <w:rPr>
            <w:rFonts w:ascii="arial" w:eastAsia="arial" w:hAnsi="arial" w:cs="arial"/>
            <w:i/>
            <w:color w:val="0077CC"/>
            <w:sz w:val="20"/>
            <w:u w:val="single"/>
            <w:shd w:val="clear" w:color="auto" w:fill="FFFFFF"/>
            <w:lang w:val="en-US" w:eastAsia="en-US" w:bidi="ar-SA"/>
          </w:rPr>
          <w:t>(1993), 18 C.C.L.T. (2d) 136</w:t>
        </w:r>
      </w:hyperlink>
      <w:r>
        <w:rPr>
          <w:rFonts w:ascii="arial" w:eastAsia="arial" w:hAnsi="arial" w:cs="arial"/>
          <w:color w:val="000000"/>
          <w:sz w:val="20"/>
          <w:lang w:val="en-US" w:eastAsia="en-US" w:bidi="ar-SA"/>
        </w:rPr>
        <w:t>, a case in which the Crown was found liable for punitive damages because of an assault committed upon a prisoner by prison employees. That decision has been the subject of much criticism: see Waddams, The Law of Damages, (2d) at pages 11 to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In G.B.R. v. Hollett </w:t>
      </w:r>
      <w:hyperlink r:id="rId267" w:history="1">
        <w:r>
          <w:rPr>
            <w:rFonts w:ascii="arial" w:eastAsia="arial" w:hAnsi="arial" w:cs="arial"/>
            <w:i/>
            <w:color w:val="0077CC"/>
            <w:sz w:val="20"/>
            <w:u w:val="single"/>
            <w:shd w:val="clear" w:color="auto" w:fill="FFFFFF"/>
            <w:lang w:val="en-US" w:eastAsia="en-US" w:bidi="ar-SA"/>
          </w:rPr>
          <w:t>(1996), 139 D.L.R. (4th) 260</w:t>
        </w:r>
      </w:hyperlink>
      <w:r>
        <w:rPr>
          <w:rFonts w:ascii="arial" w:eastAsia="arial" w:hAnsi="arial" w:cs="arial"/>
          <w:color w:val="000000"/>
          <w:sz w:val="20"/>
          <w:lang w:val="en-US" w:eastAsia="en-US" w:bidi="ar-SA"/>
        </w:rPr>
        <w:t xml:space="preserve">, (leave to appeal to the Supreme Court of Canada denied, </w:t>
      </w:r>
      <w:hyperlink r:id="rId268" w:history="1">
        <w:r>
          <w:rPr>
            <w:rFonts w:ascii="arial" w:eastAsia="arial" w:hAnsi="arial" w:cs="arial"/>
            <w:i/>
            <w:color w:val="0077CC"/>
            <w:sz w:val="20"/>
            <w:u w:val="single"/>
            <w:shd w:val="clear" w:color="auto" w:fill="FFFFFF"/>
            <w:lang w:val="en-US" w:eastAsia="en-US" w:bidi="ar-SA"/>
          </w:rPr>
          <w:t>[1996] S.C.C.A. No. 541</w:t>
        </w:r>
      </w:hyperlink>
      <w:r>
        <w:rPr>
          <w:rFonts w:ascii="arial" w:eastAsia="arial" w:hAnsi="arial" w:cs="arial"/>
          <w:color w:val="000000"/>
          <w:sz w:val="20"/>
          <w:lang w:val="en-US" w:eastAsia="en-US" w:bidi="ar-SA"/>
        </w:rPr>
        <w:t xml:space="preserve">), two of three justices hearing the matter at the Nova Scotia Court of Appeal declined to follow Peeters but nevertheless found punitive damages were available against the Crown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Hollett concerned a teenaged girl who was sexually abused by Hollett, a counsellor at a juvenile home for girls.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Pugsley J.A. based the award of punitive damages upon the failure of Hollett's supervisor to suspend or dismiss him immediately upon his realizing something was seriously amiss. In so doing, Pugsley J.A. agreed that punitive damages should not be awarded in cases where the actions of the tortfeasor "constitute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he went on at paragraphs 236 and 237 to write: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Department of Social Services was the provincial government department responsible for the operation of the Nova Scotia Home for Girls and was acting as the employer of MacLeod and Greatorex. Mr. Greatorex was the Director of Special Protection Services, and a senior representative of the Department of Social Services. As Director, he was vested with not only the authority, but the responsibility to ensure that the operation of the school in no way endangered the safety of its wards. In these circumstances, the acts of Greatorex, as well as the acts of MacLeod, because of their respective positions, should be taken to have been the acts of their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failure of those in charge of the school to terminate Hollett's employment at the end of July, 1976, constituted conduct that was inexcusable, outrageous, callous, and reprehensible. Ms. R. was recklessly exposed to substantial risk of harm without any justification. Not all conduct attracting these descriptions will necessarily deserve the sanction of punitive damages. It depends on the facts of each case. The facts, and the relationship, in this case, in my view, require the condemnation.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Chipman J.A. also concluded there should be an award of punitive damages. He agreed that Peeters imposed too broad a liability for such exemplary damages. Rather, he turned to the American Law Institute's proposal on punitive damages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#909 Punitive Damages Against a Principal Punitive damages can properly be awarded against a master or other principal because of an act by an agent if, but only if,</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principal or a managerial agent authorized the doing and the manner of the act,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was unfit and the principal or a managerial agent was reckless in employing or retaining him,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was employed in a managerial capacity and was acting in the scope of employment,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principal or a managerial agent of the principal ratified or approved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Both of these appellate justices found liability in the employer when those in a supervisory capacity (McLeod and Greatorex) failed to take action to prevent a wrong from being visited upon the plaintiff. I agree with the reasoning of Chipman J.A. at paragraph 53 in that although "I would take a narrow view of the Court's power to impose punitive damages vicariously, this case is one of those exceptional ones where such should be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defendant Canada, joined by the Anglican defendants, takes the position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matter how bad, is not a basis on which to award punitive damages". With respect, that is not the law in this province. See Robitaille v. Vancouver Hockey Club </w:t>
      </w:r>
      <w:hyperlink r:id="rId269"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contention that exemplary damages cannot be awarded in actions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fail. The policy of the Courts in dealing with the subject of exemplary damages is set out by Garrett, "Allowance of Punitive Damages in Product Liability Claims", 6 Ga. L.R. 613 (1972) at p.626: "Punitive damages, on the other hand, are reserved for situations where the defendant has done more than inflict injury on others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intentional acts. He must have acted maliciously, or with such recklessness as to indicate an indifference to the safety of others, or have engaged in some other type of behaviour which is regarded as so socially reprehensible as to justify the awarding of punitive damages. Therefore, such extraordinary damages should not be predicated on the mere showing that the plaintiff was injured due to a defective product which was manufactured or distributed by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held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why awards of exemplary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are rare is because in most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the conduct of the defendants, apart from lack of care, has not been blameworthy. In the case on appeal,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flowed from, and was directly linked with, the arrogant and high-handed conduct of the officers and servants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Dillon J., at paragraphs 180 and 181, said that the principal Rev. Harding could have or should have taken action long before he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Harding did not become aware of Clarke's sexual misconduct, he ought to have. Knowledge of Clarke's sexual abuse would have been revealed through proper supervision of Derek Clarke, proper establishment and enforcement of rules disallowing students in staff quarters, and proper observation of general conduct of students at the residence by the administrator in the course of his regular duties. The administrator should have been aware of the behavior of children on the playground and childhood gossip which was apparent to a relatively novice teacher at the local school who acted swiftly to deal with the matter. If he was not, then he was willfully blinded by his own desires to avoid detection of lax moral conduct and sexually abusive behavior at St. George's. Other institutions had rules against children being in the rooms of dormitory supervisors which were enforced by the principal. It is hardly likely that Harding would establish or enforce rules against having children in the rooms of staff when he engaged in that very behavior. Clarke's sexual activity continued for eight years with such frequency that it is unreasonable to expect that it would have gone unnoticed with reasonable supervision of his activities in the dormitory. Harding certainly perceived the danger of sexual relations between students and staff at least two years prior to open disclosure of Clarke's behavior when Harding took the first steps in discipline of another child care worker for this very kind of conduct. If Harding did not know of Clarke's behavior, then he certainly ought to have known or he was willfully blind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Harding's knowledge attaches to his employers, the Crown and the Anglican Church. Both of them failed to take reasonable supervisory precautions against sexual abuse by dormitory supervisors, particularly Derek Clarke. Both were in a position to have acted to prevent the misbehavior.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To this must be added the callous and reprehensible decision taken by Rev. Harding to hush up Clarke's abominable behavior. As noted above, he failed to go to the police, he failed to tell the parents, and he failed utterly in his responsibility to do something for these damaged children. Not only that, on May 22, l973, Rev. Harding, in his capacity as Canada's administrator and on the letterhead of the Department of Indian Affairs and Northern Development, wrote a letter to Clarke advising him that "your resignation is accepted", and incredulously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past services in the field of practical Child Care have been appreciated and we trust that your personal problems will soon be cleared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find this comes within the expression "blameworthy" as that word is used by the Court of Appeal in Robitaille. Like Dillon J., I am cognizant of the probable explanation for this appalling sentiment - that Rev. Harding too was abusing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am aware that Dillon J. found that because of the failure of the Church to disclose Clarke's abuse, "the Crown was deprived of an opportunity to contain the psychological injury" to the plaintiffs. This finding, however, must be read in light of her finding in the paragraph quoted above, that "Harding's knowledge attaches to his employers, the Crown and the Anglican Church". This is similar to the knowledge of McLeod and Greatorex in the Hollett case. In the word "knowledge", I include Harding's despicable and selfish decision, calculated to protect himself and the school, to abandon the children by failing to go to the police or the families, and in neglecting to find appropriate psychological counselling support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xml:space="preserve">  With the greatest of respect to those who would say otherwise, I am satisfied the law countenances punitive damages in these circumstances. In so saying, I am aware that in the recent decision of W.R.B. v. Plint, </w:t>
      </w:r>
      <w:hyperlink r:id="rId270" w:history="1">
        <w:r>
          <w:rPr>
            <w:rFonts w:ascii="arial" w:eastAsia="arial" w:hAnsi="arial" w:cs="arial"/>
            <w:i/>
            <w:color w:val="0077CC"/>
            <w:sz w:val="20"/>
            <w:u w:val="single"/>
            <w:shd w:val="clear" w:color="auto" w:fill="FFFFFF"/>
            <w:lang w:val="en-US" w:eastAsia="en-US" w:bidi="ar-SA"/>
          </w:rPr>
          <w:t>[2001] B.C.J. No. 1446</w:t>
        </w:r>
      </w:hyperlink>
      <w:r>
        <w:rPr>
          <w:rFonts w:ascii="arial" w:eastAsia="arial" w:hAnsi="arial" w:cs="arial"/>
          <w:color w:val="000000"/>
          <w:sz w:val="20"/>
          <w:lang w:val="en-US" w:eastAsia="en-US" w:bidi="ar-SA"/>
        </w:rPr>
        <w:t>, in circumstances similar to those in this case, the Court concluded that punitive damages are not awarded in this province in cases of vicarious liability absent reprehensible conduct specifically referable to the employer and declined to award punitive damages. That case may be distinguishable with respect to the facts of the instant case (there being reprehensible conduct specifically referable to the employer (see paragraphs 357-359 above). If it is not distinguishable, applying In re Hansard Spruce Mills (1954), 13 W.W.R. 285 (BCSC), I would decline to follow Plint on this point as it appears the Peeters and Hollett decisions discussed above were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Taking into consideration all of the above, I award E.A.J. $25,000 punitive damages as against the Crown, and $25,000 punitive damages as against the Church defendants. I assess punitive damages in the same amounts for each of the other three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pleadings also seek punitive damages against Derek Clarke. Counsel have not emphasized this claim presumably because as noted above Clarke was sent to prison and one would expect he has little or no assets. There is no evidence on the latter, and it is possible he may have or he may acquire assets. It is difficult to find words to express the revulsion reasonable people would feel for Clarke's despicable self-indulgent conduct. Had Clarke not been convicted and sentenced to a period of incarceration, and thus punished, an award of punitive damages against him would also be appropriate. Regretfully, I decline to make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plaintiffs say they are entitled to significant damages for past wage loss and for impairment of their capacity to earn in the future. Each side called experts to testify as to what the plaintiffs would have earned had their education not be slowed or impaired, and had they not been delayed in the entry into the market. After much consideration, I have concluded these claims have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E.A.J. has worked on and off as a labourer, and was at the time of trial employed at a ginseng farm. He gave some evidence about leaving at least one job because he took a dislike to his boss. Dr. Söchting attributes his "oppositional and inflexible attitude in employment settings" to a lack of trust and respect for authority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This may be, but in my view, it does not tie the plaintiff's employment history to the sexual abuse which he suffered. There is ample evidence that the entire residential school experience (for example the cutting of hair, the segregation from family, the racist epithets, the corporal and other ridiculously cruel forms of punishment, the crushing of native languages and disparaging of native foods) would engender in children a distrust of and disrespect for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T.A. has been trained at post secondary institutions as a teacher, and has taken a number of courses concerning violence counselling and community service work. He presently works 25 hours a week, but the evidence is that he chooses to do so as he and his family wish to live in or near the Stein Valley. This decision cannot, in my view, be laid at the feet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I also note that some of the plaintiffs have done well in achieving educational or trade qualifications. E.R.M. took a number of courses in carpentry and related trades (some of his transcripts disclose very high grades), and finally apprenticed, becoming a journeyman carpenter in l994. He testified a key reason he has been unsuccessful in obtaining employment is that employers would rather hire less qualified workers for less cost. He also said that he left his job in 1994 because of a dispute with a supervisor. Importantly, he testified subsequently he and his wife made the choice that he would stay home and his wife would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G.B.S. graduated from high school and went to work at a local lumber yard, on the evidence not an unusual step for young men in the area. He left after a few months, but returned in l984 and has worked there ever since. He testified that he likes his job, and gets on well with his employers. His claim is based upon the theory that he has the ability to have sought higher education or higher paying positions and has failed to do so because of the long term effects of the sexual abuse at St. George's.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In my view, the link has not been made out. There is nothing to suggest his experience is not typical of many men who are content in their jobs, particularly where they have been employed for many years in a well paid position. Indeed, G.B.S. agreed on cross-examination that at this time in his life he is not interested in going back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conclude that the plaintiffs have failed upon a balance of probabilities to prove any wage loss, past or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The plaintiffs submit that psychotherapy and counselling are essential for each of the plaintiffs to assist them to overcome the sequelae to the sexual abuse which continues to impact upon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For E.A.J., Dr. Söchting recommends five years of psychotherapy with a therapist familiar with treating complex post sexual trauma reactions. She recommends that E.A.J.'s wife be involved in some of the sessions. As a qualified therapist is not available in Lytton, Dr. Söchting would include transportation costs to Vancouver. Dr. Daylen recommends 50 to 75 hours of psychotherapy aimed at his specific anxiety symptoms. She would also included E.A.J.'s spouse in some of the therapy. Both doctors concede that predicting the amount of such therapy needed is very difficult. Dr. Söchting estimates the cost at $21,500; Dr. Daylen makes no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The Church, supported by Canada, submitted that these services would be provided by the provincial Medical Services Plan if there were a referral from a family physician. However, I am not persuaded this is so. Dr. Söchting testified such services would be very limited. Further, the defendants' witness Yousuf Ali testified that while the federal Medical Services Branch provides aboriginal peoples with psychotherapy for short term crisis management, it does not fund the long term treatment recommended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 am satisfied, then, there should be an award for the costs of future psychotherapy. The issue is quantum. For E.A.J. I have considerable doubt as to whether he would take advantage of the services suggested. Dr. Söchting observes that he would have to overcome considerable distrust if the therapy were to be effective. Dr. Daylen notes that E.A.J.'s negative attitudes and distrust of authorities coupled with his expressed distrust of counsellors and discomfort with discussing psychological issues may make him not "amenable" to such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the end, I conclude the award proposed by Dr. Söchting does not take into account these real difficulties. I assess costs of future care at $10,000. As these expenditures should occur promptly, it is not appropriate to assess a net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Dr. Söchting recommends two to three years of psychotherapy for T.W.N.A. with an appropriately qualified therapist, including from time to time his wife and daughters, at an estimated cost of $17,500. Dr. Daylen concludes that T.W.N.A. has successfully worked through his history of sexual abuse and that further abuse-specific therapy would not be productive. However, she agrees T.W.N.A. would benefit from some short term counselling directed at handling anxiety and stress, with some involvement of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 find Dr. Daylen's opinion persuasive in this instance, and assess T.W.N.A.'s costs of future care at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Dr. Söchting is understandably concerned with E.R.M.'s suicidal tendencies. She is of the opinion that he is extremely fragile and requires therapy specifically aimed at coping skills, depression, sexual impulse control, and family matters including parenting. She estimates the cost of such therapy over a five year period at $26,500.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Dr. Daylen, who as I noted considered that E.R.M. had been assaulted only twice, observed that E.R.M. has previously engaged in treatment that had been unsuccessful. She was also concerned that focus on the abuse might be counter-therapeutic, and would therefore limit future therapy to E.R.M.'s present depression and coping with lethargy and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 have found E.R.M. the most difficult of the plaintiffs to assess in terms of future care. Nevertheless, given that both experts recognize suicidal tendencies, and given my finding that Dr. Daylen's assumption of only two sexual assaults cannot be sustained, I accept Dr. Söchting's recommendation and assess costs of future care at $26,500.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Dr. Penfold recommends counselling and therapy for G.B.S. in the areas of marital relationships and parenting. She is concerned, however, that individual psychotherapy may be "unwise" as it may interfere with the effective coping techniques he has developed. She concludes that as therapy might be difficult and distressing, he "would likely need six months to a year off work" for such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Dr. Daylen stresses G.B.S.'s resiliency and effective coping. She reports he expressed no interest in counselling. She concluded "he might benefit" from psycho-educational sessions as distinct from psychotherapy but said that at his current level of functioning such sessions were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Counsel submitted that the cost of future care recommended by Dr. Penfold would be $9,500 plus $38,680 for the wages lost should he take a year off work. Noting that counsel for the plaintiff's submitted that G.B.S. was the "least damaged" of the plaintiffs, I conclude there is nothing to support the idea he should take a year off work, and reject that suggestion. I also find there is no direct evidence on what group therapy for residential school survivors would cost an individual. I do find, however, that G.B.S.'s marital and parenting problems arise in large measure because of the sexual abuse, and therefore make an award to permit some counselling in those areas. I assess damages for costs of future care for G.B.S. at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Categories of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Throughout these reasons I have referred to Canada and the church as defendants. I have done so for simplicity, despite the obvious fact that the Anglican parties are third parties in the T.W.N.A. action and defendants in the E.R.M. action. Counsel will draft the order in the appropriate manner in light of these reasons and of the agreement to which I referred to in paragraphs 7 and 8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8,000</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26,500</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awards for punitive damages are assessed at $25,000 against Canada and $25,000 against the Anglican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For the reasons set out in Plint at paragraph 925, I decline to order court order interest. Counsel will have liberty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11,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has been brought to my attention that there is an inconsistency in the figures set out in the Reasons for Judgment in this matter issued August 9, 2001. There are different figures in the body of the judgment and in the summary concerning the award for non-pecuniary damages to ERM. The correct amount is the figure in the body of the judgment,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QL Update: 20010817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cp/qi/i/qldrk/qlcmk/qlbrl/qlmxp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Olson v. Farran, [2017] I.L.R. para. M-2956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18,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M126282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[2017] I.L.R. para. M-2956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[2016] B.C.J. No. 2423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2016 BCSC 2149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Kristin Ashley Olson v. Ashraff Bhaduran Farran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4" w:name="Keywords_15"/>
      <w:bookmarkEnd w:id="104"/>
      <w:r>
        <w:rPr>
          <w:rFonts w:ascii="arial" w:eastAsia="arial" w:hAnsi="arial" w:cs="arial"/>
          <w:b/>
          <w:color w:val="000000"/>
          <w:sz w:val="20"/>
          <w:lang w:val="en-US" w:eastAsia="en-US" w:bidi="ar-SA"/>
        </w:rPr>
        <w:t xml:space="preserve">Tort, motor vehicle — Personal injury damages — Costs of future care — Deductions — Part 7 benefits — Mootness — Promissory estoppel — Abuse of process — Parties were involved in motor vehicle accident in February 2011 — Trial judge found plaintiff 25 per cent at fault and awarded her damages for soft tissue injuries, including costs of future care and special damages — Defendant's insurer sent full amount of judgment to plaintiff's lawyers — Defendant applied to deduct Part 7 benefits from costs of future care and special damages awards — Court refused to make deduction from special damages award on basis that issue was moot — Defendant had conceded plaintiff's special damages were reasonable and paid judgment in full — Special damages were expenses which plaintiff already paid for out of pocket and was reimbursed for — Promissory estoppel did not apply to preclude deduction from costs of future care, as plaintiff failed to establish detrimental reliance — Defendant's application was not abuse of process — Defendant established $4,000 was to be deducted from costs of future care award — Application allowed in part — Insurance (Vehicle) Act, </w:t>
      </w:r>
      <w:hyperlink r:id="rId279" w:history="1">
        <w:r>
          <w:rPr>
            <w:rFonts w:ascii="arial" w:eastAsia="arial" w:hAnsi="arial" w:cs="arial"/>
            <w:b/>
            <w:i/>
            <w:color w:val="0077CC"/>
            <w:sz w:val="20"/>
            <w:u w:val="single"/>
            <w:shd w:val="clear" w:color="auto" w:fill="FFFFFF"/>
            <w:lang w:val="en-US" w:eastAsia="en-US" w:bidi="ar-SA"/>
          </w:rPr>
          <w:t>RSBC 1996, c. 231, s. 83</w:t>
        </w:r>
      </w:hyperlink>
      <w:r>
        <w:rPr>
          <w:rFonts w:ascii="arial" w:eastAsia="arial" w:hAnsi="arial" w:cs="arial"/>
          <w:b/>
          <w:color w:val="000000"/>
          <w:sz w:val="20"/>
          <w:lang w:val="en-US" w:eastAsia="en-US" w:bidi="ar-SA"/>
        </w:rPr>
        <w:t xml:space="preserve"> — Insurance (Vehicle) Regulation, </w:t>
      </w:r>
      <w:hyperlink r:id="rId280" w:history="1">
        <w:r>
          <w:rPr>
            <w:rFonts w:ascii="arial" w:eastAsia="arial" w:hAnsi="arial" w:cs="arial"/>
            <w:b/>
            <w:i/>
            <w:color w:val="0077CC"/>
            <w:sz w:val="20"/>
            <w:u w:val="single"/>
            <w:shd w:val="clear" w:color="auto" w:fill="FFFFFF"/>
            <w:lang w:val="en-US" w:eastAsia="en-US" w:bidi="ar-SA"/>
          </w:rPr>
          <w:t>BC Reg. 447/83, s. 88</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5" w:name="Case Summary_15"/>
            <w:bookmarkEnd w:id="10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parties were involved in a motor vehicle accident in February 2011. At trial, the judge found that the plaintiff was 25 per cent at fault and awarded her damages for soft tissue injuries, including $15,161 in costs of future care and $9,193 in special damages. Following the Court's decision, the defendant's insurer, the Insurance Corporation of British Columbia, sent a cheque for the full amount of the judgment to the plaintiff's lawyers in trust. Four days later, the defendant gave notice of her intention to apply for the deduction of Part 7 benefits totalling $9,400 from the costs of future care and special damages. The plaintiff's counsel paid out the judgment funds to the plaintiff. The plaintiff opposed the defendant's application, relying on mootness, estoppel, and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6" w:name="Holdings of Court_12"/>
            <w:bookmarkEnd w:id="106"/>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refused to make any deduction from the special damages award on the basis that the issue was moot. Where the defendant has conceded that the plaintiff's special damages are reasonable and has paid the judgment in full, the Court stated that there was no practical purpose in ordering deductions. These were expenses which the plaintiff already paid out of pocket and was reimbursed for. Making her repay them only to have the payments returned to her again in the form of Part 7 benefits would be a needless exercise. The issue of deducing Part 7 benefits from the special expenses engaged no "live controversy" between the parties and the issue did not engage the public interest. The deduction of Part 7 benefits from the costs of future care raised different considerations, as the plaintiff had not yet received or paid for the services relating to those benefits. Promissory estoppel did not apply to preclude the deduction, as the plaintiff failed to establish detrimental reliance. The defendant's application was not an abuse of process. The defendant established that the insurer would pay $4,000 in benefits to the plaintiff and thus allowed $4,000 to be deducted from the award for costs of future care pursuant to section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7" w:name="Counsel_15"/>
      <w:bookmarkEnd w:id="1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 Mazzone for the plaintiff; D.M. Darman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8" w:name="Judgment_15"/>
      <w:bookmarkEnd w:id="108"/>
      <w:r>
        <w:pict>
          <v:line id="_x0000_s1102"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9" w:name="P.J. PEARLMAN J."/>
            <w:bookmarkEnd w:id="109"/>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By reasons for judgment dated July 7, 2016 (indexed as </w:t>
      </w:r>
      <w:hyperlink r:id="rId281" w:history="1">
        <w:r>
          <w:rPr>
            <w:rFonts w:ascii="arial" w:eastAsia="arial" w:hAnsi="arial" w:cs="arial"/>
            <w:i/>
            <w:color w:val="0077CC"/>
            <w:sz w:val="20"/>
            <w:u w:val="single"/>
            <w:shd w:val="clear" w:color="auto" w:fill="FFFFFF"/>
            <w:lang w:val="en-US" w:eastAsia="en-US" w:bidi="ar-SA"/>
          </w:rPr>
          <w:t>2016 BCSC 1255</w:t>
        </w:r>
      </w:hyperlink>
      <w:r>
        <w:rPr>
          <w:rFonts w:ascii="arial" w:eastAsia="arial" w:hAnsi="arial" w:cs="arial"/>
          <w:color w:val="000000"/>
          <w:sz w:val="20"/>
          <w:lang w:val="en-US" w:eastAsia="en-US" w:bidi="ar-SA"/>
        </w:rPr>
        <w:t>), I found the plaintiff 25% at fault and awarded her damages for soft tissue injuries to her low back and left and right hips sustained in a motor vehicle accident that occurred on February 17,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award of damages which totalled $92,874.24, consisted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$48,750.00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$1,019.77</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$15,161.34</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$9,193.13</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now applies for an order that the award at trial for costs of future care and special damages be reduced pursuant to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to account for benefits payable under Part 7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seeks deductions for Part 7 benefits totalling $7034 from the award for costs of future care and an additional $2370.50 from the award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unusual feature of this case is that following the release of this Court's reasons for judgment, the defendant's insurer, the Insurance Corporation of British Columbia, sent a cheque for the full amount of the judgment, with no covering letter, to the plaintiff's lawyers. The cheque was payable to the plaintiff's lawyers in trust. Ms. Olson's lawyers deposited the funds to their trust account. Four days later, the defendant's counsel gave notice of his client's intention to apply for the deduction of Part 7 benefits. Shortly thereafter, plaintiff's counsel filed and delivered an acknowledgment of payment of the judgment in full, and paid out the judgment funds to Ms.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response to the defendant's application, the plaintiff invokes the doctrines of mootness, estoppel and abuse of process in support of her position that there should be no deduction of Part 7 benefits. Alternatively, the plaintiff submits that certain of the benefits the defendant seeks to deduct are discretionary; that there are uncertainties about whether ICBC will pay the benefits; and that the Court should exercise caution in estimating the benefits she will receive for the costs of care reflected in the damages awarded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issues arise for determination on this application:</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deduction of Part 7 benefits now moot as a result of the defendant having paid the full amount of the judgment?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estopped from seeking the deduction of Part 7 benefits by her payment of the full amount of the judgment?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defendant's application an abuse of process?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deductions, if any, should be made from the award of damages for costs of future care?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deductions, if any, should be made from the award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addressing these issues I will briefly discuss the legal principles governing the deductibility of Part 7 benefits, and the background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7 BENEFITS: LEGISLATIVE FRAMEWORK AND 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(1) In this section and in section 84, "</w:t>
      </w:r>
      <w:r>
        <w:rPr>
          <w:rFonts w:ascii="arial" w:eastAsia="arial" w:hAnsi="arial" w:cs="arial"/>
          <w:b/>
          <w:color w:val="000000"/>
          <w:sz w:val="20"/>
          <w:lang w:val="en-US" w:eastAsia="en-US" w:bidi="ar-SA"/>
        </w:rPr>
        <w:t>benefits</w:t>
      </w:r>
      <w:r>
        <w:rPr>
          <w:rFonts w:ascii="arial" w:eastAsia="arial" w:hAnsi="arial" w:cs="arial"/>
          <w:color w:val="000000"/>
          <w:sz w:val="20"/>
          <w:lang w:val="en-US" w:eastAsia="en-US" w:bidi="ar-SA"/>
        </w:rPr>
        <w:t>" means benefits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definition of section 1.1,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are similar to those within the definition of section 1.1, provided under vehicle insurance wherever issued and in effect,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a payment made pursuant to third party liability insurance coverage.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in respect of bodily injury or death caused by a vehicle or the use or operation of a vehicle, the amount of benefits paid, or to which the person referred to in subsection (2) is or would have been entitled, must not be referred to or disclosed to the court or jury until the court has assessed the award of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assessing the award of damages under subsection (4), the amount of benefits referred to in that subsection must be disclosed to the court, and taken into account, or, if the amount of benefits has not been ascertained, the court must estimate it and take the estimate into account, and the person referred to in subsection (2) is entitled to enter judgment for the balance only.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for the purpose of this section or section 84, it is necessary to estimate the value of future payments that the corporation or the insurer is authorized or required to make under the plan or an optional insurance contract, the value must be estimated according to the value on the date of the estimate of a deferred benefit, calculated for the period for which the future payments are authorized or required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88 under Part 7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(1) Where an insured is injured in an accident for which benefits are provided under this Part, the corporation shall, subject to subsections (5) and (6), pay as benefits all reasonable expenses incurred by the insured as a result of the injury for necessary medical, surgical, dental, hospital, ambulance or professional nursing services, or for necessary physical therapy, chiropractic treatment, occupational therapy or speech therapy or for prosthesis or orthosis.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in the opinion of the corporation's medical adviser, provision of any one or more of the following is likely to promote the rehabilitation of an insured who is injured in an accident for which benefits are provided under this Part, the corporation may provide any one or more of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for any other costs the corporation in its sole discretion agrees to pay.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to pay for more than 12 physical therapy treatments for an insured for each accident unless, before any additional treatment is given, the corporation's medical advisor or the insured's medical practitioner certifies to the corporation in writing that, in his opinion, the treatment is necessary for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While benefits payable under s. 88(1)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are mandatory, benefits under s.88 (2) are discretionary. Even where the Corporation's medical advisor provides an opinion that a service is likely to promote the rehabilitation of the insured, s. 88(2) provides the Corporation "may provide" the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Court of Appeal explained the distinction between obligatory and discretionary benefits under sections 88(1) and (2)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Ayles v. Talastasin</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2000 BCCA 87</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claim covered by s. 88(1) I.C.B.C. is obliged to pay the benefits. It is not a matter of discretion under s. 88(2) where entitlement depends "on the opinion of the corporation's medical adviser". The risk in deducting too much from the tort award for discretionary benefits is that I.C.B.C. may ultimately refuse to pay on items which although found to be compensable in the tort claim were deducted on the assumption that they would be paid as a no fault benefit. In that instance the claimant is out of pocket for the expense and I.C.B.C. enjoys a windfall. But here the class of future expense is obligatory, not discretionary, and so the plaintiff does not stand to lose anything by the deduction. It is only in circumstances where the classification of the future cost is unclear or an issue arises whether the item is covered by Part 7 at all, that some caution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purposes of the legislation are to determine the amount immediately payable to the plaintiff under the judgment; to prevent double recovery; and to shift responsibility for future care needs from the tortfeasor to a body that provides insurance regardless of fault: </w:t>
      </w:r>
      <w:r>
        <w:rPr>
          <w:rFonts w:ascii="arial" w:eastAsia="arial" w:hAnsi="arial" w:cs="arial"/>
          <w:i/>
          <w:color w:val="000000"/>
          <w:sz w:val="20"/>
          <w:lang w:val="en-US" w:eastAsia="en-US" w:bidi="ar-SA"/>
        </w:rPr>
        <w:t>Park v. Targonski</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2015 BCSC 1531</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Abrioux J. summarized the legal principles governing an application for deduction of benefits in </w:t>
      </w:r>
      <w:r>
        <w:rPr>
          <w:rFonts w:ascii="arial" w:eastAsia="arial" w:hAnsi="arial" w:cs="arial"/>
          <w:i/>
          <w:color w:val="000000"/>
          <w:sz w:val="20"/>
          <w:lang w:val="en-US" w:eastAsia="en-US" w:bidi="ar-SA"/>
        </w:rPr>
        <w:t>Li v. Newson</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2012 BCSC 675</w:t>
        </w:r>
      </w:hyperlink>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bears the onus of proving that the plaintiff is entitled to the benefits which the defendant seeks to deduct;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strict compliance with the statute is required;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uncertainty as to whether a Part 7 benefit will be paid must be resolved in favour of the plaintiff;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make the deduction is not dependent on the actual receipt of benefits by the plaintiff. Issues between the plaintiff and ICBC regarding the benefits are not relevant to the deductibility by a tort-feasor from an award to the plaintiff;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no longer a requirement that there be a match between the heads of damage for a tort award and specific heads of damages under the benefit recovery scheme;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task of the court is to estimate the amount of Part 7 benefits, if any, the plaintiff is or would be entitled to receive for the costs reflected in the future care award. It then must make the appropriate deduction;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benefits under s. 88 (2) of the Regulations arise when ICBC's medical adviser holds the opinion that the costs are "likely to promote the rehabilitation" of the plaintiff. The term "rehabilitation" is defined in s. 78 of the Regulation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"Rehabilitation" means the restoration, in the shortest practical time, of an injured person to the highest level of gainful employment or self-sufficiency that, allowing for the permanent effects of his injuries, is, with medical and vocational assistance, reasonably achievable by him.</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uncertainty of the entitlement of payment created by the Regulation may lead the court to conclude that only a nominal deduction is appropriate. Trial judges must be cautious in their approach to determining the estimate inasmuch as a reduction results in a lessening of the award in the tort action. If that is a result of uncertainty created by the Regulation, ICBC cannot be heard to complain;</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to take into account ICBC's discretion with respect to whether certain amounts will be paid in addition to restrictions in the Regulation with respect to amounts payable.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Before the 25%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assessed the plaintiff's damages for costs of future care as follows:</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six sessions of psychological therapy at $200 per session in the amount of $1,200;</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adaptive equipment totalling $6,404.13;</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40 sessions of physiotherapy at $78.75 per session in the amount of $3,200;</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16 sessions of kinesiology services at $94.50 per session in the amount of $1,512;</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gym membership in amount of $1,600;</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40 sessions of massage therapy in the amount of $4,000; and</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in the amount of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Under Part 7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ICBC pays the following amounts for benefits:</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$145 for each psychological therapy session;</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$25.20 for the first physiotherapy session, $17.65 for each subsequent session and $23.60 for each prolonged session;</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$50 for each kinesiology session; and</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$23 for each massage therapy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contends that the award of damages for costs of future care should be reduced by $6,164 for mandatory benefits consisting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1359"/>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 sessions of physiotherapy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$944</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 $23.60 per session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 kinesiology sessions at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$50 $800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 session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 sessions of massage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$920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therapy at $23 per session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w:t>
            </w:r>
          </w:p>
        </w:tc>
        <w:tc>
          <w:tcPr>
            <w:tcW w:w="501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addition, the defendant maintains that there should be a further deduction of $870 for psychological services (six sessions at $145 per session), as a discretionary benefit payable under s. 88(2)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Thus, the defendant proposes a total deduction of $7,034 from the award for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award of special damages compensated the plaintiff for out-of-pocket expenses she incurred for physiotherapy; massage therapy; personal training; chiropractic treatments; active rehabilitation; pain medications; taxi fares for medical appointments; therapeutic aids; an ergonomic chair and a new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trial, ICBC reimbursed the plaintiff a total of $1,603.42 for special damages that are not included in the Court's award. The amounts reimbursed by ICBC for special damages included $282.90 for massage therapy; $770 for personal training; $56.97 for chiropractic therapy; $463.55 for pain medications and $30 in taxi fares.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ICBC made direct payments to the plaintiff's care providers for a total of 53 sessions of physiotherapy and some kinesiology.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ICBC only paid these benefits after persistent and prolonged urging by the plaintiff's solicitor and care providers. Payments were often late, and at times erratic. For example, massage therapy received by the plaintiff in September 2013 was not reimbursed until September 2014. Ms. Olson received no reimbursement for massage therapy undertaken in June and July 2014. The plaintiff discontinued her massage therapy in August 2015 after the Corporation ceased to respond to her requests for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Corporation provided only partial and intermittent funding for the program of kinesiology and personal training recommended by the plaintiff's care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several occasions between the time of the accident and the time of trial, ICBC only reimbursed the plaintiff for medications six months or more after their purchase, or did not reimburse the plaintiff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 seeks deductions totaling $2,370.50 from the award of special damages comprised of $580 for physiotherapy, $157.50 for active rehabilitation, $1,574.15 for massage therapy and $58.87 for pain medications. The defendant maintains that these are all mandatory benefits payable under s. 88(1)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Payment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July 21, 2016, the Corporation, as the defendant's insurer, paid the judgment in the full amount of $92,874.24 by cheque payable to the plaintiff's lawyers in trust. The Corporation sent no covering letter or other correspondence with the payment, which the plaintiff's solicitors deposited to their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affidavit sworn in support of the defendant's application, Mr. Phan, the ICBC adjuster now assigned to this matter, says nothing about the payment of the judgment. The Corporation has proffered no evidence on whether its full payment of the judgment before determination of deductibility of Part 7 benefits was intentional or inadvertent.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July 25, 2016, counsel for the defendant notified plaintiff's counsel of his instructions to seek a deduction for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27, 2016, plaintiff's counsel filed an acknowledgement of payment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paras. 3 and 4 of her affidavit sworn October 25, 2016, the plaintiff, after referring to the fact that her lawyers filed the acknowledgement of payment on July 27, 2016, deposed that the judgment funds were then paid out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Olson has begun to use the funds to pay for treatments for her injuries. The plaintiff has deposed that she has been very conservative in obtaining treatment following receipt of the judgment funds, as a result of the Corporation's application for deduction of Part 7 benefits and the possibility that she may have to repay money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the plaintiff received and began to spend the judgment funds after she had notice of the defendant's intention to apply for deduction of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Is the deduction of Part 7 benefits now moot as a result of the defendant having paid the full amount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Olson contends that as a result of the defendant having paid the full amount of the judgment, there is no longer a live issue between the parties regarding the deductibility of Part 7 benefits. The plaintiff submits the defendant's application should be dismissed as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in the leading case of </w:t>
      </w:r>
      <w:r>
        <w:rPr>
          <w:rFonts w:ascii="arial" w:eastAsia="arial" w:hAnsi="arial" w:cs="arial"/>
          <w:i/>
          <w:color w:val="000000"/>
          <w:sz w:val="20"/>
          <w:lang w:val="en-US" w:eastAsia="en-US" w:bidi="ar-SA"/>
        </w:rPr>
        <w:t>Borowski v. Canada (Attorney General)</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[1989] 1 S.C.R. 342</w:t>
        </w:r>
      </w:hyperlink>
      <w:r>
        <w:rPr>
          <w:rFonts w:ascii="arial" w:eastAsia="arial" w:hAnsi="arial" w:cs="arial"/>
          <w:color w:val="000000"/>
          <w:sz w:val="20"/>
          <w:lang w:val="en-US" w:eastAsia="en-US" w:bidi="ar-SA"/>
        </w:rPr>
        <w:t>, Sopinka J., for the Court explained the doctrine of mootness at paras. 15 and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doctrine of mootness is part of a general policy that a court may decline to decide a case which raises merely a hypothetical or abstract question. An appeal is moot when a decision will not have the effect of resolving some controversy affecting or potentially affecting the rights of the parties. Such a live controversy must be present not only when the action or proceeding is commenced but also when the court is called upon to reach a decision. The general policy is enforced in moot cases unless the court exercises its discretion to depart from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approach with respect to mootness involves a two-step analysis. It is first necessary to determine whether the requisite tangible and concrete dispute has disappeared rendering the issues academic. If so, it is then necessary to decide if the court should exercise its discretion to hear the case. (In the interest of clarity, a case is moot if it does not present a concrete controversy even though a court may elect to address the moot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issue I must address is whether, after payment of the judgment in full, there remains a live controversy affecting the rights of the parties concerning the deductibility of Part 7 benefits. To put it another way, will a decision on this application have any practical effect on the rights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Because I have come to different conclusions concerning the practical effects of determinations of the deductibility of Part 7 benefits with respect to special damages and costs of future care, I will deal with each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Mootness: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asks the Court to deduct $2,370.50 from the award of special damages for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trial, the plaintiff claimed special damages totalling $12,227.51. At the commencement of the trial, the defendant conceded that with two exceptions, all of the special damages claimed by the plaintiff were reasonable expenses incurred as a result of the accident. The defendant only contested the plaintiff's claims for $301.77 for the medication Cymbalta, and for $1,128.04 for a bed, an expense which is not in issue on this application. The Court resolved both contested expenses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circumstances where the defendant has conceded that the plaintiff's special damages are reasonable, and has paid the judgment in full, no practical purpose would be served by the Court ordering the deductions sought. The plaintiff incurred and paid all of the out-of-pocket expenses in issue. She has been reimbursed for those expenses by payment of the judgment. If the deductions from the award for special damages were ordered, the plaintiff would be obliged to repay $2,370.50 to the Corporation, which, after having acknowledged that expense was reasonable and properly incurred would then, perhaps after some delay, return the same amount to Ms. Olson in the form of Part 7 benefits. No useful purpose would be served by putting the plaintiff through that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argued that the deductions from the award of special damages are necessary to avoid the risk the plaintiff might obtain double recovery of these expenses. That submission is without merit. Ms. Olson has incurred and paid, and has been fully reimbursed for all of the expenses claimed and awarded as special damages. She has filed and delivered an acknowledgement of payment. Ms. Olson has closed the book on her claim for special damages. Further, I would expect that if the Corporation were to request she execute a release and waiver of any claim for payment of Part 7 benefits with respect to the amounts awarded as special damages, she would do so with alacrity.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issue of deductions for Part 7 expenses from the award for special damages engages no "live controversy" between these parties. Further, this is not a case where the Court should exercise its discretion to hear an issue that is moot. This is, in essence, a private dispute. The question of whether certain amounts should be deducted from the plaintiff's award of special damages does not engage the public interest. Accordingly, I decline to make any deduction from the award of special damages on the basis that issue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Mootness: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deductibility of Part 7 benefits from the award for costs of future care raises different considerations. The plaintiff has not yet received or paid for the services relating to those benefits. In my view, it remains open to the defendant to apply before entry of the judgment, for a reduction of the damages awarded at trial for costs of future care to account for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Section 83(5)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requires the trial judge to estimate the amount of the benefits which the plaintiff is or would be entitled to receive under Part 7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to take that amount into account before judgment is entered. Although ICBC has paid the full amount of the judgment to the defendant, the judgment has not yet been entered. The defendant may still apply to reduce the judgment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Court's order on this application, as it relates to costs of future care, will affect the rights of the parties. If the Court makes an order for the deduction of Part 7 benefits, the result will be a reduction of the plaintiff's entitlement to damages. The defendant would have the right to seek recovery of any overpayment of damages. I conclude that the issue of whether, and to what extent, the award of damages for costs of future care should be reduced for Part 7 benefits is not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Is the defendant estopped from seeking the deduction of Part 7 benefits by her payment of the judgment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argues that the defendant, having paid the judgment in full, is estopped from claiming a Part 7 deduction. The plaintiff contends that the Corporation, by paying the entire judgment amount, led her to believe that it did not intend to enforce its rights regarding the deduction of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party relying on the doctrine of promissory estoppel must establish that the other party has, by words or conduct, made a promise or assurance which was intended to affect their legal relationship and to be acted on. Furthermore, the representee must establish that, in reliance on the representation, she acted on it or in some way changed her position: </w:t>
      </w:r>
      <w:r>
        <w:rPr>
          <w:rFonts w:ascii="arial" w:eastAsia="arial" w:hAnsi="arial" w:cs="arial"/>
          <w:i/>
          <w:color w:val="000000"/>
          <w:sz w:val="20"/>
          <w:lang w:val="en-US" w:eastAsia="en-US" w:bidi="ar-SA"/>
        </w:rPr>
        <w:t>Maracle v. Travellers Indemnity Co. of Canada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[1991] 2 S.C.R. 50</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promisor's representation must have been unambiguous and precise: </w:t>
      </w:r>
      <w:r>
        <w:rPr>
          <w:rFonts w:ascii="arial" w:eastAsia="arial" w:hAnsi="arial" w:cs="arial"/>
          <w:i/>
          <w:color w:val="000000"/>
          <w:sz w:val="20"/>
          <w:lang w:val="en-US" w:eastAsia="en-US" w:bidi="ar-SA"/>
        </w:rPr>
        <w:t>Telus Communications Inc. v. Telecommunications Workers Union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2010 BCSC 1429</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Here, the defendant pleaded the deduction of Part 7 benefits under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in her response to civil claim. Whether the defendant or her insurer, by delivering the cheque for the judgment amount, made a clear and precise representation that they would not seek deduction of Part 7 benefits is arguable. However, it is unnecessary to decide that point. The plaintiff's assertion of estoppel fails on another ground. On Ms. Olson's evidence, her counsel paid out the judgment funds to her two days after defendant's counsel gave notice of his client's intention to pursue the deduction of Part 7 benefits. The plaintiff then began to spend those funds, with some caution, knowing that she might be obliged to repay money to ICBC. In these circumstances, the plaintiff has not shown that she altered her position in reliance upon any representation of the defendant, or the defendant's insurer. The plaintiff has failed to establish the element of detrimental reliance necessary to found an estoppel.</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defendant's application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Courts have "the inherent jurisdiction and residual discretion to prevent misuse of the court's procedure in a way that would be manifestly unfair to a party or bring the administration of justice into disrepute": </w:t>
      </w:r>
      <w:r>
        <w:rPr>
          <w:rFonts w:ascii="arial" w:eastAsia="arial" w:hAnsi="arial" w:cs="arial"/>
          <w:i/>
          <w:color w:val="000000"/>
          <w:sz w:val="20"/>
          <w:lang w:val="en-US" w:eastAsia="en-US" w:bidi="ar-SA"/>
        </w:rPr>
        <w:t>Gonzalez v. Gonzalez</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2016 BCCA 376</w:t>
        </w:r>
      </w:hyperlink>
      <w:r>
        <w:rPr>
          <w:rFonts w:ascii="arial" w:eastAsia="arial" w:hAnsi="arial" w:cs="arial"/>
          <w:color w:val="000000"/>
          <w:sz w:val="20"/>
          <w:lang w:val="en-US" w:eastAsia="en-US" w:bidi="ar-SA"/>
        </w:rPr>
        <w:t xml:space="preserve"> at para. 18, citing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[2013] 2 S.C.R. 227</w:t>
        </w:r>
      </w:hyperlink>
      <w:r>
        <w:rPr>
          <w:rFonts w:ascii="arial" w:eastAsia="arial" w:hAnsi="arial" w:cs="arial"/>
          <w:color w:val="000000"/>
          <w:sz w:val="20"/>
          <w:lang w:val="en-US" w:eastAsia="en-US" w:bidi="ar-SA"/>
        </w:rPr>
        <w:t xml:space="preserve"> at para. 39; and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doctrine of abuse of process is often, but not exclusively applied where litigation before the court is found to be in essence an attempt to re-litigate a claim which the court has already determined: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at para. 56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and approved in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overriding concern with abuse of process is "the integrity of judicial decision-making":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Here, the defendant does not seek to re-litigate a matter already determined by the court. Nor is this a case where the defendant has invoked the court's process for an improper purpose, or in a way that would be manifestly unfair to the plaintiff, or otherwise bring the administration of justice into disrepute. The defendant is entitled to apply for the deduction of Part 7 benefits under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I have found that the doctrine of mootness precludes the defendant from obtaining any deduction from the award of special damages. In my view, it is not "manifestly unfair" to the plaintiff for the Court to determine the balance of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short, the defendant's application is not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What deductions, if any, should be made from the award of damages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 seeks deductions for costs of medications, physiotherapy, kinesiology and massage therapy totaling $6,164, all of which she maintains are mandatory benefits under s. 88(1)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Medication falls within "necessary medical...service", and as such is a mandatory benefit under s. 88(1).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Where an amount is payable as a mandatory benefit under s. 88(1)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it should be deducted even though ICBC has not yet paid for that treatment: </w:t>
      </w:r>
      <w:r>
        <w:rPr>
          <w:rFonts w:ascii="arial" w:eastAsia="arial" w:hAnsi="arial" w:cs="arial"/>
          <w:i/>
          <w:color w:val="000000"/>
          <w:sz w:val="20"/>
          <w:lang w:val="en-US" w:eastAsia="en-US" w:bidi="ar-SA"/>
        </w:rPr>
        <w:t>Wepryk v. Juraschka</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2012 BCSC 1584</w:t>
        </w:r>
      </w:hyperlink>
      <w:r>
        <w:rPr>
          <w:rFonts w:ascii="arial" w:eastAsia="arial" w:hAnsi="arial" w:cs="arial"/>
          <w:color w:val="000000"/>
          <w:sz w:val="20"/>
          <w:lang w:val="en-US" w:eastAsia="en-US" w:bidi="ar-SA"/>
        </w:rPr>
        <w:t xml:space="preserve"> at paras. 8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Accordingly, there will be a deduction of $3,500 for medications from the award of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also asks the Court to deduct $944 for physiotherapy, $800 for kinesiology and $920 for massage therapy as mandatory benefits under s. 88(1).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Physiotherapy treatments are mandatory benefits under s. 88(1). Massage therapy, as a "physical therapy", is also a benefit the Corporation is obliged to pay under s. 88(1)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Raguin v. Insurance Corporation of British Columbia</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2011 BCCA 482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submits, and I accept that kinesiology, as a form of physical therapy also falls under s. 88(1).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However, s. 88(1) must be read with s. 88(8). When the two subsections are read together, reimbursement is only mandatory for 12 physical therapy treatments: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2013 BCSC 1320</w:t>
        </w:r>
      </w:hyperlink>
      <w:r>
        <w:rPr>
          <w:rFonts w:ascii="arial" w:eastAsia="arial" w:hAnsi="arial" w:cs="arial"/>
          <w:color w:val="000000"/>
          <w:sz w:val="20"/>
          <w:lang w:val="en-US" w:eastAsia="en-US" w:bidi="ar-SA"/>
        </w:rPr>
        <w:t xml:space="preserve"> at para. 35. The Corporation is only liable to pay for more than 12 treatments where, before any additional treatment is given, the Corporation's medical advisor or the insured's medical practitioner certifies to the Corporation in writing that the treatment is necessary for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Here, the Corporation has already reimbursed Ms. Olson for more than 12 physical therapy treatments. Accordingly, any further benefits for physical therapy treatments, including physiotherapy, massage therapy or kinesiology, are not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Corporation has not offered any assurance these benefits will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Garbuz, the defence orthopedic expert at trial, thought the plaintiff would benefit from six months of intensive physiotherapy. He thought some supervision of the plaintiff's exercise program would be beneficial but believed that after three to six months of physiotherapy, Ms. Olson would be able to exercise on her own. Dr. Garbuz did not believe further massage therapy would provide any long-term benefit, but acknowledged in cross-examination that it would offer Ms. Olson some short-term relief. Because Dr. Garbuz is a specialist in the diagnosis and treatment of hip injuries, he confined his examination to the plaintiff's hips. He did not assess her low back injury, or offer any recommendations for treatment of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Vondette, the plaintiff's expert in physical medicine and rehabilitation, recommended an intensive exercise program supervised by physiotherapists and kinesiologists. He believed this program would result in significant reconditioning of the plaintiff's lumbar spine and would produce some reduction of low back pain, as well as clinically significant progress with the plaintiff's right hip pain. Dr. Vondette thought that the plaintiff required a supervised exercise program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general practitioner, Dr. Abbey also recommended massage and physiotherapy and a supervised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making my award for costs of future care, I found that the weight of medical opinion supported an intensive program of physiotherapy and kinesiology for the plaintiff, lasting for several months but probably not exceeding six months. My assessment for physiotherapy allowed for both the plaintiff's participation in the reconditioning program and the likelihood that she will require some physiotherapy to manage ongoing flare-ups of her hip or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award for massage therapy was based on Dr. Abbey's recommendation that Ms. Olson continue to receive massage therapy for flare-ups of her low back and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light of the Corporation's past delayed or partial reimbursement for these therapies, I am not satisfied that the full amounts will be reimbursed.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onus of showing that a deduction should be made is on the defendant. I must estimate the amount to which Ms. Olson is entitled, exercising caution and taking into account any uncertainty concerning whether the benefits will be paid. Any such uncertainty must be resolved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the Dr. Garbuz's opinion, and the defendant's position at trial that Ms. Olson would benefit from a three to six-month exercise program under the supervision of a physiotherapist, I am satisfied that a portion of the physiotherapy will be paid. I estimate that amount to be $500 and order that the amount to be deducted with respect to the physiotherapy is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light of the Corporation's past partial and disrupted payment for kinesiology, there is no certainty that the Corporation will pay for any further kinesiology treatments. I therefore decline to deduct any portion of the $800 sought by the defendant for kinesiology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Similarly, there is no certainty that the insurer will pay for future massage therapy treatments, particularly where such treatments may only provide temporary relief to Ms. Olson, rather than a lasting improvement in her condition. Again, I decline to deduct any portion of the $920 sought by the defendant for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 also seeks a deduction of $870 for psychological services. Psychological therapy is a benefit payable in the Corporation's sole discretion under s. 88(2)(f)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submits the Court should conclude from ICBC's past funding for physiotherapy and active rehabilitation that there is no uncertainty about whether the Corporation will fund psychological therapy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disagree. The Corporation's checkered record of funding the plaintiff's treatment before trial raises significant uncertainty about whether this benefit will be paid. Further, Mr. Phan, the Corporation's representative, offers no assurance in his affidavit that ICBC will pay for psychological therapy for Ms. Olson. Nor is there any opinion from the Corporation's medical advisor, as required under s. 88(2), that the psychological services are likely to promote the rehabilitation of the insured. The uncertainty concerning whether this benefit will be paid must be resolved in favour of the plaintiff. I am not satisfied the Corporation will pay any portion of this benefit. Accordingly, there will be no deduction for psychological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deductions from the award of costs of future care for Part 7 benefits total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What deductions, if any, should be made from the award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a result of my conclusion on mootness, there will be no deduction from the award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order should be drawn to reflect the deduction of $ 4000 from the total award of damages on account of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Success has been divided. Each party will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Conseil scolaire francophone de la Colombie-Britannique v. British Columbia, [2016] B.C.J. No. 2007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2-6, 9-13, 2013; January 20-24, February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3-7, 11-14, 17-21, March 3-7, 10-14, 17-21, 24-28, April 7-11,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14-17, 28-30, May 1-2, 5-9, 26-30, June 9-13, 16-20, 23-27,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2-5, 8-12, 15-19, 29-30, October 1-3, 6-10, 27-31,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8, 15-19, 2014; January 19, 22-23, 26-30, February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10-13, 16-20, 23-27, March 9-13, 16-20, 23-27, April 7-10,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13-17, 20-24, May 4-8, 25-29, June 8-12, 15-19, 22-25, July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 August 10-14, 17-21, November 23-27, 30, December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7-11, 14-18, 29-30, 2015; February 22-26 and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S103975 and S103455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2007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i/>
          <w:color w:val="000000"/>
          <w:sz w:val="20"/>
          <w:lang w:val="en-US" w:eastAsia="en-US" w:bidi="ar-SA"/>
        </w:rPr>
        <w:t>2016 BCSC 1764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Conseil scolaire francophone de la Colombie-Britannique, Fédération des parents francophones de Colombie-Britannique, Annette Azar-Diehl, Stéphane Perron and Marie-Nicole Dubois, Plaintiffs, and Her Majesty the Queen in Right of the Province of British Columbia, and the Minister of Education of the Province of British Columbia, Defendants, and Conseil-scolaire francophone de la Colombie-Britannique, Third Party And between L'association des parents de l'école Rose Des-Vents and Joseph Pagé in his name and in the name of all citizens of Canada residing west of Main Street in the City of Vancouver whose first language learned and still understood is French, or who have received their primary school instruction in Canada in French, or of whom any child has received or is receiving primary or secondary school instruction in French in Canada, Petitioners, and Conseil scolaire francophone de la Colombie-Britannique, The Minister of Education of British Columbia, and The Attorney General of British Columbia,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(6843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Part 1 of 4. This document has been split into multiple parts on Quicklaw to accomodate its large size. Each part has been assigned the same Quicklaw citation.]</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4"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0" w:name="Keywords_16"/>
      <w:bookmarkEnd w:id="110"/>
      <w:r>
        <w:rPr>
          <w:rFonts w:ascii="arial" w:eastAsia="arial" w:hAnsi="arial" w:cs="arial"/>
          <w:b/>
          <w:color w:val="000000"/>
          <w:sz w:val="20"/>
          <w:lang w:val="en-US" w:eastAsia="en-US" w:bidi="ar-SA"/>
        </w:rPr>
        <w:t>Constitutional law — Canadian Charter of Rights and Freedoms — Minority language education rights — Enforcement — Remedies for denial of rights — Procedural rights — Damages — Declaration of rights — Action by francophone parents and BC francophone school board (CSF) for declaration that Province and Ministry failed to provide BC's francophone linguistic minority the resources and facilities mandated by s.á23 of Charter allowed in part — Plaintiffs awarded $6 million in Charter damages — Defendants breached s. 23 by not providing adequate facilities in some communities, not funding expansion projects and evaluating CSF's requests for capital projects against those of Majority School Boards with greater capital resources — CSF had been required to identify and negotiate for site acquisitions without Ministry assistance, and Ministry chronically underfunded transportation system — Canadian Charter of Rights and Freedoms, 1982, s. 23.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Education law — Schools — School sites, buildings and infrastructure — Construction and improvement — Transportation policies and methods — Constitutional issues — Canadian Charter of Rights and Freedoms — Action by francophone parents and BC francophone school board (CSF) for declaration that Province and Ministry failed to provide BC's francophone linguistic minority the resources and facilities mandated by s.á23 of Charter allowed in part — Plaintiffs awarded $6 million in Charter damages — Defendants breached s. 23 by not providing adequate facilities in some communities, not funding expansion projects and evaluating CSF's requests for capital projects against those of Majority School Boards with greater capital resources — CSF had been required to identify and negotiate for site acquisitions without Ministry assistance, and Ministry chronically underfunded transportation system — Canadian Charter of Rights and Freedoms, 1982, s. 23.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1" w:name="Case Summary_16"/>
            <w:bookmarkEnd w:id="1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francophone parents and the British Columbia (BC) francophone school board, Conseil scolaire francophone de la Colombie-Britannique (CSF), for a declaration that the defendant Province and Ministry failed to provide BC's francophone linguistic minority the resources and facilities mandated by s.á23 of the Canadian Charter of Rights and Freedoms (Charter). Pursuant to s. 23, governments were required to provide the linguistic minority with minority language educational facilities where the numbers so warranted. The scope of appropriate facilities to which the minority was entitled fell on a sliding scale depending on the number of children likely to participate in the programme. In 2014/15, the CSF had 5,382 students enrolled in its roughly 37 programmes province-wide. The plaintiffs challenged the defendants' system for funding capital projects and the operating funding needs of the linguistic minority. The plaintiffs claimed they were entitled to increased funding pursuant to the Annual Facilities Grant, increased funding for transportation and space for early childhood education. The plaintiffs sought new or improved schools and amenities in 17 communities. They also sought funding for a school board office.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2" w:name="Holdings of Court_13"/>
            <w:bookmarkEnd w:id="11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respect to the claims for improved facilities, rightsholders in several communities were receiving appropriate facilities in light of the number of children that would avail themselves of a programme in the best possible circumstances. No improved facilities were thus required. Although educational facilities were substandard in other communities, the rights breach was justified as a reasonable limit in a free and democratic society. In a few communities, minority language educational facilities were non-existent or substandard, but the defendants were not responsible. In four communities, the minority did not have adequate facilities, the defendants were responsible and the breach was not justified. Sectioná166.25(9) of the School Act, which restricted admission to CSF schools to s.á23 rightsholders and the children of non-citizens who would otherwise be rightsholders, was not contrary to s.á23 of the Charter and was a valid exercise of the Province's constitutional jurisdiction over education as previously determined by the Supreme Court of Canada. The Ministry's policies of not funding expansion projects and evaluating the CSF's requests for capital projects against those of Majority School Boards with greater capital resources than the CSF unjustifiably infringed s.á23 of the Charter. The plaintiffs had not shown that the CSF was disadvantaged by the way in which the Annual Facilities Grant was calculated. The Province, however, breached s.á23 by failing to apply the appropriate rural factor to the CSF in several years. The Ministry treated the CSF differently from Majority School Boards despite recognizing that it might not be appropriate to do so, but that breach was reasonably justified in a free and democratic society. The Ministry's policy requiring the CSF to identify and negotiate for site acquisitions without Ministry assistance unjustifiably infringed s.á23 of the Charter. The Ministry's failure to collect information regarding the potential demand for minority language education in BC, including the numbers of and geographical distribution of children who could enroll in a school of the CSF, constituted an unjustifiable violation of s.á23. CSF's transportation system was chronically underfunded and the Province failed to provide the CSF with sufficient public funds for its minority language educational facilities. To restore the CSF to the position it would have been in but for the breach, Charter damages of $6ámillion were awarded. The right to minority language educational facilities in s.á23 did not guarantee the CSF space for early childhood programming in all of its schools. The fact that the CSF held some of its educational facilities by way of lease was not presumptively contrary to s.á23, but the Ministry's policies requiring CSF to negotiate leases without Ministry assistance and freezing CSF's lease funding at 2013/14 levels were contrary to s. 23. Those policies breached the Province's duty to ensure that minority language education was provided where the numbers so warranted. The preponderance of the administrative requirements of the Ministry's capital funding system were all valid as they applied to the CSF. The Ministry must craft a rolling Capital Envelope specific to the CSF. Creating that type of an envelope would ensure funding was available for CSF and give it some flexibility to acquire sites when opportunities arose. Finally, the Province and/or the Ministry were ordered to craft a policy or enact legislation to either resolve or ensure the Ministry's active participation in the resolution of issues concerning the CSF's need for space and the types of disputes that arise between the CSF and majority school boards.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3" w:name="Legislation Cited_10"/>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5"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Education Mediation Regulation, </w:t>
      </w:r>
      <w:hyperlink r:id="rId303" w:history="1">
        <w:r>
          <w:rPr>
            <w:rFonts w:ascii="arial" w:eastAsia="arial" w:hAnsi="arial" w:cs="arial"/>
            <w:i/>
            <w:color w:val="0077CC"/>
            <w:sz w:val="20"/>
            <w:u w:val="single"/>
            <w:shd w:val="clear" w:color="auto" w:fill="FFFFFF"/>
            <w:lang w:val="en-US" w:eastAsia="en-US" w:bidi="ar-SA"/>
          </w:rPr>
          <w:t>B.C. Reg. 250/2000, s. 1</w:t>
        </w:r>
      </w:hyperlink>
      <w:r>
        <w:rPr>
          <w:rFonts w:ascii="arial" w:eastAsia="arial" w:hAnsi="arial" w:cs="arial"/>
          <w:color w:val="000000"/>
          <w:sz w:val="20"/>
          <w:lang w:val="en-US" w:eastAsia="en-US" w:bidi="ar-SA"/>
        </w:rPr>
        <w:t>, s. 2, s. 5, s. 6, s. 7, s. 11,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Act, </w:t>
      </w:r>
      <w:hyperlink r:id="rId304" w:history="1">
        <w:r>
          <w:rPr>
            <w:rFonts w:ascii="arial" w:eastAsia="arial" w:hAnsi="arial" w:cs="arial"/>
            <w:i/>
            <w:color w:val="0077CC"/>
            <w:sz w:val="20"/>
            <w:u w:val="single"/>
            <w:shd w:val="clear" w:color="auto" w:fill="FFFFFF"/>
            <w:lang w:val="en-US" w:eastAsia="en-US" w:bidi="ar-SA"/>
          </w:rPr>
          <w:t>R.S.B.C. 1996, c. 412, s. 1</w:t>
        </w:r>
      </w:hyperlink>
      <w:r>
        <w:rPr>
          <w:rFonts w:ascii="arial" w:eastAsia="arial" w:hAnsi="arial" w:cs="arial"/>
          <w:color w:val="000000"/>
          <w:sz w:val="20"/>
          <w:lang w:val="en-US" w:eastAsia="en-US" w:bidi="ar-SA"/>
        </w:rPr>
        <w:t>, s. 166.24, s. 166.25, s. 166.25(9)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4" w:name="Counsel_16"/>
      <w:bookmarkEnd w:id="1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Third Party: R.W. Grant, Q.C., M.C. Power, D.P. Taylor, J.P. Hachey, B. Elwood, M. Vincelette, A. Kolodziej, A. Zhao, C. Kou, E. Ducharme, M.A. Roy, A/S and M. MacKenzie,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W.B. Milman, K.A. Wolfe, L.T. Doust, Q.C., A. Juba, N. Isaac, M. Feder, N. Hughes and M. Gillis,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Petitioners: N.M. Rouleau.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16"/>
      <w:bookmarkEnd w:id="115"/>
      <w:r>
        <w:pict>
          <v:line id="_x0000_s1107"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TO THE CAPITAL PLANNING PROCESS</w:t>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TO PART 1: ANALYTICAL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THE REMEDIAL PURPOSE OF S. 23 AND ASSIMILATION IN BRITISH COLUMBIA</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RESPECTIVE ROLES OF THE PROVINCE AND THE CSF</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CHILDREN</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JUSTIFICATION</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REMEDIES</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TO PART 2: DISCRETE REQUESTS FOR FACILITIES</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FUNDS</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FACILITIES GRANT</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LINGUISTIC AND CULTURAL PROGRAMMING</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TO PART 3: THE COMMUNITY CLAIMS</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LA PASSERELLE (WHISTLER)</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DE LA VALLÉE DE PEMBERTON (PEMBERTON)</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LES AIGLONS (SQUAMISH)</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DU PACIFIQUE (SECHELT)</w:t>
      </w:r>
    </w:p>
    <w:p>
      <w:pPr>
        <w:numPr>
          <w:numId w:val="2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DES SENTIERS-ALPINS (NELSON)</w:t>
      </w:r>
    </w:p>
    <w:p>
      <w:pPr>
        <w:numPr>
          <w:numId w:val="2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ENTRE-LACS (PENTICTON)</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LES NAVIGATEURS (RICHMOND)</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ROSE-DES-VENTS (VANCOUVER (WEST))</w:t>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ANNE-HÉBERT (VANCOUVER (EAST))</w:t>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ÉCOLE VICTOR-BRODEUR (VICTORIA)</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L'ANSE-AU-SABLE (KELOWNA)</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OCÉANE (NANAIMO)</w:t>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LA VÉRENDRYE (CHILLIWACK)</w:t>
      </w: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ÉCOLE ÉLÉMENTAIRE DEUX-RIVES (MISSION)</w:t>
      </w:r>
    </w:p>
    <w:p>
      <w:pPr>
        <w:numPr>
          <w:numId w:val="3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ABBOTSFORD FRENCH-LANGUAGE EDUCATION</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BURNABY FRENCH-LANGUAGE EDUCATION AND ÉCOLE DES PIONNIERS (PORT COQUITLAM)</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BOARD OFFICE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TO PART 4: THE SYSTEMIC CLAIM</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LEASES</w:t>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EXPANSION PROJECTS AND THE ENROLMENT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XXXVII. BUILDING CONDITION PROJECTS AND THE BUILDING CONDITION DRIVER</w:t>
      </w:r>
      <w:r>
        <w:rPr>
          <w:rFonts w:ascii="arial" w:eastAsia="arial" w:hAnsi="arial" w:cs="arial"/>
          <w:sz w:val="20"/>
          <w:lang w:val="en-US" w:eastAsia="en-US" w:bidi="ar-SA"/>
        </w:rPr>
        <w:cr/>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SITE AND SCHOOL ACQUISITION PROJECTS</w:t>
      </w:r>
    </w:p>
    <w:p>
      <w:pPr>
        <w:numPr>
          <w:numId w:val="4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COMMUNITY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XL. ADMINISTRATIVE REQUIREMENTS OF THE CAPITAL FUNDING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XLI. INTRODUCTION TO PART 5: THE PROVINCE'S DEFENCES AND REMEDIES IN SUPPORT OF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XLII. LACK OF FUNDS AND A CAPITAL ENVELOPE FOR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XLIII. DUTY TO ASSIST THE CSF AND THE EDUCATION MEDIATION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XLIV.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XLV. GLOSSARY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L.D. RUSSELL J."/>
            <w:bookmarkEnd w:id="116"/>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bring this claim pursuant to s. 23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which guarantees minority language education to certain categories of Francophones where the numbers so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Here, I will summarize, in brief, my conclusions concerning the plaintiffs' most important arguments. To the extent any of my conclusions in this summary differ from the conclusions in the balance of the decision, the conclusions elsewhere in the decision take precedence.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find that s. 166.25(9)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xml:space="preserve"> which restricts admission to CSF schools to s. 23 rightsholders and the children of non-citizens who would otherwise be rightsholders is not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That questions was decided in </w:t>
      </w:r>
      <w:r>
        <w:rPr>
          <w:rFonts w:ascii="arial" w:eastAsia="arial" w:hAnsi="arial" w:cs="arial"/>
          <w:i/>
          <w:color w:val="000000"/>
          <w:sz w:val="20"/>
          <w:lang w:val="en-US" w:eastAsia="en-US" w:bidi="ar-SA"/>
        </w:rPr>
        <w:t>Yukon Francophone School Board, Education Area #23 v. Yukon (Attorney General),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2015 SCC 25</w:t>
        </w:r>
      </w:hyperlink>
      <w:r>
        <w:rPr>
          <w:rFonts w:ascii="arial" w:eastAsia="arial" w:hAnsi="arial" w:cs="arial"/>
          <w:color w:val="000000"/>
          <w:sz w:val="20"/>
          <w:lang w:val="en-US" w:eastAsia="en-US" w:bidi="ar-SA"/>
        </w:rPr>
        <w:t>, and I am bound by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that they are entitled to three types of discrete resources and facilities: increased funding pursuant to the Annual Facilities Grant, increased funding for transportation and space for early childhood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have not shown that the CSF is disadvantaged by the way in which the Annual Facilities Grant is calculated. However, I find that the Province breached s. 23 by failing to apply the AFG Rural Factor to the CSF in 2008/09, 2009/10 and 2010/11. The Ministry treated the CSF differently from majority boards despite recognizing that it might not be appropriate to do so. However, I find that breach is reasonably justified in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conclude that the CSF's transportation system was chronically underfunded pursuant to the Supplement for Transportation and Housing while that funding was frozen between 2002/03 and 2011/12. As a result, the Province failed to provide the CSF with sufficient public funds for its minority language educational facilities. To restore the CSF to the position it would have been in but for the breach, I consider than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amounting to $6 million is appropriate. The current transportation funding supplement, the Student Location Factor and Supplemental Student Location Factor, appropriately compensate the CSF for its transportation services when part of the 15% Francophone Supplement is included in the CSF's transportation allotment.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the right to minority language educational facilities in s. 23 does not guarantee the CSF space for early childhood programming in all of its schools. Section 23 requires the Province to ensure baseline educational services are provided to preserve and promote minority language education. Due to the structure of the education system in British Columbia, those services do not include early childhood education. However, where the minority has a right to equivalent facilities and comparator schools offer early childhood services, the presence or absence of early childhood services will inform the analysis of whether rightsholders are receiving appropriate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majority of this decision addresses the plaintiffs' claims for new or improved school facilities in 17 communities and claim for a new school board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rightsholders in the following communities are receiving appropriate facilities in light of the number of children that would avail themselves of a programme in the best possible circumstances: Whistler (elementary education), Nelson, Richmond, Southeast Vancouver, Nanaimo, Kelowna and Chilliwack. I likewise deny the plaintiffs' claim for a new school board office for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connection to other communities, I find that although educational facilities are substandard, the rights breach is justified as a reasonable limit in a free and democratic society: Pemberton and Victoria. With respect to Mission, I assume without deciding the facilities are substandard, and conclude the limit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few communities, minority language educational facilities are non-existent or substandard, but the defendants are not responsible. This is the case with respect to: Whistler (secondary instruction), Squamish, Northeast Vancouver and Burnaby. I cannot say whether the breaches in any of those communities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four communities, the minority does not have adequate facilities, the defendants are responsible and the breach is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Sechelt, Penticton and Abbotsford, rightsholders do not have access to appropriate minority language educational facilities,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With respect to Abbotsford, the Province's failure to fund any new projects to construct new spaces for students between 2005 and 2011 materially contributed to the right breach. The lack of funding and the defendants' policy of ranking the linguistic minority's capital project proposals against the projects proposed by majority school boards with more resources materially contributed to the rights breaches. None of those breaches is justified in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Vancouver (West), the school afforded to the minority is substandard compared to those afforded to the majority,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defendants' policy requiring school boards to identify sites materially contributed to the situation. The policy is not a reasonable limit in a free and democratic society regarding the CSF's circumstances in Vancouver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provide a more detailed summary of my reasons and findings for each Community Claim at the conclusion of the chapter associated with each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also challenge several aspects of the Province's capital funding system for education as it applies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find that the fact that the CSF holds some of its educational facilities by way of lease is not presumptively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However, two aspects of the Ministry's capital funding system concerning the CSF's leases are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Ministry's policy requiring the CSF to negotiate leases without Ministry assistance, and the Ministry's policy freezing the CSF's lease funding at 2013/14 levels. Those policies fall short of the Province's duty to ensure that minority language education is provided where the numbers so warrant. They are not reasonably justified in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the Ministry's policy of not funding school expansion between 2005 and 2011 and evaluating the CSF's need for capital projects against those of majority school boards with more capital to devote to projects likewise fails to ensure that minority language educational facilities are provided where the numbers so warrant. Those policies are not reasonable limits in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Province's system for prioritizing projects to improve building condition based on a building's economic life rather than building functionality is not ideally suited to ensuring the CSF's facilities meet the standard of majority schools where the numbers so warrant. However, in my view, that breach of s. 23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Ministry's policies concerning the CSF's acquisitions of surplus schools from majority school boards, I find that the Ministry's policies concerning the disposal of surplus properties, compensation to majority school boards, and the separation of approvals for school acquisition projects from building improvement projects are all consistent with s. 23. None of those policies deprives rightsholders of appropriate facilities or trenches on the minority's right to management and control. They are therefore within the Province's jurisdiction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only real issue with respect to the system for site and school acquisitions for the CSF is that the Ministry's policies require the CSF to identify school sites for acquisition without Ministry assistance. The policy and practice prevent rightsholders from attaining the types of minority language educational facilities to which they are entitled, and are therefore outside the Province's jurisdiction and contrary to s. 23. They are not justified as a reasonable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insufficient evidence to persuade me that the Province's framework for community planning disadvantages the CSF. If the plaintiffs want to challenge municipalities' official community plans, they ought to do so in the appropriate forum, by way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the preponderance of the administrative requirements of the Ministry's capital funding system are all valid as they apply to the CSF. Neither the requirement that districts prioritize their projects, nor the PIR requirement, nor the Area Standards, breaches s. 23. They do not infringe on the CSF's right to management and control, and have not caused rightsholders to fail to receive what they are entitled to given their numbers. However, the Ministry's approach to enrolment projections has failed to provide the CSF with substantively equivalent minority language educational facilities in the form of enrolment projections. That breach is not a reasonably justified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most rights breaches, I find that declarations are the most appropriate remedy. Where the Province's laws and policies materially contributed to a rights breach, I declare them to be contrary to s. 23 and/or make a declaration delineating what rightsholders are entitled to. Where the CSF is responsible, I make a declaration affirming the CSF's jurisdiction to remedy the situation. However, to ensure those remedies are effective, I make two further orders in support of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Ministry must craft a rolling Capital Envelope specific to the CSF. Creating that type of an envelope will ensure funding is available for the CSF, and give it some flexibility to acquire sites when opportunities arise. It will ensure the CSF does not compete against majority school boards for capital projects. It would also allow an avenue for the Ministry to continue to exercise its legitimate role in ensuring that projects are justified. The Ministry cannot claim a lack of funds for the CSF's projects as an excuse given that it has chosen to devote funds to other priorities since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Additionally, in light of Ministry officials' failure to assist the CSF to identify and negotiate the transfer of school sites in recent years, I order the defendants to craft a policy or enact legislation to either resolve or ensure the Ministry's active participation in the resolution of disputes between the CSF and majority school boards, and issues concerning the CSF's need for school sites. The Ministry's enactment of the </w:t>
      </w:r>
      <w:r>
        <w:rPr>
          <w:rFonts w:ascii="arial" w:eastAsia="arial" w:hAnsi="arial" w:cs="arial"/>
          <w:i/>
          <w:color w:val="000000"/>
          <w:sz w:val="20"/>
          <w:lang w:val="en-US" w:eastAsia="en-US" w:bidi="ar-SA"/>
        </w:rPr>
        <w:t>Education Mediation Regulation</w:t>
      </w:r>
      <w:r>
        <w:rPr>
          <w:rFonts w:ascii="arial" w:eastAsia="arial" w:hAnsi="arial" w:cs="arial"/>
          <w:color w:val="000000"/>
          <w:sz w:val="20"/>
          <w:lang w:val="en-US" w:eastAsia="en-US" w:bidi="ar-SA"/>
        </w:rPr>
        <w:t xml:space="preserve"> and failure to use it do not absolve it of its duty to assist the CSF to secure appropriate space where the numbers so warrant.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INTRODUCTION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in this action are parents who have the right for their children to receive minority language education. They are joined by the Conseil Scolaire Francophone de la Colombie Britannique ("CSF"), British Columbia's sole Francophone school board, and the Fédération des parents francophones de la Colombie-Britannique ("FCFCB"), a non-profit organization representing the interests of Francophone parents. Together, they urge the Court to conclude that the defendants the Queen in Right of British Columbia (the "Province") and Minister of Education (the "Minister" or "Ministry") have failed to provide British Columbia's Francophone linguistic minority the resources and facilities that are mandated by s. 23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4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Citizens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whose first language learned and still understood is that of the English or French linguistic minority population of the province in which they reside,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who have received their primary school instruction in Canada in English or French and reside in a province where the language in which they received that instruction is the language of the English or French linguistic minority population of the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 the right to have their children receive primary and secondary school instruction in that language in that province.</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Citizens of Canada of whom any child has received or is receiving primary or secondary school instruction in English or French in Canada, have the right to have all their children receive primary and secondary school instruction in the same language.</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citizens of Canada under subsections (1) and (2) to have their children receive primary and secondary school instruction in the language of the English or French linguistic minority population of a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applies wherever in the province the number of children of citizens who have such a right is sufficient to warrant the provision to them out of public funds of minority language instruction;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includes, where the number of those children so warrants, the right to have them receive that instruction in minority language educational facilities provided out of public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CSF is the Province's means of implementing s. 23 in British Columbia. It offers French language primary and secondary instruction throughout British Columbia. French language instruction is not French immersion instruction. It does not teach English-speakers French as a second language. It teaches Francophone students using French as a language of instruction. In 2014/15, the CSF had 5,382 students enrolled in its roughly 37 programmes province-wide.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23 requires governments to provide the linguistic minority with minority language educational facilities where the numbers so warrant. Since the seminal case of </w:t>
      </w:r>
      <w:r>
        <w:rPr>
          <w:rFonts w:ascii="arial" w:eastAsia="arial" w:hAnsi="arial" w:cs="arial"/>
          <w:i/>
          <w:color w:val="000000"/>
          <w:sz w:val="20"/>
          <w:lang w:val="en-US" w:eastAsia="en-US" w:bidi="ar-SA"/>
        </w:rPr>
        <w:t>Mahe v. Alberta,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[1990] 1 S.C.R. 342</w:t>
        </w:r>
      </w:hyperlink>
      <w:r>
        <w:rPr>
          <w:rFonts w:ascii="arial" w:eastAsia="arial" w:hAnsi="arial" w:cs="arial"/>
          <w:color w:val="000000"/>
          <w:sz w:val="20"/>
          <w:lang w:val="en-US" w:eastAsia="en-US" w:bidi="ar-SA"/>
        </w:rPr>
        <w:t>, it has been clear that the scope of appropriate facilities to which the minority is entitled falls on a sliding scale depending on the number of children likely to participate in the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case explores, for the first time, the full range of that sliding scale. It addresses what facilities are warranted when there are barely enough students to justify offering minority language instruction. Its reach extends through the centre of the sliding scale to consider when the Province must expend public funds to construct new facilities for a modest and dispersed Francophone population. It reaches to the upper echelons of the sliding scale to investigate what is meant by the guarantee of substantively equivalent minority language educational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its core, this case is also about jurisdiction. Section 23 requires the Province to cede its broad and plenary jurisdiction over education to the minority in limited circumstances to allow the minority to exercise a measure of control over matters going to the minority language and culture. This case explores the boundaries of the minority's right to management and control. It asks when the Province may question the minority's decisions and continue to exert its control over the education system. It examines when the Province must do more than cede jurisdiction, and act as an advocate for the concerns of the linguistic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bring a vast and comprehensive challenge to the defendants' system for funding capital projects and, to a lesser extent, the operating funding needs of the linguistic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Much of the plaintiffs' claim relates to the amenities (or lack thereof) in 17 communities: École Élémentaire de la Vallée de Pemberton (Pemberton), École Élémentaire La Passerelle (Whistler), École Élémentaire Les Aiglons (Squamish), École Élémentaire du Pacifique (Sechelt), École Élémentaire des Sentiers-Alpins (Nelson), École Élémentaire Entre-lacs (Penticton), École Élémentaire des Navigateurs (Richmond), École Élémentaire Rose-des-Vents (Vancouver (West)), École Élémentaire Anne-Hébert (Vancouver (East), École Victor-Brodeur (Victoria), École Élémentaire Océane (Nanaimo), École L'Anse-au-Sable (Kelowna), École Élémentaire La Vérendrye (Chilliwack), École Élémentaire Deux-Rives (Mission), the absence of schools in Abbotsford and Burnaby, and École des Pionniers (Port Coquitlam). In a similar vein, they seek funding for a school board office. The nature of the community claims are varied, ranging from complaints about overcrowding to allegations that the CSF does not have a school when it should, to issues about the condition and location of the facilities that the CSF occupies.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Additionally, the plaintiffs seek increased funding and better facilities for the CSF to offer distinct services across the Province: early childhood services, transportation and maintenance. They challenge the entirety of the capital funding system, including the means by which the CSF holds land and improvements, the bases on which the defendants decide what capital projects it will fund and the administrative requirements the plaintiffs must meet to access capital funding. The evidence in support of the claim extends backward in history more than 30 years to the start of minority language education in British Columbia before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Due to the broad scope of the challenge, the trial was lengthy and complex. The plaintiffs filed and served their Statement of Claim in about 2010. The trial began on December 2, 2013, and the evidence concluded in August 2015. The parties argued their case in November and December 2015, and February 2016. Including argument, the trial proceeded over the course of 238 days. On many occasions, the parties were litigating in "real time", with witnesses testifying about matters that had happened only days before. The Court heard from more than 40 lay witnesses, and considered the evidence of about 13 experts. There were more than 1,600 entered exhibits, some of which numbered in hundreds of pages, and dozens more exhibits for identification. The Court received more than 1,000 pages of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result, this decision is one of the longest-- if not the longest-- in this Court's history. While I have tried to be comprehensive, it would be impossible for me to refer to every shred of evidence. The parties can rest assured that I have reviewed, considered and based my conclusions on all the evidence, including that which I do not mention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decision proceeds in five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first part, I make common findings of law and fact concerning the analytical framework for addressing the plaintiffs' challenges. It encompasses the following chapters: Chapter IV, Introduction to Part 1: Analytical Framework; Chapter V, The Remedial Purpose of s. 23 and Assimilation in British Columbia; Chapter VI, The Respective Roles of the Province and the CSF; Chapter VII, The Number of Children; Chapter VIII, Entitlement; Chapter IX, Justification; and Chapter X,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second part addresses the plaintiffs' discrete claims for funding and facilities. I introduce my approach to those questions in Chapter XI, Introduction to Part 2: Discrete Requests for Facilities. I consider the claimed facilities in Chapter XII, Public Funds; Chapter XIII, The Annual Facilities Grant; Chapter XIV, Transportation; and Chapter XV, Linguistic and Cultural Programming.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third part makes up the substance of the decision. It concerns the plaintiffs' claims for new or improved schools in 17 communities (the "Community Claims") and a new school board office. I summarize my approach to those chapters in Chapter XVI, Introduction to Part 3: The Community Claims, and address the claims in Chapters XVII through XXXIII.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Chapter XXIV, École Élémentaire Rose-des-Vents (Vancouver (West)), serves a dual purpose. In April or May 2015, following the decision by the Supreme Court of Canada in </w:t>
      </w:r>
      <w:r>
        <w:rPr>
          <w:rFonts w:ascii="arial" w:eastAsia="arial" w:hAnsi="arial" w:cs="arial"/>
          <w:i/>
          <w:color w:val="000000"/>
          <w:sz w:val="20"/>
          <w:lang w:val="en-US" w:eastAsia="en-US" w:bidi="ar-SA"/>
        </w:rPr>
        <w:t>Association des parents de l'école Rose-des-vents v. British Columbia (Education)</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2015 SCC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this case was joined with a related petition (the "Petition"). In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xml:space="preserve"> the Court upheld the Petition judge's decision that rightsholders living in Vancouver (West) are not being provided the minority language educational facilities guaranteed to them by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Because the hearing of the Petition was staged, several issues remained to be decided: responsibility, justification and remedies. The evidence in this action stands as evidence in the Petition for the purposes of deciding those questions, which I do in Chapter XXIV.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fourth part addresses the plaintiffs' challenges to the entirety of the Province's capital funding system. It is based on the findings of fact I make in the preceding Community Claim chapters. I introduce that section in Chapter XXXIV, Introduction to Part 4: the Systemic Claim. I address the substantive arguments in Chapter XXXV, Leases; Chapter XXXVI, Expansion Projects and the Enrolment Driver; Chapter XXXVII, Building Condition Projects and the Building Condition Driver; Chapter XXXVIII, Site and School Acquisition Projects; Chapter XXXIX, Community Planning; and Chapter XL, Administrative Requirements of the Capital Funding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final part, I consider two of the defendants' defences and the need for the Province to take concrete steps to address the rights breaches that I find in this claim. I introduce that part in Chapter XLI, Introduction to Part 5: The Province's Defences and Remedies in Support of the CSF. The final part includes: Chapter XLII, Lack of Funds and A Capital Envelope for the CSF; and Chapter XLIII, Duty to Assist the CSF and the Education Mediation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Due to the many defined terms in this decision, I include as an appendix a glossary of the most important defined terms that I refer to in more than one chapter.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Before embarking on the analysis, I begin by reviewing the background information essential to understanding the decision: findings concerning the key witnesses and an overview of the capital funding system for education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Key Witnesses and Individuals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Ministry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Three Ministry officials testified for the defendants. Each of them served for a period of time in a senior capacity with the Ministry division responsible for the management and allocation of capital funds (the "Capital Branch")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Keith Miller was employed by the Ministry in various capacities from 1990 until his retirement in April 2013. His background is in urban and regional planning. In 1994, Mr. Miller became the Ministry's Manager of Capital Planning, and in 1999 the Director of Capital Planning. When the position was created in 2002, Mr. Miller became Lead Director, a position equivalent to Assistant Deputy Minister today. Around 2008, Mr. Miller's role expanded as he became Executive Finance Officer, with responsibility for establishing Ministry operating budgets and spending. He held that role until his retirement from the Ministry in April 2013. Mr. Miller was a forthright and credible witness. While his memory was weak on some occasions, he was always honest about his lack of recollection when his memory failed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Douglas Stewart is a long-time public servant, who was involved with the CSF until his retirement in March 2014. He is an accountant by training, having received his CGA designation in 1990. He began working for the Province in 1985, where he started his career at the Ministry of Health. In 1994, he moved to the Ministry, beginning as Assistant Director in the Ministry's Capital Branch. He also held positions as the Assistant Director of the Capital Branch, and later the Director of Funding, then the Director of Capital. On Mr. Miller's retirement, he became Acting Assistant Deputy Minister until January 2014. He retired in March 2014. While Mr. Stewart was generally credible, his evidence was often couched in the language of a cautious bureaucrat. The use of that language made it so he often did not respond directly to the questions that were put to him. As a result, some of his evidence was vague and non-responsive. I do not find that this took away from his credibility. However, it does make some of his evidence of limited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Joel Palmer has a background in Urban Geography and began working for the BC Public Service in about 2003. Mr. Palmer began his tenure with the Ministry in January 2008, where he began as the Director of Learning Initiatives, with responsibility for the provincial curriculum, graduation standards and green initiatives. He held that position until March 2011, when he moved to the Capital Branch. He worked as a Regional Manager in that branch, overseeing a Planning Officer and a number of districts and branch programmes. In March 2012, he began working with the CSF's Planning Officer, and thus became responsible for the CSF. In August 2013, Mr. Palmer became the Acting Executive Director of the Capital Branch, a position that became permanent in April 2014. After Mr. Palmer finished testifying in the spring of 2015, the Court received evidence that he had left the Ministry. Overall, Mr. Palmer was an honest and credible witness. He gave measured, forthright evidence. He refrained from attempting to malign the CSF when it would have been easy for him to do so. His evidence showed no embellishment or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 notable witness who did not testify is Mr. John Cavelti. Mr. Cavelti is the Ministry Planning Officer who is responsible for working directly with the CSF on all of its capital projects. Given the importance of the CSF and Mr. Cavelti maintaining a working relationship, it is understandable that 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Another missing witness is Mr. Peter Owen. Mr. Owen served in senior capacities with the Ministry's Governance and Legislation division for most of the CSF's existence. He retired from the Ministry several years ago. He was heavily involved with the CSF in its early years. Mr. Stewart, at least, testified that he was no longer in contact with Mr. 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also provided evidence of some records kept in the ordinary course of business by way of affidavits from Mr. Palmer, Mr. Ken Frith, Mr. Karlic Ho, Mr. James Shypitka and Mr. Michael Lebrun. Having reviewed those affidavits, I conclude that the records kept therein are reliable and objective.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CSF Administrators and Educators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All three of the CSF's senior facilities administrators testified at trial. Dr. Nicolas Ardanaz was the CSF's first CEO from 1996 until 2004. Mr. Guy Bonnefoy was the Secretary-Treasurer from 2004 to 2009. Mr. Sylvain Allison was the CSF's Secretary-Treasurer from 2010 to present. All three provided historic evidence concerning the CSF's capital requests, interactions with the Ministry and other school districts and the status and condition of CSF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Ardanaz gave evidence that dates back to the inception of the Programme Cadre in the 1970s and the earliest years and capital requests by the CSF. He was shown to have a strong recollection of most events and circumstances. While his memories were confused on a few occasions, I do not find that this took away from his overall credibility. He was usually professional and courteous, although he became argumentative and un-cooperative while under cross-examination on a few occasions. I found him to generally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Bonnefoy was likewise generally a credible witness. He became argumentative on cross-examination from time to time when his personal commitment to the CSF became evident. However, he displayed a professional, credible and objective demeanor through most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Allison was argumentative and unco-operative while he was under cross-examination. He frequently refused to accede to minor propositions that he had previously agreed to. He tended to embellish evidence to make the CSF appear better, and was shown to have made misrepresentations in his communications with the Ministry. He displayed a passion for the CSF and an animosity to the Ministry that made him appear to lack objectivity. Overall, I did not find him to be a credible witness. Where Mr. Allison's account differs from the account of another witness, I usually prefer the response given by the 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also called as witnesses 13 educators who work in CSF schools: Ms. Pascale Bernier, Ms. Fariba Daragahi, Ms. Marie-Christine Bellerose, Ms. Caroline Picard, Mr. Réjean Gosselin, Ms. Catherine Drapeau, Mr. Michel Tardif, Ms. Nicole Chagnon, Ms. Marie-Claude Gilbert, Ms. Annie Bédard, Ms. Johanne Asselin, Mr. Daniel Blais, and Ms. Nathalie Butters. Each of them provided current and historical descriptions of the amenities and use of space at the CSF schools where they worked, and various CSF programmes that they were involved with implementing. Where I have concerns about their reliability, I comment on it in the chapters that apply to the communities where they worked.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Confidentiality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March 25, 2014, on application by the defendants, I ordered that certain evidence in this trial is subject to public interest immunity and is banned from publication to preserve the confidentiality of Cabinet and Treasury Board documents (the "Confidentiality Order"). The Confidentiality Order endures. From time to time, I make reference to some conclusions that I reach based on the evidence subject to the Confidentiality Order. However, I do not discuss any of the details of their contents.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INTRODUCTION TO THE CAPITAL PLANNING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BC's education sector is co-managed by the Ministry and 60 elected school boards. Fifty-nine school boards each have responsibility for a specified school district territory, and serve the majority of students living in those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School boards operate autonomously from the Provincial government. They own schools and are responsible for delivering the education programme. Since a wave of deregulation in about 2002, school boards have managed their assets and their operations with a great deal of autonomy.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Like majority school boards, the CSF is responsible for delivering education in British Columbia, but only to students in the Francophone linguistic minority. Its territory includes the entire province of British Columbia, and therefore overlaps with the territories of the 59 majority school districts. It, too, operates with considerable autonomy. The CSF owns some of its schools, and leases others. All of the schools the CSF owns and some of its leased schools operate in stand-alone buildings and house only students in the linguistic minority. They are known as "homogeneous" schools. Sometimes, the CSF leases and shares space for its programmes with a majority school board. These programmes are referred to as "heterogeneous"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school boards exercise a great deal of autonomy, the Minister continues to play a role. The Province funds the education sector and the Minister sets policies and procedures for accessing funds. It also establishes Provincial norms and guidelines with which all school boards must comply.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case is concerned primarily with the Province's system for funding capital projects. For more than 25 years, the Ministry has decided what capital projects it will fund using some variation of a "Capital Planning Cycle": a regular cycle that involves school boards notifying the Ministry of their needs, the Ministry informing Treasury Board of capital needs across the education sector, Treasury Board providing the Ministry with a Capital Envelope, and the Ministry and Treasury Board approving capital project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To properly appreciate the evidence in this case, it is necessary to have an understanding of those Capital Planning Cycles. Here, I outline the core concepts and processes underlying Capital Planning Cycles, focusing on the Capital Planning Cycle's components, policy trends that have influenced it, and the tools that allow it to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Components of the Capital Planning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Ministry and school boards share responsibility for managing capital assets. According to Mr. Miller, school boards are responsible for deciding when new schools are needed, and when they should be closed. School boards are also responsible for maintaining schools throughout their economic lives. The Ministry is responsible for allocating capital funding to school boards so they can achieve those ends. It does so using Capital Planning 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From the Ministry's perspective, a Capital Planning Cycle begins with the Provincial budget. Flowing from the budget, the Ministry of Finance sends the Ministry capital budget instructions, which may give the Ministry some direction about how much capital funding it can allocate and what types of capital projects it should prioritize. The Ministry converts the instructions into "Capital Plan Instructions": a set of instructions that establishes the process for school districts to request capital project funding through that year's Capital Planning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From a school board's perspective, a Capital Planning Cycle begins with the Capital Plan Instructions. Based on the instructions, districts prepare a "Capital Plan Submission": a document in prescribed form prepared by school boards to notify the Ministry of the capital projects that the board wants to complete over the course of the next five years. When a district is looking to meet enrolment needs, it is likely to propose acquiring new sites and constructing new schools. It may also consider building additions, or renovating closed schools or non-school buildings that the district already owns. These are known as "Expansion Projects". In advance of an Expansion Project, a school board may request the acquisition of a site for that school, known as a "Site Acquisition Project". If the school's building asset base is aging, it is likely to request renovations or replacement of schools that are near the end of their economic lives. These are known as "Building Condition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Pursuant to the Capital Plan Instructions, school boards are always required to rank their project proposals by order of priority, then submit their Capital Plan Submissions to the Ministry using an electronic programme called "WebCaps". For their highest-priority projects, districts are also expected to prepare and submit supporting feasibility work, in the form of a Project Information Report, or "PIR".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School boards submit their Capital Plan Submissions to the Capital Branch's "Planning Officers" and "Regional Managers", who review them and assess the relative need for capital projects. They use mapping tools to assess enrolment demand and the relative need for Expansion Projects across the Province. They review data about facility condition, the Facility Condition Index ("FCI"), to assess the relative need for Building Condition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Using these tools, Ministry staff members assess each project individually, and communicate back to the district how the Ministry views the project using a document called an "Echo Report". The Echo Report assigns a threshold ranking of high, medium or low, or as "NPIR" to indicate that the district did not submit feasibility work for that project. Further conversations with school board staff might result in some changes to the assessment of the projects in the Echo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their assessment of the need for the proposed projects, Ministry staff prepare a "Consolidated Capital Plan": a document that sequentially ranks high-priority projects across the Province against one another by order of relative need. The plan includes a shortlist of projects that the Ministry is prepared to support. It also typically includes a document explaining the strategic need for capital projects across the education sector. This plan is then submitted to Treasury Board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Based on the Consolidated Capital Plan, Treasury Board allocates the Ministry a "Capital Envelope": a set of spending targets with associated strategies or priorities for the Ministry to focus on within those targets. In that way, Treasury Board effectively approves all or part of the Ministry's Consolidated Capital Plan. For example, Treasury Board may direct the Ministry to move ahead with a certain number of the highest-priority Expansion Projects in the Consolidated Capital Plan, up to a certain dollar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Then, it is left to the Ministry to notify school boards what projects have been supported. Once a project is supported, the Ministry and the school board work together to create a project definition report, or "PDR", based on the PIR. The PDR is more detailed feasibility work that finalizes the scope, strategies and budget for the capital project. Once the PDR is complete, the Ministry submits the project to Treasury Board for final approval. Once Treasury Board approves the project, the PDR forms the basis of a "Project Agreement", which acts as a contract between the Ministry and the school board. The school board then manages the project through its construction in accordance with the Project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 Policy Trends Influencing the Capital Planning Cycle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the steps in the Capital Planning Cycle have remained relatively constant, the frequency and manner in which they occur have changed with time to align with various policy trends. Here, I explain three of the most important ones: demographics, fiscal trends and Capital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Demographic Trends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 to Mr. Miller, demographics have historically had a significant impact on Ministry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Mr. Miller first joined the Ministry in 1990, school districts had experienced stable or declining enrolment for about 10 years. In 1991, enrolment began to increase dramatically. In 1992/93, 17,000 new students entered the school system in one year. This trend continued until about 1998, with 8,000 to 10,000 students entering the system in many years. Between 1990 and 1998, about 85,000 to 90,000 students entered the education system. Enrolment peaked at about 605,000 to 610,000 students in about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Since 1998, enrolment across the education sector has decreased significantly. As of the 2014/15 school year, there were about 525,000 students in the education system: about 80,000 fewer students than were in the education system at its peak in 1998. The education system has therefore lost as many students in the past 15 years as it gained in the first eight years of enrolment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enrolment decline has not been uniform across the province. Mr. Miller explained that as of his February 2012 discovery, 55 school districts were experiencing declining enrolment. Five districts had growing enrolment. SD36-Surrey, for example, was growing by 1,500 to 2,500 students per year, and expected to build several elementary schools annually for several years going forward. Other school districts in the Lower Mainland and Fraser Valley regions of the Province had stable or growing enrolment year-over-year. There was also some growth in Northern British Columbia, driven by oil and gas development. The CSF, too, was and continues to be a growing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According to Mr. Miller, for some time, "BC Stats", the Province's central statistical agency, has projected that enrolment in BC schools would begin to increase beginning in 2015. Mr. Michael LeBrun, the Ministry's primary point of contact with BC Stats, testified in 2015 that projections now forecast enrolment growth of a lesser magnitude, and beginning a few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 Fiscal Trends and the Regularity of Capital Planning Cycles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Capital Planning Cycles occurred annually for many years, it has become less regular in recent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1990, when Mr. Miller first arrived at the Ministry, the Ministry's capital spending was about $25 million to $125 million per year. As enrolment began to increase, the Ministry began to receive large injections of capital funds. In 1991/92, the Ministry's Capital Envelope was about $650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enrolment began to increase, Capital Planning Cycles proceeded annually, with the Ministry issuing Capital Plan Instructions in the spring, school districts finalizing their Capital Plan Submissions in the summer and fall, and the Province announcing new projects early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Miller confirmed that between about 1992 and 2002 the Province provided the Ministry with funding of almost $4 billion for school construction: an investment in constructing 104 new schools and 473 additions, and replacing and renovating 102 older buildings. That funding provided 136,650 new spaces for students. About one quarter of that funding ($1 billion) was spent on maintaining existing buildings, undertaking health and safety improvements, improving access for disabled persons, funding capital losses through self-insurance and purchasing school buses and portable classrooms.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Provincial Government changed in 2002/03. That year, Mr. Miller explained, the Ministry did not request Capital Plan Submissions from school districts. In 2003/04, the Province directed the Ministry to change its process such that capital projects would be approved three years prior to the planned construction start date. The three-year Capital Planning Cycles continued until 2005/06, at which point there were no further capital project approvals for Expansion or Building Condition Projects until the fall of 2011. In most of those years, the Ministry asked school boards to prepare and submit Capital Plan Submissions, although the Ministry knew it was unlikely that it would receive Capital Envelopes for Expansion and Building Condition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Palmer confirmed that since about October 2011, more capital funding has been available than was available in the mid-2000s. The Ministry announced some Expansion Projects in 2011, some projects to improve seismic vulnerability in 2012 and 2013, and several discrete projects. Those projects were not approved through regular, annual Capital Planning Cycles.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Capital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Capital envelopes are designed to address several types of "Capital Drivers": the strategic priorities based on school district capital needs that drive the capital funding system. The Minister communicates to Treasury Board what he or she views as the most important Capital Drivers in a narrative appended to the Consolidated Capital Plan. Based on that, Treasury Board decides what Capital Drivers the Ministry should address using the Capital Envelope. With few exceptions, these policy objectives are crafted by Cabinet, and implemented by the Ministry, with no input from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many years, the most important Capital Drivers were Building Condition (the "Building Condition Driver") and Expansion or Enrolment (the "Enrolment Driver"). The Province tended to prioritize health and safety Building Condition Projects, then Expansion Projects, followed by Building Condition Projects to address school buildings that had reached the end of their economic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addition to addressing Expansion and Building Condition needs, in more recent years Treasury Board has targeted Capital Envelopes to other discrete Capital Drivers. In the late 1990s and early 2000s, the Province received Capital Envelopes targeted to Expansion Projects that would reduce the number of portables in the education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Since 2004, the most significant Capital Driver has been seismic vulnerability. Beginning in about 2004 the Ministry undertook seismic risk assessments of schools in seismic zones, and identified about 183 schools that presented a high or moderate seismic risk. The high-risk projects are ranked as H1, H2 or H3 depending on their level of risk, with H1 indicating the highest-risk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Ministry is currently embarking on a plan to retrofit all the H1 projects in the Province. While districts are meant to request seismic projects in their Capital Plan Submissions, the Province sometimes supports projects for H1 schools where the school board has not requested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Ministry is very concerned with ensuring that seismic projects are limited to work intended to retrofit the building to mitigate seismic risk. The Ministry requires special feasibility work (a Seismic PIR) and uses an expert panel to ensure that seismic projects are not used for wholesale school building renewal. However, on rare occasions where seismic remediation is expensive and it is cost-effective over the lifecycle of an aging building, the Ministry may support a school board's request for a full replacement as a seismic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Province also prepared Capital Envelopes in 2010 to create space for instructing all Kindergarten students on a full-time basis. Prior to 2011/12, most students attended Kindergarten on a part time basis. When the Ministry introduced full-day Kindergarten in 2011/12, the Ministry needed to double the number of Kindergarten classrooms in the Province. Ministry staff worked with school districts to identify surplus classrooms. That work suggested school districts required space for 650 additional students. The Ministry worked with a $144 million Capital Envelope to renovate buildings and to build modular classrooms for full-day Kindergarten.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 Tools in the Capital Planning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Over the course of a Capital Planning Cycle, the Ministry and school districts use a number of tools. Below, I highlight the most important tools: the Capital Plan Instructions and Unit Rates; Area Standards; Feasibility Studies; the PIR, PDR and Project Agreement; the Space Rank Formula and FCI Scores; and threshold rankings and the Echo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 Capital Plan Instructions, Unit Rates and Area Standards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Capital Plan Instructions establish the Ministry's capital planning policy for a given year. Those instructions explain to the 60 school boards what information they must provide to the Ministry in their Capital Plan Submissions. The Ministry has provided districts with Capital Plan Instructions every year since at least 2002/03, with the exception of 2011/12.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Capital Plan Instructions include a compendium of Unit Rates, which the Ministry has used since about 1988. The Unit Rates establish a cost standard in dollars per square metre that applies to capital projects. In that way, they establish uniform budgets for capital projects to ensure equitable school quality from district to district. School boards cannot build schools that exceed the budget established by the Unit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Miller explained that the Unit Rates are based on the cost of building a prototype model school. The Ministry determines the cost per square metre of building each amenity in the prototype school if it were to be built in Vancouver. The Ministry then adjusts the base cost to reflect the cost of building in the geographic region where the project is proposed. The Ministry updates the Unit Rates every five to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Capital Plan Instructions also append a set of "Area Standards". The Area Standards specify the size of building and amenities that can be built for a given capacity of students. There are Area Standards specific to each type of school district building: elementary, middle and secondary schools; maintenance facilities; board offices and sites. Mr. Miller acknowledged the Area Standards, like Unit Rates, are designed to ensure building size equity across all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For school buildings, the Area Standards establish a size allocation for various spaces within a school, such as a library or gymnasium, as well as the building's overall envelope. School districts have some flexibility, within reasonable limits, to build slightly more or less of a certain type of space so long as the school does not exceed the total space allocation established by the Area Standards. School boards use the Area Standards to develop a budget to support their capital request. This informs the Project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 Feasibility Studies, the PIR, the PDR and the Project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Beginning in about 2002, Government developed an interest in ensuring that school boards support their proposed capital projects using a business case analysis. The Ministry therefore requires school boards to present feasibility work to show that a proposed project is necessary and cost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To that end, since about 2009/10, school boards have been required to submit PIRs in support of their highest-priority capital project requests. Most school boards hire outside contractors to prepare their PIRs. Beginning in the summer of 2013, the CSF prepared many PIRs in-house (the "In-House PIRs").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 PIR must identify options for responding to an identified need, and delineate the relative cost of each option. The PIR recommends the option a school board wants to pursue. While the Ministry may disagree with a recommendation, the PIR is nevertheless important to assist the Ministry to confirm the school board's request and ensure it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If the project is supported, it goes through a more detailed feasibility analysis resulting in a PDR. Mr. Miller explained that after the Ministry announces support in principle for a capital project, the Minister will be interested in arriving at the most cost-effective option for responding to the school board's need. That may differ from the recommendation in the PIR. The Ministry and the school board therefore negotiate to delineate the best option for responding to the need, as well as the appropriate capacity and scope of a capital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According to Mr. Miller, the PDR identifies options, chooses the appropriate response, and establishes the budget for the project. It also establishes the timeline for completing the project, outlines how and when money will flow, stipulates the size of the school in light of the Area Standards, and lists identified risks with a mitigation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Miller advised that the PDR then informs a Project Agreement. The Project Agreement is a contract between a school board and the Minister on behalf of the Province. It sets out the approved scope and budget for the project, and identifies the sources of funding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Once the Project Agreement is in place, the Ministry provides the school board with a Certificate of Approval that it uses in a manner similar to a line of credit. The funds are only drawn once a contractor invoices the school board for a service.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Space Rank and FCI Scores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Miller advised that school boards often try to lobby the Ministry for capital projects. To mitigate the politicization of the Capital Planning Cycles, the Ministry prioritizes projects using tools designed to ensure that the process is rational and fair: the Space Rank Formula and the FCI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"Space Rank Formula" is designed to assist the Ministry to analyze and rank the relative need for Expansion Projects. The formula looks at current and projected enrolment and compares that to the capacity in schools proximate to the proposed project. The Ministry's goal is to ensure that enrolment warrants the construction of more student spaces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Ministry assesses the relative need for Building Condition Projects using the FCI score. The FCI is expressed as a ratio of the value of a building's deficiencies against its replacement value. As the FCI score approaches 1, the building is reaching the end of its economic life. As it approaches zero, the building is fairly new. The Ministry currently maintains a database with the FCI score for every school and administrative facility in British Columbia, which it uses to determine what Building Condition Projects will go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 Threshold Ministry Rankings and the Echo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receiving Capital Plan Submissions from school boards, Ministry staff perform a threshold ranking of projects, identifying them as low, medium or high priority projects, or as NPIR to indicate that no PIR was prepared for a project. The Ministry assigns an Expansion Project a high, medium or low threshold priority based on the extent to which enrolment exceeds capacity three years into the future. Expansion Projects are ranked as a high priority where elementary enrolment will be at least 50 students above existing capacity, or where a secondary enrolment will be 75 students over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Building Condition Projects are given a threshold ranking based on their FCI score. A Building Condition Project receives a high threshold ranking where it has an FCI score greater than 0.6, meaning that 60% of the economic life of the school has been depleted.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most instances, only projects that have a high threshold ranking move on for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Since PIRs became a requirement in 2009/10, if a school district does not prepare a PIR for a proposed project, the Ministry usually will not rank the project as high, medium or low. Without a PIR, the Ministry considers that it has insufficient information to rank the project, and assigns it a threshold ranking of NPIR. In most instances, a project with a threshold ranking of NPIR does not move forward for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After performing its threshold rankings, the Ministry sends school boards an Echo Report: a document that reports back to school boards the list of proposed projects the Ministry received, and confirms the school board's prioritization and the Ministry's threshold ranking for projects. Upon seeing in an Echo Report that the Ministry does not give a project a high threshold ranking, a school board may try to persuade the Ministry otherwise. If the school board is successful, the Ministry may update the information and send a new Echo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INTRODUCTION TO PART 1: ANALYTICAL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first part of these reasons defines the legal and factual framework that informs the balance of the decision. I begin by outlining the purpose and background of s. 23, as well as the pertinent factual context in British Columbia (Chapter V, The Remedial Purpose of s. 23 and Assimilation in British Columbia). I then consider the jurisdictional boundaries at play and the respective roles of the Province and the CSF (Chapter VI, The Respective Roles of the Province and the CSF). From there, I turn to the key steps in the section 23 analysis: calculating the number of children (Chapter VII, The Number of Children), determining what facilities that number is entitled to (Chapter VIII, Entitlement), considering section 1 justification (Chapter IX, Justification) and crafting an appropriate remedy (Chapter X, 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THE REMEDIAL PURPOSE OF S. 23 AND ASSIMILATION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Like other provisions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 23 is to be interpreted remedially and purposively. This Court must be alive to the particular background and context in British Columbia: the history of Francophone education and the rate of assimilation. Below, I summarize the legal principles concerning s. 23's purpose before discussing the British Columbia context, and the role that schools play in enhancing the Vitality of the French language and culture.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Interpretive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parties generally agree about the purpose of s. 23 and its interpretive principles. However, they emphasize different aspects of the jurisprudence.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I see it, the line of cases that have considered the purpose of s. 23 emphasizes its important goal of protecting Canada's strength and unity by preserving its official languages and their cultures.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Education Act (Ont.) and Minority Language Rights</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(1984), 47 O.R. (2d) 1</w:t>
        </w:r>
      </w:hyperlink>
      <w:r>
        <w:rPr>
          <w:rFonts w:ascii="arial" w:eastAsia="arial" w:hAnsi="arial" w:cs="arial"/>
          <w:color w:val="000000"/>
          <w:sz w:val="20"/>
          <w:lang w:val="en-US" w:eastAsia="en-US" w:bidi="ar-SA"/>
        </w:rPr>
        <w:t xml:space="preserve"> (C.A.) [Ontario Education Act Reference], the Ontario Court of Appeal set out at length the historical background of s. 23. The Court opined that s. 23 is aimed at preserving the future strength and unity of the country. To that end, the section seeks to preserve the minority language and thus the culture of the minority by providing a right to minority language education (at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 historical background set out earlier, it is possible to draw certain conclusions as to the nature of the problem which s. 23 of the Charter was designed to ameliorate. Since 1867, the French and English languages have had official status in Canada. The Charter has recognized bilingualism. Its provisions apply to both anglophones and francophones wherever they may reside. </w:t>
      </w:r>
      <w:r>
        <w:rPr>
          <w:rFonts w:ascii="arial" w:eastAsia="arial" w:hAnsi="arial" w:cs="arial"/>
          <w:color w:val="000000"/>
          <w:sz w:val="20"/>
          <w:u w:val="single"/>
          <w:lang w:val="en-US" w:eastAsia="en-US" w:bidi="ar-SA"/>
        </w:rPr>
        <w:t>No doubt with a view to the future strength and unity of the country, it has made provision for minority language education rights. In each province throughout the country, the members of one or other of the official language groups are now and probably always will be in the minority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Prior to the passage of the Charter, the necessity of preserving the minority language and thus the culture of the minority by educational rights had been recognized.</w:t>
      </w:r>
      <w:r>
        <w:rPr>
          <w:rFonts w:ascii="arial" w:eastAsia="arial" w:hAnsi="arial" w:cs="arial"/>
          <w:color w:val="000000"/>
          <w:sz w:val="20"/>
          <w:lang w:val="en-US" w:eastAsia="en-US" w:bidi="ar-SA"/>
        </w:rPr>
        <w:t xml:space="preserve"> The Royal Commission on Bilingualism and Biculturalism stressed this principle. It has been observed that the Premiers' Conferences held in 1977 and 1978 unanimously recognized and stressed this concept. Section 23 of the Charter has given effect to this principle and made it part of the "supreme law of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Supreme Court of Canada elaborated on the purpose of s. 23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seminal case on the interpretation of s. 23. Chief Justice Dickson, writing for the Court, explained that s. 23 seeks to preserve and promote Canada's two official languages, as well at their respective cultures, by allowing each language to flourish in those provinces where it is not spoken by the majority of the population (at 362). Chief Justice Dickson emphasized his reference to minority culture, stressing that a broad guarantee of language rights, especially in the context of education, cannot be separated from a concern for the culture associated with the language. He explained that minority schools promote and preserve minority language and culture by providing community centres where members of the minority can meet, and facilities that can be used to express culture (at 362-363).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Solski (Tutor of) v. Quebec (Attorney General)</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[2005] 1 S.C.R. 201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Solski</w:t>
      </w:r>
      <w:r>
        <w:rPr>
          <w:rFonts w:ascii="arial" w:eastAsia="arial" w:hAnsi="arial" w:cs="arial"/>
          <w:color w:val="000000"/>
          <w:sz w:val="20"/>
          <w:lang w:val="en-US" w:eastAsia="en-US" w:bidi="ar-SA"/>
        </w:rPr>
        <w:t xml:space="preserve">], emphasized the importance of s. 23 to the broader protection of minority rights noted to be a constitutional principle in </w:t>
      </w:r>
      <w:r>
        <w:rPr>
          <w:rFonts w:ascii="arial" w:eastAsia="arial" w:hAnsi="arial" w:cs="arial"/>
          <w:i/>
          <w:color w:val="000000"/>
          <w:sz w:val="20"/>
          <w:lang w:val="en-US" w:eastAsia="en-US" w:bidi="ar-SA"/>
        </w:rPr>
        <w:t>Reference re Secession of Quebec</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[1998] 2 S.C.R. 217</w:t>
        </w:r>
      </w:hyperlink>
      <w:r>
        <w:rPr>
          <w:rFonts w:ascii="arial" w:eastAsia="arial" w:hAnsi="arial" w:cs="arial"/>
          <w:color w:val="000000"/>
          <w:sz w:val="20"/>
          <w:lang w:val="en-US" w:eastAsia="en-US" w:bidi="ar-SA"/>
        </w:rPr>
        <w:t>. Thus, the Court found that the provision promotes robust and vital minority language communities that are essential for Canada to flourish as a bilingual country. Section 23 reflects the essential role played by French and English in Canada's contemporary life, and the need for both language communities. To that end, the Court stated that education rights are a requisite tool to achieving linguistic and cultural Vitality, and thus "form the cornerstone of minority language rights protection" (at paras. 2-3;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Madam Justice Karakatsanis summarized the purposes underlying s. 23 at paras. 25-27. She, too, emphasized the role that s. 23 plays in enshrining Canada's commitment to bilingualism and biculturalism, setting Canada apart among nations. She confirmed that s. 23 is crucial to maintaining the partnership between Canada's two official language groups. She emphasized that s. 23 goes beyond ensuring language rights, and ensures the preservation of the culture associated with the minority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take from the cases the following purpose of s. 23. The right to minority language education in s. 23 is designed to preserve and promote Canada's two official languages, and thus the culture associated with those languages, so that they may flourish, so far as possible, in those regions where the language group is in the minority. By promoting the development of robust minority language communities through minority language education, s. 23 is designed to enhance our country's bilingualism and biculturalism, and maintain the unique partnership between language groups that sets our country apart among nations.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Interpretive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plaintiffs urge the Court to adopt a liberal and purposive interpretation of s. 23 that will encourage the flourishing and preservation of the French-language minority in the province. The plaintiffs also highlight the remedial purpose of s. 23, suggesting that its aim is to halt the erosion of the minority language and actively promote the flourishing of both language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agree that s. 23 is a remedial provision. However, in their submission, that is not the sole consideration. The defendants emphasize that s. 23 reflects a political compromise. In that sense, they say that the rights in s. 23 are not absolute, and necessarily involve a balancing of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Reference re Public Schools Act (Man.), s. 79(3), (4), (7)</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[1993] 1 S.C.R. 839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Manitoba Schools Reference</w:t>
      </w:r>
      <w:r>
        <w:rPr>
          <w:rFonts w:ascii="arial" w:eastAsia="arial" w:hAnsi="arial" w:cs="arial"/>
          <w:color w:val="000000"/>
          <w:sz w:val="20"/>
          <w:lang w:val="en-US" w:eastAsia="en-US" w:bidi="ar-SA"/>
        </w:rPr>
        <w:t>], the Court proposed a series of principles for interpreting s. 23. First, courts should interpret s. 23 rights purposively. This means that the interpretation of s. 23 should be guided by "that which will most effectively encourage the flourishing and preservation of the French-language minority in the province." It should also be construed remedially to recognize the previous unredressed injustices that required the entrenchment of protection for minority language rights (at 850). A purposive interpretation may also require that different interpretive approaches be taken in different jurisdictions, to be sensitive to the background context, or the "unique blend of linguistic dynamics that have developed in each province" (at 851).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remedial aspect of s. 23 is important.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Dickson C.J.C. stressed that s. 23 seeks to remedy an existing problem in Canada by changing the status quo. In particular, s. 23 was designed to correct the progressive erosion of minority official language groups, and to create an equal partnership between the two languages in the context of education (at 363-364). See also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25, and </w:t>
      </w:r>
      <w:r>
        <w:rPr>
          <w:rFonts w:ascii="arial" w:eastAsia="arial" w:hAnsi="arial" w:cs="arial"/>
          <w:i/>
          <w:color w:val="000000"/>
          <w:sz w:val="20"/>
          <w:lang w:val="en-US" w:eastAsia="en-US" w:bidi="ar-SA"/>
        </w:rPr>
        <w:t>Doucet-Boudreau v. Nova Scotia (Minister of Education)</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2003 SCC 62</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Arsenault-Cameron v. Prince Edward Island,</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2000 SCC 1</w:t>
        </w:r>
      </w:hyperlink>
      <w:r>
        <w:rPr>
          <w:rFonts w:ascii="arial" w:eastAsia="arial" w:hAnsi="arial" w:cs="arial"/>
          <w:color w:val="000000"/>
          <w:sz w:val="20"/>
          <w:lang w:val="en-US" w:eastAsia="en-US" w:bidi="ar-SA"/>
        </w:rPr>
        <w:t>, the Court provided further guidance concerning s. 23's remedial aspect. The Court explained that since s. 23 is remedial, courts must consider the historic and social context of the situation to be redressed, including reasons why an education system did not respond to the actual needs of official language minorities in 1982 and at the time of the decision. Courts must also take into account the importance of language and culture in instruction and the importance of official language minority schools to the development of the official language minority community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focus on the social context and history was emphasized again in </w:t>
      </w:r>
      <w:r>
        <w:rPr>
          <w:rFonts w:ascii="arial" w:eastAsia="arial" w:hAnsi="arial" w:cs="arial"/>
          <w:i/>
          <w:color w:val="000000"/>
          <w:sz w:val="20"/>
          <w:lang w:val="en-US" w:eastAsia="en-US" w:bidi="ar-SA"/>
        </w:rPr>
        <w:t>Solski</w:t>
      </w:r>
      <w:r>
        <w:rPr>
          <w:rFonts w:ascii="arial" w:eastAsia="arial" w:hAnsi="arial" w:cs="arial"/>
          <w:color w:val="000000"/>
          <w:sz w:val="20"/>
          <w:lang w:val="en-US" w:eastAsia="en-US" w:bidi="ar-SA"/>
        </w:rPr>
        <w:t>. There, the Court averted to the sensitive nature of minority language rights, and opined that courts considering language rights must reconcile divergent interests and priorities, while being sensitive to the future of each language community. The Court noted that because of this, the backdrop to the interpretation of language rights would necessarily be comprised of social context, demographics and history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Despite the Court's focus on a remedial interpretation, some decisions have suggested that s. 23 should be interpreted restrictively. In </w:t>
      </w:r>
      <w:r>
        <w:rPr>
          <w:rFonts w:ascii="arial" w:eastAsia="arial" w:hAnsi="arial" w:cs="arial"/>
          <w:i/>
          <w:color w:val="000000"/>
          <w:sz w:val="20"/>
          <w:lang w:val="en-US" w:eastAsia="en-US" w:bidi="ar-SA"/>
        </w:rPr>
        <w:t>Manitoba Schools Reference</w:t>
      </w:r>
      <w:r>
        <w:rPr>
          <w:rFonts w:ascii="arial" w:eastAsia="arial" w:hAnsi="arial" w:cs="arial"/>
          <w:color w:val="000000"/>
          <w:sz w:val="20"/>
          <w:lang w:val="en-US" w:eastAsia="en-US" w:bidi="ar-SA"/>
        </w:rPr>
        <w:t xml:space="preserve">, the Court explained that the nature of language rights requires courts to exercise interpretive restraint. The Court observed that language rights are founded on political compromise. Other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are rooted in principle, and are thus more seminal and broad. Accordingly, the Court suggested that "courts should pause" before acting as an instrument of change with respect to language rights, and approach those rights with a greater degree of restraint that they would when construing legal rights (at 851-852).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However, the Supreme Court of Canada appears to have moved away from that view. In </w:t>
      </w:r>
      <w:r>
        <w:rPr>
          <w:rFonts w:ascii="arial" w:eastAsia="arial" w:hAnsi="arial" w:cs="arial"/>
          <w:i/>
          <w:color w:val="000000"/>
          <w:sz w:val="20"/>
          <w:lang w:val="en-US" w:eastAsia="en-US" w:bidi="ar-SA"/>
        </w:rPr>
        <w:t>R. v. Beaulac,</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[1999] 1 S.C.R. 768</w:t>
        </w:r>
      </w:hyperlink>
      <w:r>
        <w:rPr>
          <w:rFonts w:ascii="arial" w:eastAsia="arial" w:hAnsi="arial" w:cs="arial"/>
          <w:color w:val="000000"/>
          <w:sz w:val="20"/>
          <w:lang w:val="en-US" w:eastAsia="en-US" w:bidi="ar-SA"/>
        </w:rPr>
        <w:t xml:space="preserve">, the Court observed that some of the legal rights, particularly ss. 7 and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also resulted from political compromise. Thus, the Court stated "that the existence of a political compromise is without consequence with regard to the scope of language rights" (at para. 24). The Court emphasized that language rights must be interpreted purposively in all cases, consistent with the preservation and development of official language communities in Canada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cases show that courts must seek an interpretation of s. 23 that is remedial and alive to background context. The interpretation of s. 23 should encourage the flourishing and preservation of minority language groups and their culture, bearing in mind the historic and social context of the situation to be redressed. The context includes British Columbia's social context, demographics and history, and the reasons why an education system does or does not respond to the needs of official language minorities.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Despite initial judicial comments to the contrary, s. 23 should not be interpreted restrictively because of its basis in political compromise. However, because the interpretation of s. 23 is remedial and contextual, as suggested in </w:t>
      </w:r>
      <w:r>
        <w:rPr>
          <w:rFonts w:ascii="arial" w:eastAsia="arial" w:hAnsi="arial" w:cs="arial"/>
          <w:i/>
          <w:color w:val="000000"/>
          <w:sz w:val="20"/>
          <w:lang w:val="en-US" w:eastAsia="en-US" w:bidi="ar-SA"/>
        </w:rPr>
        <w:t>Solski</w:t>
      </w:r>
      <w:r>
        <w:rPr>
          <w:rFonts w:ascii="arial" w:eastAsia="arial" w:hAnsi="arial" w:cs="arial"/>
          <w:color w:val="000000"/>
          <w:sz w:val="20"/>
          <w:lang w:val="en-US" w:eastAsia="en-US" w:bidi="ar-SA"/>
        </w:rPr>
        <w:t>, it will inevitably involve some balancing of interests, and sensitivity to the unique background and situation of the minority language group in each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The British Columbia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Given that s. 23 is to be interpreted purposively, remedially and contextually, the analysis of the plaintiffs' claims must take into account the history and status of the French language and culture in British Columbia. As suggested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at para. 27, it must also be alive to the status of the minority language education system and the response to rightsholders' needs, both in 1982 and at the time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parties tendered evidence concerning the history of British Columbia's Francophone community and minority language education. In this section, I review that evidence and draw some conclusions about the context and the need for remediation in British Columbia. I will take those conclusions into account when interpreting s. 23 throughout this decision. In later chapters, I consider the history and context specific to each community.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History</w:t>
      </w:r>
    </w:p>
    <w:p>
      <w:pPr>
        <w:numPr>
          <w:numId w:val="4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Historic Francophone Presence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Court heard from an expert, Dr. Nicolas Kenny, about the history of Francophones and French-language education in British Columbia. Pursuant to the Document Agreement reached by the parties, the contents of his expert report are admissible for truth to the extent that he recites events that are said by him to have occurred prior to the creation of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Kenny is an assistant professor and historian of French Canada in the Department of History at Simon Fraser University. He has a Ph.D. in Canadian history, and has taught and conducted research with respect to the history of the French-speaking community in British Columbia. The plaintiffs retained Dr. Kenny to provide an account and narrative of the history of the use and status of French in British Columbia, with an emphasis on the communities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Kenny explained that Francophones were involved in the earliest colonisation of British Columbia, and have continued to migrate to and settle in the Province ever since. He noted there was a strong Francophone presence among the European navigators who originally surveyed North America's west coast in the late 1700s and among those involved in fur trading and missionary work in the early 1800s to the 1850s. According to Dr. Kenny, in the early 1800s to the 1850s, French was the most widely spoken non-aboriginal language in what is now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Francophone presence dwindled to a small minority in the region due to migration associated with the Fraser River gold rush of 1858. Moreover, Dr. Kenny observed the Francophone community in British Columbia has always lacked a geographically-defined 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 Francophone Education and The Programme Cadre de Français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According to Dr. Kenny, prior to the development of public education, French was briefly a language of instruction in several missionary schools. It ceased to be used as a language of instruction as demand for English-language instruction grew. When a province-wide secular public school system was established 1872, those schools operated entirely in English, with French taught as an academic subject. The few minority language schools in the Province were Catholic religious institutions, and were not initially recognised by the provincial government. Theoretically, children enrolled in those schools could be fined for truancy. In Dr. Kenny's view, the lack of recognition for independent schools prior to 1977 caused the absence of official minority language education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According to Dr. Kenny, in the early years of public education, there was little demand for French-language school courses. The 1970s, however, saw a dramatic increase in interest and enrolment in French instruction. French immersion programmes, first seen in BC in the late 1960s, expanded dramatically in the 1980s. Those programmes were designed for English-speaking students, and did not meet the needs of children from Francophone backgrounds.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British Columbia's first minority language education programme, the Programme Cadre, began in 1978. It was a minority language programme that was implemented by majority school boards. The origins of that programme were described by Dr. Kenny as well as Dr. Ardanaz, who was involved in the development and implementation of the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Court also heard from two FPFCB officials who described the organization's endeavours in connection with the Programme Cadre. Ms. Martine Galibois-Barss, a section 23 rightsholder, was an early advocate for minority language education in British Columbia and served as president of the FPFCB and a CSF trustee for many years. She became involved with the CSF at its inception, and retired in 2005. Mr. Marc Gignac, another s. 23 rightsholder, worked with the FPFCB off and on from the 1980s until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Kenny's research revealed that majority districts initially opened French-language Programme Cadre classrooms within existing majority-language schools where at least 10 children were enrolled in the programme. By the mid-to-late-1980s, majority boards had opened homogenous Programme Cadre schools in several areas. The curriculum in those schools mirrored the regular provincial curriculum, but instructed students in French and taught English rather than French as a second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Kenny explained, however, that the Programme Cadre was imperfect. Non-Francophone students were permitted to enroll in Programme Cadre classes if no French immersion programme existed in the area. Some, like Ms. Galibois-Barss, believed this diluted the French character of the Programme Cadre. The classes also mixed students at different grade levels. There was no minority language secondary instruction in the province until 1987. The Programme Cadre also faced challenges recruiting competent teachers, dealing with political pressure and fighting a lack of control by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Ardanaz was hired by the Province to develop the Programme Cadre, which he did with the assistance of a team in Montreal. He acknowledged the programme was a breakthrough for a province outside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Ardanaz and his team developed the Programme Cadre curriculum by translating and adapting the English-language core programme from English to French, and developing French-language materials and textbooks. The only new programme they developed was a French language arts programme designed to target Francophones. They also adapted some aspects of the English-language curriculum to emphasize Francophone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After Dr. Ardanaz and his team developed the Programme Cadre curriculum, Dr. Ardanaz moved to BC and became the Executive Director of the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When Dr. Ardanaz arrived in British Columbia in 1978, the Programme Cadre had already been established and publicized by way of a Ministry Circular: Ministry of Education, </w:t>
      </w:r>
      <w:r>
        <w:rPr>
          <w:rFonts w:ascii="arial" w:eastAsia="arial" w:hAnsi="arial" w:cs="arial"/>
          <w:i/>
          <w:color w:val="000000"/>
          <w:sz w:val="20"/>
          <w:lang w:val="en-US" w:eastAsia="en-US" w:bidi="ar-SA"/>
        </w:rPr>
        <w:t>French Language Core Curriculum - Policy and Administrative Requirements</w:t>
      </w:r>
      <w:r>
        <w:rPr>
          <w:rFonts w:ascii="arial" w:eastAsia="arial" w:hAnsi="arial" w:cs="arial"/>
          <w:color w:val="000000"/>
          <w:sz w:val="20"/>
          <w:lang w:val="en-US" w:eastAsia="en-US" w:bidi="ar-SA"/>
        </w:rPr>
        <w:t xml:space="preserve"> (Victoria: Ministry of Education, June 1978) (the "1978 Circular"). The 1978 Circular was repealed and replaced a number of times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Ardanaz was not involved in the creation of the 1978 Circular. As the circulars were repealed and replaced, from time to time, Dr. Ardanaz provided feedback on them; typically he did so unilaterally. Dr. Ardanaz testified that in many instances, the circulars were amended to address his comments and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circulars usually indicated that the Programme Cadre was not a French immersion programme, and was designed to teach children of Francophone parents, not French as a second language. The 1978 Circular cautioned against diluting the Programme Cadre by admitting students that did not have reasonable competence in the French language. The requirement was relaxed in 1981, allowing admission of students that had previously been enrolled in French immersion if no immersion programme was available at the student's grade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1978 Circular required 10 students to start a new Programme Cadre, with additional divisions to be added once enrolment exceeded 25 students. Later circulars specified that three teachers would be warranted once enrolment reached 45 students, and four teachers when enrolment reached 60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1978 Circular confirmed the Ministry would provide supplementary funds to school boards for the additional costs associated with the Programme Cadre. Those funds were not to be confused with costs associated with second language and immersion-type programmes. Later circulars clarified that school districts were not entitled to extra funding for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1987, the 1978 Circular was amended to reflect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Enrolment in the Programme Cadre was limited to those persons who qualified for minority language education pursuant to s. 23. The Ministry offered that 10 students would warrant an elementary programme, and 15 students a secondary programme, subject to ministerial discretion to deviate from those numbers on application. The Programme Cadre was to be offered in separate facilities out of public funds "where numbers warrant". Districts would be required to assist rightsholder parents to form a committee to advise the board on the Programme Cadre.</w:t>
      </w:r>
      <w:r>
        <w:rPr>
          <w:rFonts w:ascii="arial" w:eastAsia="arial" w:hAnsi="arial" w:cs="arial"/>
          <w:sz w:val="20"/>
          <w:lang w:val="en-US" w:eastAsia="en-US" w:bidi="ar-SA"/>
        </w:rPr>
        <w:cr/>
      </w:r>
    </w:p>
    <w:p>
      <w:pPr>
        <w:numPr>
          <w:numId w:val="4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Creation of the CSF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The Minority Language Education Task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Early on, Dr. Ardanaz observed problems with the implementation of the Programme Cadre. Dr. Ardanaz's experience was that school boards seemed confused about the difference between the Programme Cadre and French immersion programmes. Ms. Galibois-Barss explained that parents were concerned that the admission of French immersion students after 1981 diluted the quality of French spoken in the Programme Cadre.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Ardanaz also developed concerns about the quality of French spoken by teachers and the location of and transportation services to schools housing the Programme Cadre. Ms. Galibois-Barss advised that programmes struggled with a lack of course offerings, control over the programme by the Francophone community, and low participation in the Programme Cadre by Francophone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the Programme Cadre grew, parents across the Province organized around common issues. What began as a telephone network developed into the Association des Parents de la Programme Cadre de Français, the precursor to the Association des parents Francophone de la Colombie Britannique, which became the FPFCB. For convenience, I refer to the group as the FPFCB throughout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Ms. Galibois-Barss became the President of the FPFCB. Parents were concerned about a number of issues with the Programme Cadre, including a lack of transportation, mixing Francophones and non-Francophones, and the quality of teaching, facilities, curriculum and material. In 1989, under her leadership, the FPFCB commenced a court action against the Province and the majority school boards in Delta and Vancouver, claiming a breach of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was decided by the Supreme Court of Canada in 1990. Shortly thereafter, the FPFCB agreed to stay its legal action under the condition that the Province create a task force to address the issues raised in the litigation. The Province established the Minority Language Education Task Force (the "Task Force")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Terms of Reference for the Task Force were negotiated between the Province and the FPFCB. The Task Force had the object of identifying how to best accommodate the educational rights of Francophones in British Columbia. To that end, the Task Force was to prepare a report to the Province by December 31, 1990, for changes to be implemented before September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Task Force was led by Mr. Edgar Gallant, and included representatives of teachers, administrators, Ministry officials and parents. It was not a formal representational body, and attempted to reach conclusions based on consensus rather than formal votes. Dr. Ardanaz and Ms. Galibois-Barss were members of the Task Force and sat on its committees.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Task Force was asked to "propose methods of providing French education in British Columbia consistent with the provisions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and taking into account the intent of the Government to implement the programme in a broad and generous way". Beginning in June 1990, it met seven times over the course of one year, with an additional meeting related to personnel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Court was taken through the minutes of the Task Force's proceedings. The minutes show that many issues that arise in this claim were discussed by the Task Force. These issues include: majority boards' willingness to transfer facilities to the minority; funding for transfers of school facilities and materials between districts; the role of the Ministry in inter-district negotiations and the delivery of minority language education; and how to identify and count students eligible to attend CSF schools for planning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Task Force also had several working groups that met separately and reported back to the Task Force as a whole. Those working groups were devoted to Demographics (chaired by Dr. Ardanaz), Alternative Methods for Programme Delivery, and Financial Arrangements,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working groups likewise discussed issues that arise in this claim. The Demographics working group considered whether minority school boards should be allowed to admit non-rightsholders on a discretionary basis. It also considered the potential enrolment growth, projecting ultimate total growth to about 6,000 students province-wide. The working group on Alternative Methods for Programme Delivery discussed the methods by which minority school boards might acquire school facilities, and the advantages and disadvantages of shared school facilities as opposed to stand-alone schools. The working group on financial arrangements considered the costs associated with minority language education, including the costs of acquiring assets, renting as opposed to purchasing schools, and the extra costs of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Following the Task Force and working group meetings, Mr. Gallant produced the final report, </w:t>
      </w:r>
      <w:r>
        <w:rPr>
          <w:rFonts w:ascii="arial" w:eastAsia="arial" w:hAnsi="arial" w:cs="arial"/>
          <w:i/>
          <w:color w:val="000000"/>
          <w:sz w:val="20"/>
          <w:lang w:val="en-US" w:eastAsia="en-US" w:bidi="ar-SA"/>
        </w:rPr>
        <w:t>Minority Language Education Task Force Report</w:t>
      </w:r>
      <w:r>
        <w:rPr>
          <w:rFonts w:ascii="arial" w:eastAsia="arial" w:hAnsi="arial" w:cs="arial"/>
          <w:color w:val="000000"/>
          <w:sz w:val="20"/>
          <w:lang w:val="en-US" w:eastAsia="en-US" w:bidi="ar-SA"/>
        </w:rPr>
        <w:t xml:space="preserve"> (May 1991) (the "Task Force Report"). He prepared the report to reflect the consensus of the Task Force members. The Task Force Report acknowledges that the representatives were appointed as participants in their own rights, rather than representatives of the bodies that appointed them. Accordingly, the Task Force Report states that it does not necessarily reflect a commitment by the various organizations concerned to all the recommendations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Task Force Report is underpinned by the idea that minority language education plays a role in preventing the assimilation of the minority language. It does so by offering instruction in the language of the minority, providing community centres and promoting the culture of the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With respect to governance, the Task Force Report recommended the creation of three French-language school boards, which would take responsibility for the delivery of the Programme Cadre or its successor programme in a given territory. It also recommended changes at the Ministry level, including the creation of a new Ministry unit dedicated solely to minority language education to assist with negotiating the transfer of facilities, developing curriculum, recruiting personnel and collecting data on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Task Force Report communicated to the Ministry that there were about 45,000 Francophones living in British Columbia, with enrolment of about 2,000 students in the Programme Cadre. The Task Force informed the Ministry that it forecasted substantial enrolment growth, and recommended that some children of non-rightsholders be admissible to minority language schools on approval of an admissions committee: particularly the children of French-speaking immigrants.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With respect to capital assets for the minority education system, the Task Force recommended that new minority school boards acquire the Programme Cadre school buildings, equipment and materials. Majority boards would receive equitable compensation, which would be negotiated by a tripartite committee including the Ministry and minority and majority school boards. The Task Force advised the Ministry that this would require significant capital costs, estimated to be about $60,000 for each new school board to furnish and equip its assets. Later, there would be additional costs associated with the minority acquiring stand-alone schools where the numbers so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Task Force recommended stand-alone school facilities to act as cultural meeting points for the Francophone community, even where those schools might be small. However, the Task Force envisioned that leased facilities would continue to play a role, with the Task Force advising that it remained to be determined whether new minority language school boards would require new construction or rely on rented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Task Force Report also addressed early childhood education programmes, while acknowledging it was outside the scope of the report. The Task Force recommended that minority boards have the capacity, where appropriate, to coordinate daycare and preschool programmes with school programmes to combat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Task Force set July 1, 1993 as a target date for full implementation of the Task Force Report, which would require the Province to reach its policy decisions quickly. The Task Force also recommended that the Province pass enabling legislation as soon as possible, and in any event not later than the spring of 1992. To facilitate implementation, the Task Force recommended that a capital budget be prepared for the French-language programme by June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 1991-1994: Government Response to the Task Force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Task Force Report was presented in May 1991 at an official tendering ceremony, and made public in February 1992. According to Ms. Galibois-Barss, as president of the FPFCB, she continued to meet with representatives from the Province and the Ministry in connection with the report through May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or about May 1992, staff in Mr. Miller's department at the Ministry estimated the capital costs associated with implementing a minority language school system in British Columbia. Staff considered the Task Force had indicated that about 20,000 students would be eligible to attend minority language schools, and that it preferred stand-alone facilities. Ministry staff proposed that the capital costs be addressed using the same criteria as applied to capital planning for the majority, with the assumption that the Ministry's ongoing Capital Planning Cycles would meet the new system's enrolment needs within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Based on the enrolment projections in the Task Force report, capital branch staff considered that the new system would require a total of 32 new permanent facilities at a cost of $149.38 million, including $57.25 million in land acquisition costs and $92.13 million in construction costs. The system would require a further 25 portable classrooms at a cost of $1.09 million and 136 school buses at a cost of $8.16 million. Thus, it was anticipated that the total cost of implementing the new minority language education system would be approximately $160 million over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Following a broader public consultation, in August 1992, Ms. Galibois-Barss and Mr. Gignac attended confidential meetings with senior Ministry officials for two and a half days to discuss the plan for implementing minority language education. Mr. Gignac recalled that the Ministry favoured implementing a single, province-wide school board. The attendees discussed the facilities that would be required to implement the plan, including the Ministry's analysis of the anticipated costs based on the need for 32 new permanent facilities, as well as 25 portables and 136 school buses. The Ministry suggested that schools would move to stand-alone school facilities once they reached enrolment of 50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evidence suggests that in November and December 1992, Minister of Education Anita Hagan recommended to Cabinet and Treasury Board announcing a single minority language school board for the Province, subject to receiving a guarantee of funding from the Federal Government. Once Federal support was guaranteed, the Ministry would approve negotiations for the transfer of existing schools to the minority school board. Government would also develop a process to force majority boards to surrender assets for compensation at an amount set by the Provincial government. Minister Hagan identified that the Ministry would require additional capital funding to pay for new facilities and negotiated transfers. While this document is signed by the Minister, it was not spoken to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Minister Hagan also advised Treasury Board of the need for additional operating and debt servicing costs over six years to create a provincial Francophone school board and to build and purchase facilities for Francophone students. She identified that the Ministry would require about $60 million, about half of which could be recovered from the Federal government. This documentation was likewise not spoken to. It does not appear to relate to the costs of building 32 new stand-alone schools; it relates primarily to the costs of creating the new school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Court was also provided with a Treasury Board Briefing Note, which evaluated Minister Hagan's proposal. The Briefing Note considered the creation of a single minority school board to be reasonable. However, it identified uncertainty about some of the Minister's assumptions: that 100% of the eligible Francophone students would enrol in the system; that the cost of minority education would be 50% higher than for the average student; and that a $38 million capital programme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December 1992, Hon. Glen Clark, Chair of Treasury Board, wrote to Minister Hagan and advised her that although Treasury Board approved the idea of a single school board, the Minister would be expected to provide data to support her assumptions. That document is signed by Minister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On December 22, 1992, Ms. Galibois-Barss, Mr. Gignac and the FPFCB received a news release that is consistent with Hon. Glen Clark's comments to Minister Hagan. The Ministry announced that it planned to establish a single minority language school district and board of trustees to govern minority language education in British Columbia by 1995, contingent on federal support. No reference is made to the future capital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Even so, there was no movement on the new school board through the spring and summer of 1993. Then, in the autumn of 1993, the Province moved away from its initial plan. When Ms. Galibois-Barss and Mr. Gignac met with Ministry officials in October through December 1993, Ministry officials proposed new models for delivering minority language education. The forefront draft governance model involved leaving majority school boards with the responsibility for delivering minority language education, subject to direction from district-level and provincial minority language advisory councils. The FPFCB rejected that model due to the potential for conflict between the majority and minority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February 1994, the Deputy Minister of Education proposed a new model that was similar to the framework for independent schools. The FPFCB also rejected that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March 1994, given the unsuccessful negotiations, the FPFCB wrote to the Minister and confirmed its intent to resume its litigation strategy.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iii. Creation of the FEA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FPFCB officially resolved to resume litigation by way of a May 1, 1994,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More than a year later, in July 1995, the Ministry issued a press release indicating it would create a Francophone Education Authority ("FEA") to govern minority language education in the Lower Mainland and Lower Vancouver Island. The press release indicated that the FEA would employ a Chief Executive Officer to perform the combined role of school Superintendent and Secretary-Treasurer. In connection with the FEA's capital assets, the Ministry wrote that the FEA would be expected to lease surplus space from school boards wherever possible, and that the Province would not provide capital funding to purchase or undertake capital construction for the new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FEA was established by way of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B.C. Reg. 475/95. Dr. Ardanaz's evidence was that the FEA came into effect on November 2, 1995. Dr. Ardanaz served as its first Assistant Director General, and quickly moved into the role of CEO. Ms. Galibois-Barss was nominated and became a trustee for the FEA. Its jurisdiction was extended to include the entire province in 1998 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the FEA had the exclusive right and responsibility to provide a Francophone educational programme to eligible students resident in the area of its jurisdiction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xml:space="preserve"> gave the Minister the discretionary power to provide the FEA with a grant of its operating and maintenance costs, and for the delivery and support of Francophone programmes (s. 7(1)). On receiving the operating funds, the FEA was required to budget, spend and account for that money in accordance with further directions from the Minister (s.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connection with capital funding, the Minister also had a mandatory duty to provide the FEA with the Federal funding provided to the Province for capital expenditures for Francophone education (s. 7(2)). However, the FEA was not given the power to acquire land for educational purposes. Instead, the FEA was given the power to enter into and dispose of leases for land (s. 11(1)). The FEA was also given a power to enter into agreements with municipalities, regional districts and school districts for the joint use of facilities (s. 11(2)). The FEA was limited to using only the Federal funding to pay for its leases, and was required to obtain the Minister's approval before leasing real property (s. 11(3),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iv. Previous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Galibois-Barss explained that the FPFCB decided that it would continue to pursue its legal action despite the creation of the FEA. Mr. Gignac advised that the FPFCB was concerned with the FEA's lack of powers concerning capital and funding for minority language education. The Board of the FPFCB determined to proceed by way of a summary trial to save time and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Ultimately, the FPFCB challenged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xml:space="preserve"> for being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R.S.B.C. 1989, c. 61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In the alternative, the FPFCB argued that the regulation was unconstitutional on several bases: in not providing for mandatory funding for the FEA; by prohibiting the FEA from using provincial funds for capital expenditures; for not providing a dispute resolution mechanism to ensure the FEA would be able to obtain facilities and equipment; for being enacted through regulation rather than primary legislation; and/or by reason of government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Mr. Justice Vickers considered these issues in </w:t>
      </w:r>
      <w:r>
        <w:rPr>
          <w:rFonts w:ascii="arial" w:eastAsia="arial" w:hAnsi="arial" w:cs="arial"/>
          <w:i/>
          <w:color w:val="000000"/>
          <w:sz w:val="20"/>
          <w:lang w:val="en-US" w:eastAsia="en-US" w:bidi="ar-SA"/>
        </w:rPr>
        <w:t>Assn. des Parents Francophones (Colombie-Britannique) v. British Columbia</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(1997), 27 B.C.L.R. (3d) 83</w:t>
        </w:r>
      </w:hyperlink>
      <w:r>
        <w:rPr>
          <w:rFonts w:ascii="arial" w:eastAsia="arial" w:hAnsi="arial" w:cs="arial"/>
          <w:color w:val="000000"/>
          <w:sz w:val="20"/>
          <w:lang w:val="en-US" w:eastAsia="en-US" w:bidi="ar-SA"/>
        </w:rPr>
        <w:t xml:space="preserve"> [Vickers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Mr. Justice Vickers began by considering whether the Francophone Education Regulation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xml:space="preserve">. He found the Francophone Education Regulation conflicted with provisions of the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xml:space="preserve"> that placed on "school boards" the duty to deliver educational programmes, and imposed a duty on persons to attend programmes provided by "school boards" (at para. 10). The FEA, as a product of regulation, was not a "school board" within the meaning of the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xml:space="preserve">. He found that he could not reconcile the differences without forcing an interpretation that violated specific provisions of the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xml:space="preserve"> (at para. 14). Thus, relying on </w:t>
      </w:r>
      <w:r>
        <w:rPr>
          <w:rFonts w:ascii="arial" w:eastAsia="arial" w:hAnsi="arial" w:cs="arial"/>
          <w:i/>
          <w:color w:val="000000"/>
          <w:sz w:val="20"/>
          <w:lang w:val="en-US" w:eastAsia="en-US" w:bidi="ar-SA"/>
        </w:rPr>
        <w:t>R. v. National Fish Co.</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[1931] Ex. C.R. 75</w:t>
        </w:r>
      </w:hyperlink>
      <w:r>
        <w:rPr>
          <w:rFonts w:ascii="arial" w:eastAsia="arial" w:hAnsi="arial" w:cs="arial"/>
          <w:color w:val="000000"/>
          <w:sz w:val="20"/>
          <w:lang w:val="en-US" w:eastAsia="en-US" w:bidi="ar-SA"/>
        </w:rPr>
        <w:t xml:space="preserve"> at 81, he concluded that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xml:space="preserve"> (at paras. 11,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Given the long history leading up to the litigation, Mr. Justice Vickers went on to comment on other issues raised by the regulatory regime. He began by considering the FPFCB's argument that the Minister was given a discretionary power to fund the FEA, but had a mandatory duty to fund the majority-language school boards. In light of the requirement for funding equivalence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Vickers J. concluded that the funding provisions did not satisfy s. 23 of the </w:t>
      </w:r>
      <w:r>
        <w:rPr>
          <w:rFonts w:ascii="arial" w:eastAsia="arial" w:hAnsi="arial" w:cs="arial"/>
          <w:i/>
          <w:color w:val="000000"/>
          <w:sz w:val="20"/>
          <w:lang w:val="en-US" w:eastAsia="en-US" w:bidi="ar-SA"/>
        </w:rPr>
        <w:t>Charte</w:t>
      </w:r>
      <w:r>
        <w:rPr>
          <w:rFonts w:ascii="arial" w:eastAsia="arial" w:hAnsi="arial" w:cs="arial"/>
          <w:color w:val="000000"/>
          <w:sz w:val="20"/>
          <w:lang w:val="en-US" w:eastAsia="en-US" w:bidi="ar-SA"/>
        </w:rPr>
        <w:t>r (at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 then turned his attention to the challenge to the provisions prohibiting the FEA from using money provided by the Province for capital expenditures. Mr. Justice Vickers concluded that limiting the FEA's access to capital funds while giving greater powers to the majority did not fulfill the Province's constitutional obligations. He determined that the Province was clearly attempting to shift its constitutional responsibility by allowing the CSF to only use federal government money for capital expenditures (at para. 36). He suggested the denial was particularly problematic because the FEA was only allowed to lease property, unless federal funds were provided, while the majority could purchase as well as lease capital assets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connection with the leasing requirements and the absence of a dispute resolution mechanism, Mr. Justice Vickers found difficulty with the absence of an opportunity for the minority to acquire land and improvements in its own name (at para. 38). He pointed out that the limitation on the form of tenure placed the FEA at the mercy of school boards unless there was some dispute resolution mechanism in place. That, he said, did not afford the FEA the measure of management and control envisioned by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Next, Mr. Justice Vickers addressed the argument that the FEA ought to be established by primary legislation rather than regulation. Based on the numbers presented in the agreed statement of facts, he concluded that the numbers throughout the Lower Mainland and Southern Vancouver Island warranted the maximum level of management and control necessary to preserve language and culture in the proposed area (at para. 47). He pointed to statements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Manitoba Schools Reference</w:t>
      </w:r>
      <w:r>
        <w:rPr>
          <w:rFonts w:ascii="arial" w:eastAsia="arial" w:hAnsi="arial" w:cs="arial"/>
          <w:color w:val="000000"/>
          <w:sz w:val="20"/>
          <w:lang w:val="en-US" w:eastAsia="en-US" w:bidi="ar-SA"/>
        </w:rPr>
        <w:t xml:space="preserve"> which required legislatures to enact precise legislation (and if necessary, regulations) for minority language education (at paras. 45-46). He concluded that provincial legislation, not regulation, was necessary to provide a measure of security beyond a regulatory scheme. Thus, he concluded that the use of regulation rather than legislation did not meet the requirements of s. 23 (at paras.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Finally, Mr. Justice Vickers considered that it was unnecessary for him to comment on whether the Province's failure to act "without delay" breached the obligation to "offer, promote and encourage" the use of minority language services and facilities. He simply reiterated that the importance of the Province acting without delay to enact appropriate legislation (at paras. 50-51).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With respect to remedy, Mr. Justice Vickers stressed the importance of allowing the government some freedom to create a comprehensive legislative scheme to meet the obligations imposed upon it by s. 23. To respect that freedom, he declared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However, he also declared that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xml:space="preserve"> would remain in full force and effect pending the enactment of legislation by the Province giving effect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He also declared that the numbers of children in the proposed area warranted the highest measure of management and control of education programmes and facilities contemplated by s. 23, and that s. 5 of the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xml:space="preserve"> did not meet the requirements of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September 1998, Mr. Justice Vickers heard a second challenge, focused on whether amendments made in 1997 to the </w:t>
      </w:r>
      <w:r>
        <w:rPr>
          <w:rFonts w:ascii="arial" w:eastAsia="arial" w:hAnsi="arial" w:cs="arial"/>
          <w:i/>
          <w:color w:val="000000"/>
          <w:sz w:val="20"/>
          <w:lang w:val="en-US" w:eastAsia="en-US" w:bidi="ar-SA"/>
        </w:rPr>
        <w:t>Former School Act</w:t>
      </w:r>
      <w:r>
        <w:rPr>
          <w:rFonts w:ascii="arial" w:eastAsia="arial" w:hAnsi="arial" w:cs="arial"/>
          <w:color w:val="000000"/>
          <w:sz w:val="20"/>
          <w:lang w:val="en-US" w:eastAsia="en-US" w:bidi="ar-SA"/>
        </w:rPr>
        <w:t xml:space="preserve"> met the obligations of the Province under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 des parents francophones (Colombie-Britannique) v. British Columbia</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(1999), 61 B.C.L.R. (3d) 165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Mr. Justice Vickers explained that by that point, the FEA (which had been continued as the CSF) had entered into a series of agreements with majority-language school districts for the use of their facilities and for educational and administrative services. The CSF had also prepared a five-year Capital Plan Submission, and the Province had passed legislation that would extend the CSF's jurisdiction to the entire province by July 1999 (at paras. 10-15).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However, the FPFCB remained dissatisfied with the legislative scheme. They sought declarations that s. 23 required the Province do a number of things (at para. 3):</w:t>
      </w:r>
      <w:r>
        <w:rPr>
          <w:rFonts w:ascii="arial" w:eastAsia="arial" w:hAnsi="arial" w:cs="arial"/>
          <w:sz w:val="20"/>
          <w:lang w:val="en-US" w:eastAsia="en-US" w:bidi="ar-SA"/>
        </w:rPr>
        <w:cr/>
      </w:r>
    </w:p>
    <w:p>
      <w:pPr>
        <w:numPr>
          <w:numId w:val="4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at no cost to the C.S.F., all existing stand-alone Francophone schools or their agreed upon replacements, to the C.S.F.;</w:t>
      </w:r>
    </w:p>
    <w:p>
      <w:pPr>
        <w:numPr>
          <w:numId w:val="4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to the C.S.F., proportionate ownership and equal co-management of all shared schools where there are not sufficient numbers to warrant stand-alone Francophone schools;</w:t>
      </w:r>
    </w:p>
    <w:p>
      <w:pPr>
        <w:numPr>
          <w:numId w:val="4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enact provisions, either by legislation or regulation, to allow for the immediate transfers referred to in (a) and (b) above; and,</w:t>
      </w:r>
    </w:p>
    <w:p>
      <w:pPr>
        <w:numPr>
          <w:numId w:val="4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enact provisions creating a dispute resolution mechanism to address any disputes that may arise in</w:t>
      </w:r>
    </w:p>
    <w:p>
      <w:pPr>
        <w:numPr>
          <w:numId w:val="4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implementation and operation of the transfers of assets,</w:t>
      </w:r>
    </w:p>
    <w:p>
      <w:pPr>
        <w:numPr>
          <w:numId w:val="5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co-management of shared assets; and</w:t>
      </w:r>
    </w:p>
    <w:p>
      <w:pPr>
        <w:numPr>
          <w:numId w:val="5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lease negotiations of any facilities that are not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Justice Vickers consolidated those complaints into three issues: whether legislation should provide for the transfer of schools and other assets between majority and minority school boards; what level of school and asset ownership, if any, the legislation should provide for in the case of shared facilities; and whether the legislation should provide a dispute resolution mechanism to resolve any impasse that might arise between the majority and minority boards concerning ownership, management and control of schools and other assets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proceedings turned on s. 166.29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which allowed the CSF to enter into agreements for the transfer of assets and for the construction, maintenance and use of facilities with the prior approval of the Minister. Before Mr. Justice Vickers, the FPFCB argued that s. 166.29 did not create a precise legislative scheme, as it left the transfer of assets to negotiation between the parties. The plaintiffs further pressed that using the regular Capital Planning Cycles to address the CSF's capital needs would not address the CSF's immediate need to acquire assets. The lack of a precise scheme, in the FPFCB's submission, left the CSF at the mercy of majority boards when seeking assets from majority boards, which might result in the CSF paying high rents, lacking control over shared facilities, and suffering from impermanent school programmes. They also expressed concern that the arrangement would always leave Francophone students with second-rate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response, the Province argued that the need for a "precise legislative scheme" did not require the Province to put every detail into legislation. It pressed its need for the widest discretion in how to establish a body to exercise management and control over minority language instruction and facilities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Justice Vickers conceded that s. 166.29 was not reassuring to Francophone parents (at para. 37). Nevertheless, he concluded that the provision could be interpreted as placing an affirmative obligation on government to ensure an appropriate conclusion to agreements negotiated between a majority board and the CSF (at paras. 39-42). He acknowledged that it was possible that in the future the Minister might exercise his discretion in a manner that would infringe s. 23. However, he held that possibility was incidental to the purpose of the discretion, which is to ensure that all eligible students receive minority language education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With reference to the requisite level of ownership, Vickers J. confirmed that to prevent assimilation, standalone schools should be provided where the numbers warrant. Where the numbers dictate a shared facility, every effort should be made to provide sufficient management and control of its programme to the CSF (at para. 45). Nevertheless, he was satisfied that ownership was not the only way to provide for management and control of a school programme (at para. 46). Thus, he concluded that failure to provide for ownership of school property, in whole or in part, did not make the legislation flawed. He pointed out that in some circumstances, flexibility in ownership might better serve the parties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connection with the dispute resolution mechanism issue, Vickers J. found that although the legislative scheme was compatible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he was concerned that it lacked a process to ensure management and control of the Francophone programme by the CSF without constant reference to majority school boards. In particular, he noted that the CSF's ability to carry out its mandate was hampered by its need to bargain for space on a continuing basis (at para. 48). He noted that in other contexts, particularly labour relations, there were legislative enactments in place to provide a process to achieve legislative objectives (at para. 49). He noted that the legislation left the CSF to negotiate on its own in negotiations, subject to an offer by the Province to "'call us if you need us.'" (at paras. 52,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To ensure active participation by the Province, Vickers J. determined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required some provision requiring the parties to a dispute (the CSF, the majority board and Ministry officials) to engage in a dispute resolution process. The Ministry could not sit back and decline to become involved unless invited (at para. 57). He concluded with an order requiring the Province to introduce that form of dispute resolution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v. The CSF's Capital Acquisitions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Against that backdrop, the CSF began acquiring school facilities. By November 1999, the CSF operated 47 leased, shared or owned facilities throughout the Province. The CSF owned five of those facilities: École Élémentaire La Vérendrye (Chilliwack), École Victor-Brodeur (Victoria), École André-Piolat (North Vancouver), École Élémentaire Deux-Rives (Mission) and École L'Anse-au-Sable (Kelowna). All those schools were assets that had been transferred to the CSF from a majority board for compensation provided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Of those owned school facilities, only École Élémentaire Deux-Rives was subject to renovations at the time of the transfer. The CSF received an almost immediate replacement of École André-Piolat. École Victor-Brodeur and École L'Anse-au-Sable were renovated shortly after the transfer. Both the latter were replaced within a few years: École Victor-Brodeur on the same site, and École L'Anse-au-Sable on a different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addition to those five facilities, the CSF occupied six leased homogeneous facilities. In the remaining 36 programmes, the CSF operated in leased heterogeneous facilities. The Province has consistently paid the CSF's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Since then, the CSF has continued to grow its programmes. In 2000 the CSF acquired a surplus majority school in Port Coquitlam. In the early 2000s, the CSF acquired a new site and built a new school in Surrey. In 2003 or 2004, the CSF acquired surplus majority schools in Prince George and Powell River. In about 2004, the CSF also acquired a surplus school from SD39-Vancouver. In 2005, the CSF acquired a surplus majority school in Nanaimo. In 2007, it acquired and replaced a surplus majority school in Campbell River. In 2009, the CSF acquired a second surplus school from SD39-Vancouver on the east side of Vancouver. It acquired and replaced another surplus majority school in Comox in 2009. More recently, in about 2013 or 2014, the CSF acquired a surplus majority school in Rossland.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2014/15, 18 of the CSF's programmes (12 elementary and 6 secondary) operated entirely in leased school facilities: École Élémentaire des Navigateurs (Richmond, homogeneous), École Élémentaire du Pacifique (Sechelt, homogeneous on a heterogeneous campus), École Élémentaire La Passerelle (Whistler, heterogeneous), École Élémentaire de la Vallée de Pemberton (Pemberton, heterogeneous), École Élémentaire Les Aiglons (Squamish, homogeneous), École Élémentaire Entre-lacs (Penticton, homogeneous), École Élémentaire des Sentiers-Alpins (Nelson, homogeneous), École élémentaire des Grands-Cèdres (Port Alberni, unknown make-up), École élémentaire Collines-d'Or (Kamloops, homogeneous), École élémentaire Jack-Cook (Terrace, homogeneous), École élémentaire Sophie-Morigeau (Fernie, heterogeneous); École élémentaire des Glaciers (Revelstoke, unknown make-up), the Nanaimo Francophone Secondary Programme (heterogeneous), the Penticton Francophone Secondary Programme (heterogeneous), and the Sechelt Francophone Secondary Programme (heterogeneous), the Powell River Francophone Secondary Programme (heterogeneous), the Campbell River Francophone Secondary Programme (heterogeneous), and the Prince George Francophone Secondary Programme (heterogeneous).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addition to those programmes, the CSF also leases two additional school facilities that serve as annexes to École Victor-Brodeur (Victoria): the Lampson Annex and the Sundance Annex.</w:t>
      </w:r>
      <w:r>
        <w:rPr>
          <w:rFonts w:ascii="arial" w:eastAsia="arial" w:hAnsi="arial" w:cs="arial"/>
          <w:sz w:val="20"/>
          <w:lang w:val="en-US" w:eastAsia="en-US" w:bidi="ar-SA"/>
        </w:rPr>
        <w:cr/>
      </w:r>
    </w:p>
    <w:p>
      <w:pPr>
        <w:numPr>
          <w:numId w:val="5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Discussion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Francophones have a long presence in British Columbia. From the beginning, they have been immigrants: European navigators, fur traders and missionaries. They were among the first non-aboriginal settlers in British Columbia. French was the most widely spoken non-aboriginal language in the first half the 1800s.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However, the dominance of French in British Columbia was short-lived. With the Fraser River gold rush in 1858, and the rise of public English-language education in the 1870s, French dominance dwindled, and Francophones became a small minority. This history suggests the need for remediation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British Columbia, though, was proactive about minority language education before the promulgation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1982. It implemented a secular minority language education programme, the Programme Cadre, in 1978. That programme was not perfect. Due to admissions practices and staff recruitment problems, the level and quality of French spoken in classrooms was inadequate. The programme also had low enrolment, few course offerings and was managed by majority school boards rather than French-language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While minority language education was implemented early in British Columbia, it did not take its current form until 1999. Faced with the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decision and litigation by the FPFCB, in 1990 the Province established the Minority Language Education Task Force to examine the best means of providing Francophone education in British Columbia. The Task Force submitted its response to Government in 1991, and recommended full implementation by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the plaintiffs' submission, the conclusions and recommendations in the Task Force Report foreshadow many of the claims in this litigation. They note that the Task Force Report recognized that new school districts would need to acquire an asset base. They also note that the Ministry was given estimates about how many students would be likely to enrol in minority language education programmes.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the plaintiffs' submission, the Province did not allocate sufficient funding to implement the Task Force's recommendations. They suggest the Minister knew the magnitude of the capital funding required to implement the recommendations of the Task Force and s. 23 since at least 1992. In support of this, the plaintiffs rely on the recommendations in the Task Force Report, as well as the Ministry's own analysis of capital costs demonstrated in its internal briefing notes. The plaintiffs also note the Province was aware of this issue at a time when it was investing significantly in capital projects in education. The plaintiffs say that despite this, no minority language schools were constructed in British Columbia until around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Relying on the briefing notes, the plaintiffs also point out that in 1992, Ministry staff foresaw that there could be issues persuading majority boards to provide a minority language school board with facilities. They note that the Minister considered that it might be necessary to develop a process to require majority boards to surrender assets to the minority school board, with or without compensation. The plaintiffs note that no such process was ever put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defendants' view is that it is unfair to say that the Province knew what the CSF's capital costs would be and determined that it would be too expensive to address them. The defendants point out that although the briefing notes were put to Mr. Miller, he was unable to say much about them. They take the position that the briefing notes show that the Ministry's view of what the costs would be evolved.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connection with the work of the Task Force, the defendants say that the recommendations of the Task Force were never meant to be binding. They also suggest that the Task Force's recommendations do not coincide with the requirements of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conclude that many of the issues that arise in this claim were in the mind of the Task Force in 1991 when it reported to the Ministry. In particular, the members of the Task Force envisioned that there might be problems convincing majority boards to transfer their assets to the minority, and compensating the majority boards for transferring assets to the minority. Members of the Task Force envisioned significant enrolment growth in minority language education, and additional costs associated with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Much of this knowledge was passed on to the Province by way of the Task Force Report. The Province was given estimates of potential enrolment growth, although Dr. Ardanaz, the chair of the demographics working group, suggested those estimates were not based on the work of a demographer. The Province was also informed that the start-up costs of establishing multiple school boards could be substantial. It was also suggested to the Ministry that it ought to involve itself in the transfer of assets from the majority to the minority system, that the system might allow admission of non-rightsholders pursuant to a committee, and that the minority system ought to involve some early childhood education and daycare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However, the Task Force was not a formal, representative body. The Task Force Report is also explicit that its recommendations do not necessarily reflect the views of all of its members. The Province was not required to act on all the Working Group's recommendations. The Ministry was entitled to- and did- engage in broader public consultations that informed its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Very little was said about the Ministry's briefing notes, or about the discussions within the Ministry that led it to propose a single school board, then the advisory committee model. The evidence falls short of establishing why the Province eventually moved away from the idea of a single board. Ms. Galibois-Barss and Mr. Gignac alluded to statements by Ministry officials that the Province delayed to wait for confirmation of federal funding, and moved away from the one-district format because it was concerned about costs and backlash from majority boards. I admitted those statements for non-hearsay purposes, subject to the ability of the plaintiffs to argue that those statements should be admitted for truth later. Since the plaintiffs did not advance such an argument, and the Province eventually created a single school board, I reach no conclusions about those statements or why the Province moved away from creating a single minority school board. I take from those proposals only that the Ministry was unsure about the best method of implementing s. 23 in the Province, and proposed a system that offered management and control to the minority without an independent school board (as I note was envisioned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375-376), before returning to a single-school board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documentation does show that in 1992, staff within the Ministry's capital branch were aware that if new schools were built to accommodate the enrolment projected by the Task Force, the new system could include costs of up to $160 million over eight years. It is not clear if this was communicated to the Minister or to Treasury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Minister Hagan and Treasury Board appear to have considered at one point that the cost of implementing the system could be about $60 million if a single provincial school board were implemented. It is not clear that this would include the construction of 32 new homogeneous schools. Further, the assumptions underlying this estimate were questioned by Treasury Board. I conclude that while the Province knew that there would be significant costs associated with implementing minority language education, the evidence falls short of showing that the Province had concrete knowledge of the extent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Even so, Mr. Justice Vickers found that the Province attempted to shift its responsibility for funding the capital costs of minority language education. Although the Province studied the capital costs associated with delivering minority language education, when the FEA was first created the legislation suggests that the FEA would not be eligible for capital funding from the Province. It would be required to rely on Federal funding. Mr. Justice Vickers held that was unconstitutional because it did not fund the minority in a manner equivalent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result of these events is that although minority language education existed in British Columbia beginning in 1978, and was amended to take into account the requirements of s. 23 in 1987, the Province did not fully cede management and control of minority language education until 1999. The CSF began acquiring assets in about 1999 through regular Capital Planning 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In my view, this does not amount to impermissible or undue delay. Notably,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Dickson C.J.C. explained (at 374) that creating an independent school board risks isolating minority language boards from physical resources enjoyed by the majority, to the detriment of students. Chief Justice Dickson commented that "[i]t is not possible to give an exact description of what is required in every case in order to ensure that the minority language group has control over those aspects of minority language education which pertain to ... minority language and culture" (at 376). He also commented that "completely separate school boards are not necessarily the best means of fulfilling the purpose of s. 23" and suggested that the appropriate "degree of control can be achieved to a substantial extent by guaranteeing representation of the minority on a shared school board" (at 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It seems to me that the Ministry was exploring those ideas in the mid-1990s. Faced with further litigation, the Ministry held back, leaving the question of what level of management and control was warranted to be decided by the Court. Doing so was consistent with the jurisprudence at the time.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Dickson C.J.C. envisioned further litigation for those reasons, as he noted (at 376) that public authorities may choose the means of fulfilling their duties, which may, in some instances, "result in further litigation to determine whether the general requirements mandated by the court have been implemented." In my view, given the small Francophone community in British Columbia as compared to other provinces, the Ministry was right to examine all options for deciding how to appropriately implement section 23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This is particularly so because the Province lacked well-documented evidence on the number of children likely to take part in a programme. The Task Force was not relying on a demographer. Notably, even after 25 years, the CSF has fallen short of achieving the 6,000 student enrolment that the Task Force Report envisioned. If the Province had built new schools based on the Task Force's numbers, it would have substantially overbuilt facilities for minority language education.</w:t>
      </w:r>
      <w:r>
        <w:rPr>
          <w:rFonts w:ascii="arial" w:eastAsia="arial" w:hAnsi="arial" w:cs="arial"/>
          <w:sz w:val="20"/>
          <w:lang w:val="en-US" w:eastAsia="en-US" w:bidi="ar-SA"/>
        </w:rPr>
        <w:cr/>
      </w:r>
    </w:p>
    <w:p>
      <w:pPr>
        <w:numPr>
          <w:numId w:val="5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Res Judicata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Tangential to this history, the defendants raise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argument concerning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The defendants argue that to the extent that the plaintiffs rely on facts or seek relief based on events that occurred prior to the litigation before Mr. Justice Vickers in 1998, the plaintiffs are estopped and barred from doing so by virtue of the rule against relitigation of causes of action that have already been adjudicated upon. For this purpose, a cause of action means "every fact which it would be necessary for the plaintiff to prove, if disputed, in order to support his or her right to the judgment of the court":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defendants suggest that if there were merit to the allegations pre-dating 1998, the plaintiffs have already had their day in court over those issues. They point to the evidence of Ms. Galibois-Barss, who admitted that all the complaints she raised in her testimony about historical events were also placed before Mr. Justice Vickers. They also suggest that the complaint about a failure to abide by the recommendations in the Task Force Report were before Mr. Justice Vickers. A failure by the plaintiffs to raise all the issues out of a desire for the matter to proceed quickly are tactical considerations and do not qualify as the exceptional circumstances to depart from the rule against re-litigation: </w:t>
      </w:r>
      <w:r>
        <w:rPr>
          <w:rFonts w:ascii="arial" w:eastAsia="arial" w:hAnsi="arial" w:cs="arial"/>
          <w:i/>
          <w:color w:val="000000"/>
          <w:sz w:val="20"/>
          <w:lang w:val="en-US" w:eastAsia="en-US" w:bidi="ar-SA"/>
        </w:rPr>
        <w:t>Wild Bill's Work &amp; Western Wear (Fort St. John) Ltd. v. Central Trust Co.</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[1987] B.C.J. No. 2324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Dowling v. Bhander</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2009 BCSC 1812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In the defendants' submission, the stale claims are in any event unsupported by the evidence. They suggest that to the extent the plaintiffs base any claims in a failure to implement the Task Force recommendations, those claims cannot stand because the Task Force recommendations were not co-extensive with the requirements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The plaintiffs take the position that they are not re-litigating matters determined by Mr. Justice Vickers in 1996 and 1998. They maintain that the evidence concerning events prior to November 23, 1998 do not form the basis for a cause of action in this case, except to the extent that they provide context for the circumstances, state of affairs and events that took place after that date. They suggest that the historic evidence is particularly relevant to the remedies the plaintiffs seek, including their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 trust remedy, and the Court's retention of jurisdiction over specific remedies ordered in the case. They suggest that none of those matters was before Mr. Justice Vickers in 1996 or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The plaintiffs argue that, in any event, the various doctrines of cause of action estoppel, issue estoppel and abuse of process do not apply. Citing </w:t>
      </w:r>
      <w:r>
        <w:rPr>
          <w:rFonts w:ascii="arial" w:eastAsia="arial" w:hAnsi="arial" w:cs="arial"/>
          <w:i/>
          <w:color w:val="000000"/>
          <w:sz w:val="20"/>
          <w:lang w:val="en-US" w:eastAsia="en-US" w:bidi="ar-SA"/>
        </w:rPr>
        <w:t>Petrelli v. Lindell Beach Holiday Resort Ltd.</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2011 BCCA 367</w:t>
        </w:r>
      </w:hyperlink>
      <w:r>
        <w:rPr>
          <w:rFonts w:ascii="arial" w:eastAsia="arial" w:hAnsi="arial" w:cs="arial"/>
          <w:color w:val="000000"/>
          <w:sz w:val="20"/>
          <w:lang w:val="en-US" w:eastAsia="en-US" w:bidi="ar-SA"/>
        </w:rPr>
        <w:t xml:space="preserve"> at para. 83, they suggest that cause of action estoppel does not apply because the parties are not the same as those in the litigation in 1996 and 1998. Similarly, they urge that issue estoppel cannot apply as the plaintiffs as a whole are not the privies of the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decisions. In their submission, the Association des Parents Francophones de la Colombie Britannique, in its new iteration as the FPFCB, does not have an identity of interest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Finally, the plaintiffs say that the doctrine of abuse of process does not apply because there is no risk that the litigation would violate the principles of consistency or finality, citing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23 and 37. They note that in this case, the plaintiffs do not seek to attack the rulings made by Vickers J. Rather, this litigation is an extension of those earlier motions, as was contemplated by Vickers J. in his 1998 decision. They also take the position that there is no threat to judicial economy, as the Court will still have jurisdiction to award the remedies sought for events occurring after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defendants' argument assumed the plaintiffs would ground breaches of s. 23 in the Province's failure to implement the recommendations in the Task Force Report. I do not understand that to be the plaintiffs' argument. As I see it, they rely on the history concerning the creation of the CSF as evidence that the Province has long been aware of potential problems and issues related to minority language education, and has failed to act on that knowledge. They rely on that evidence not as a basis for a claim, but as a circumstance relevant to their claim for specific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In my view, the history that predates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is also relevant background context that can help explain the reasons why the background situation does, or does not, respond to the needs of the minority today, and why it did not in 1982. It is important to ensuring that the claim is interpreted with a view to remediating historic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Given that background, and in light of the nature of the claim in this case, I am satisfied that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do not bar the plaintiffs' claims in this case. The plaintiffs argue this case in such a way that liability only arises after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doctrine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has two branches: issue estoppel and cause of action estoppel. Issue estoppel precludes the relitigation of issues previously decided in court in another proceeding. It requires that three conditions be met: (1) the issue must be the same as the one decided in the prior decision; (2) the prior judicial decision must have been final; and (3) the parties to both proceedings must be the same, or their privies: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23 citing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Binnie J. Issue estoppel ensures the integrity of the judicial system by protecting the efficiency of the trial process and the credibility and authority of judicial findings: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xml:space="preserve">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my view, the first condition of issue estoppel, that the issue must be the same as one decided in the prior decision, is not satisfied. In reaching that conclusion, I note the defendants did not point to any specific issue that was decided before Mr. Justice Vickers that the plaintiffs should be estopped from raising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xml:space="preserve">, the issues centred around the validity of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xml:space="preserve">, which was held to be invalid. The plaintiffs do not challenge the </w:t>
      </w:r>
      <w:r>
        <w:rPr>
          <w:rFonts w:ascii="arial" w:eastAsia="arial" w:hAnsi="arial" w:cs="arial"/>
          <w:i/>
          <w:color w:val="000000"/>
          <w:sz w:val="20"/>
          <w:lang w:val="en-US" w:eastAsia="en-US" w:bidi="ar-SA"/>
        </w:rPr>
        <w:t>Francophone Education Regulation</w:t>
      </w:r>
      <w:r>
        <w:rPr>
          <w:rFonts w:ascii="arial" w:eastAsia="arial" w:hAnsi="arial" w:cs="arial"/>
          <w:color w:val="000000"/>
          <w:sz w:val="20"/>
          <w:lang w:val="en-US" w:eastAsia="en-US" w:bidi="ar-SA"/>
        </w:rPr>
        <w:t xml:space="preserve"> as it existed in 1997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There is greater overlap between the issues in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and this case, as Vickers J. considered arguments that are very similar to those being advanced by the plaintiffs here: that the CSF was forced to have constant resort to negotiations with majority boards, and might be forced the pay high rents, lack control over shared facilities and suffer from impermanent school facilities. However, in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the plaintiffs based their argument on the lack of a precise statutory scheme in s. 166.29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The plaintiffs also speculated on the likely future effects of that statutory scheme. In this case, the plaintiffs challenge a broader category of laws and policies, and base their claim in facts that have arisen and schools that opened since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was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As a result, since the claims here challenge different statutory provisions and are based in a different set of facts and circumstances, I am satisfied that there is no risk to the authority and credibility of Mr. Justice Vickers'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Cause of action estoppel is broader than issue estoppel. It focuses primarily on fairness to the litigants by requiring parties to bring forth all of the claims and defences with respect to the cause of action at issue at first instance, so that a party should not be twice vexed with litigation: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xml:space="preserve">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plaintiffs do not argue their case in such a way that the defendants are being "twice vexed". As I understand it, they only rely on the evidence concerning the Task Force and the establishment of the CSF to show that when the CSF was created, the Ministry had information that made some of the issues that arise in this case reasonably foreseeable. They do not raise new claims in this trial that they ought to have raised in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they could not have raised the claims in this trial in those proceedings because those facts and circumstances arose after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was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 reach a similar conclusion about the doctrine of abuse of process. The doctrine of abuse of process engages the court's inherent power to prevent the misuse of its procedure to protect the administration of justice from being brought into disrepute. It is typically used to preclude relitigation where the strict requirements of issue estoppel are not met, but the action is likely to violate principles of consistency, finality, judicial economy and the integrity of the administration of justice: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37. In my view, since the plaintiffs do not attempt to relitigate issues that were previously decided or that should have been brought before Mr. Justice Vickers, there is no risk to the administration of justice, and the doctrine of abuse of process should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Overall, I conclude that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do not apply to bar any of the plaintiffs' claims in this case. I reach that conclusion because the plaintiffs base their argument on minority language education as it has evolved since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consequence of this is that evidence that pre-dates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is of limited relevance. It is relevant to understanding the background context of certain government actions taken after 1998, and the length of time government actors were aware that certain problems might arise. In that capacity, it might also be relevant to the plaintiffs' claims for specific remedies. Aside from that, it will normally not be necessary to examine the facts and circumstances that pre-date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xml:space="preserve"> in detail when deciding if s. 23 has been breached.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A purposive, remedial and contextual interpretation of s. 23 also requires the court to consider the use and status of French in British Columbia today. The Court heard evidence from several experts who spoke to linguistic assimilation generally, and in British Columbia specifically. Dr. Rodrigue Landry gave evidence for the plaintiffs, and Dr. Charles Castonguay testified for the defendants.</w:t>
      </w:r>
      <w:r>
        <w:rPr>
          <w:rFonts w:ascii="arial" w:eastAsia="arial" w:hAnsi="arial" w:cs="arial"/>
          <w:sz w:val="20"/>
          <w:lang w:val="en-US" w:eastAsia="en-US" w:bidi="ar-SA"/>
        </w:rPr>
        <w:cr/>
      </w:r>
    </w:p>
    <w:p>
      <w:pPr>
        <w:numPr>
          <w:numId w:val="5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Rodrigue Landry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Landry holds bachelor's degrees in psychology and education and a master's degree in educational psychology, all from the Université de Moncton. He also holds a Ph.D. in educational psychology from the University of Wisconsin. Dr. Landry has taught in the public school system, and served as a professor, the director of the Department of Special Education and the dean of the Faculty of Education of Université de Moncton. From 2002 to June 2012, he was the director of the Canadian Institute for Research on Linguistic Minorities, a national institute that conducts research on Canada's official language minorities to guide linguistic policy. He was qualified without objection as an expert in the following areas:</w:t>
      </w:r>
      <w:r>
        <w:rPr>
          <w:rFonts w:ascii="arial" w:eastAsia="arial" w:hAnsi="arial" w:cs="arial"/>
          <w:sz w:val="20"/>
          <w:lang w:val="en-US" w:eastAsia="en-US" w:bidi="ar-SA"/>
        </w:rPr>
        <w:cr/>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ethnolinguistic vitality, cultural autonomy and factors associated with language revitalization;</w:t>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 of linguistic minorities;</w:t>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pedagogy, including pedagogy in a minority language environment;</w:t>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factors contributing to psycholinguistic development, including language acquisition, language transfer, vitality beliefs, and student identity building in Francophone communities;</w:t>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quantitative research methods in the social sciences, including the use of statistical methods and the interpretation of statistical data, including census data;</w:t>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educational psychology;</w:t>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psychology of language; and</w:t>
      </w:r>
    </w:p>
    <w:p>
      <w:pPr>
        <w:numPr>
          <w:numId w:val="5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sociolinguistics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 Language Vitality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Landry and his colleagues have developed several models that they use to study "Linguistic Communities": communities of people who reside in the same area and speak the same language. The models centre on the idea of ethnolinguistic vitality, or the force that makes a language group act as an active and distinct entity in an intergroup context ("Vitality"). In the absence of Vitality, the minority language has a low social position, a phenomenon known as "Disglossia".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Landry's first model explains the relationship between Vitality and language development in minority Linguistic Communities. He explains that members of minority Linguistic Communities who live their lives in the majority language tend to experience decreased knowledge of the minority language. This is known as "Subtractive Bilingualism". When those persons live their lives predominantly in the minority language, they experience an "Additive Bilingualism", whereby they do not lose their ability to speak in the minority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relationship between the minority and majority Linguistic Communities is shaped by both collective and individual factors and characteristics. The interplay of collective and individual factors can result in the minority language taking a higher or lower social position in relation to the majority language. In other words, depending on the interplay of social and collective factors, the situation becomes more or less Diglossic, or the group demonstrating more or less Vitality. This manifests in the extent to which the minority language is used in community affairs or is relegated to the private sphere.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collective factors that shape the Vitality of a Linguistic Community include the ideological, legal and political framework, including the number, power and status of the minority group and the position the state takes toward the minority language. At the individual level, the relationship between the minority and the majority is shaped by linguistic and cultural socialization, which relate to frequency of contact with language, personal motivation and a person's knowledge of their own power and place in the Linguistic Community. Another individual factor is psycholinguistic development, the end result of socialization, which includes an individual's personal perception of the status of the language, their desire for integration, and factors related to the person's identity, motivation, skills and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Landry explained that the collective and individual factors have an impact on one another. The minority group's number, power and status and the strength of social institutions dictate the strength of the social network, which has an impact on linguistic and cultural socialization and psycholinguistic development. When the individual factors impose themselves at collective levels, members of the minority group may, individually and collectively, exercise some "self-determination" to emphasize the collective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Landry also developed a model explaining how minority Linguistic Communities take control of their collective destiny to achieve cultural autonomy. He explained that a Linguistic Community's collective identity is a product of its institutions and social organizations. For the group to achieve cultural autonomy, it must transmit language across generations at the family level and create strong institutions to give life to the minority language in the public sphere, while government must implement policies to recognize and provide for the minority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Weaknesses in any of these three pillars of cultural autonomy can have a negative impact on Vitality. Vitality can be improved by language revitalization interventions, especially a global language plan involving family, civil society and government or state 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Dr. Landry explained that "Linguistic Assimilation" is a subtractive process that occurs when members of a Linguistic Community in contact with another language cease to use their own language at home in favour of the other language. This in turn results in less socialization into the Linguistic Community's culture, and contributes to cultural assimilation or acculturation. When the rate of Linguistic Assimilation is high, a large proportion of Francophones cease to use the language at home and do not transmit French as a mother tongue to their children. With time, the number of Francophones and the use of French in society diminish.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 Census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Dr. Landry was asked to assess the rate of Linguistic Assimilation in British Columbia. He explained that his responses to the questions he was asked on that topic are shaped by the questions asked on the census, and the changes to how it has been administered since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According to Dr. Landry, in 2006, the short-form census (which was sent to 80% of Canadians) asked about the "first language learned and still understood" by the respondent (the "Mother Tongue" question). The 2006 long-form census (sent to 20% of Canadians) asked several language-related questions: the Mother Tongue question; the language spoken most often at home (the "Main Home Language" question); other languages spoken on a regular basis at home (the "Regular Home Language" question); whether the person can speak English or French well enough to conduct a conversation; and whether the person can speak any other languages well enough to conduct a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2011, the format and process for the Canadian census changed. That year, 100% of people were asked to complete the mandatory short form census. 30% of Canadians also received a longer questionnaire called the "National Household Survey" that could be completed voluntarily. The short-form census asked several questions related to language: The Mother Tongue and Home Language Questions, as well as whether the person can speak English or French well enough to conduct a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Because of those issues, Dr. Landry suggests caution when comparing 2006 and 2011 census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iii. Assimilation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Using census data, Dr. Landry calculated the rate of Linguistic Assimilation in British Columbia to be 74%. He made that calculation by determining the ratio of the number of persons who identified on the 2011 short-form census that French was one of their Mother Tongues to those that have French as one of their Main Home Languages. He also referred to a publication by Statistics Canada, </w:t>
      </w:r>
      <w:r>
        <w:rPr>
          <w:rFonts w:ascii="arial" w:eastAsia="arial" w:hAnsi="arial" w:cs="arial"/>
          <w:i/>
          <w:color w:val="000000"/>
          <w:sz w:val="20"/>
          <w:lang w:val="en-US" w:eastAsia="en-US" w:bidi="ar-SA"/>
        </w:rPr>
        <w:t>Portrait of Official-language Minorities in Canada: Francophones in British Columbia</w:t>
      </w:r>
      <w:r>
        <w:rPr>
          <w:rFonts w:ascii="arial" w:eastAsia="arial" w:hAnsi="arial" w:cs="arial"/>
          <w:color w:val="000000"/>
          <w:sz w:val="20"/>
          <w:lang w:val="en-US" w:eastAsia="en-US" w:bidi="ar-SA"/>
        </w:rPr>
        <w:t xml:space="preserve"> by B. Chavez and C. Bouchard-Coulombe (Ottawa: StatCan, 2011) [</w:t>
      </w:r>
      <w:r>
        <w:rPr>
          <w:rFonts w:ascii="arial" w:eastAsia="arial" w:hAnsi="arial" w:cs="arial"/>
          <w:i/>
          <w:color w:val="000000"/>
          <w:sz w:val="20"/>
          <w:lang w:val="en-US" w:eastAsia="en-US" w:bidi="ar-SA"/>
        </w:rPr>
        <w:t>Official-language Minorities in Canada</w:t>
      </w:r>
      <w:r>
        <w:rPr>
          <w:rFonts w:ascii="arial" w:eastAsia="arial" w:hAnsi="arial" w:cs="arial"/>
          <w:color w:val="000000"/>
          <w:sz w:val="20"/>
          <w:lang w:val="en-US" w:eastAsia="en-US" w:bidi="ar-SA"/>
        </w:rPr>
        <w:t>], which calculated the rate of assimilation to be 72.9% based on data from the 2006 census.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Dr. Landry went on to calculate a Linguistic Attraction Index, which states the ratio of the total number of persons who use French as their Main Home Language against the total population (including persons who do not have French as one of their mother tongues). A Linguistic Attraction Index below 1.0 indicates some assimilation, while a score higher than 1.0 tends to show either a low degree or no assimilation. He noted that the Linguistic Attraction Index for Francophones in BC based on 2011 census data is 0.35.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 Landry concluded that, whether using the Linguistic Assimilation calculation or the Linguistic Attraction Index, linguistic assimilation among Francophones in BC is very high; approximately twice the average of Francophones outside Quebec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Dr. Landry observed that in British Columbia, the rate of transmission of French as a mother tongue to children is, on average, 26%. While couples where both parents speak French (or "Endogamous" couples) transmit the language 79% of the time, the transmission of French as a mother tongue is only 11% to 23% among couples where only one parent speaks French (or "Exogamous" couples).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Dr. Landry noted that with such a low transmission rate, the Francophone population in British Columbia will necessarily diminish unless it is counterbalanced by immigration or high fertility levels. He observed that the fertility rate of Francophone mothers in British Columbia is lower than the birth rate needed to stabilize the population. With respect to the effect of immigration, Dr. Landry commented that British Columbia has the second-largest number of French-speaking immigrants to any province outside Québec. Interprovincial migration accounts for 63.6% of persons in British Columbia for whom French is their First Official Language Spoken ("FOLS"). However, he also observed that net migration appears to be decreasing.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summary, Dr. Landry concluded that the assimilation rate in British Columbia is worsened by a low fertility rate and is only partially compensated for by interprovincial and international immigration.</w:t>
      </w:r>
      <w:r>
        <w:rPr>
          <w:rFonts w:ascii="arial" w:eastAsia="arial" w:hAnsi="arial" w:cs="arial"/>
          <w:sz w:val="20"/>
          <w:lang w:val="en-US" w:eastAsia="en-US" w:bidi="ar-SA"/>
        </w:rPr>
        <w:cr/>
      </w:r>
    </w:p>
    <w:p>
      <w:pPr>
        <w:numPr>
          <w:numId w:val="5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Castonguay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Castonguay is a retired professor of the Department of Mathematics and Statistics at the University of Ottawa. He holds a master's degree in Mathematics from the University of Ottawa and a Ph.D. in mathematics from McGill University. He was an associate then a full professor at the University of Ottawa from 1973 to 2005. He has continued his research activities since his retirement in 2005. Since 1971, Dr. Castonguay's research has focused on census data concerning language use in Canada, with a particular focus on the French minority language context. Dr. Castonguay was qualified as an expert on statistical analysis, linguistic assimilation and language Vitality, as well as Canadian census data measuring linguistic assimilation and language Vitality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Dr. Castonguay was asked to provide an expert opinion "on the methodology used and conclusions reached in the expert report of Dr. Landry with respect to the phenomenon of linguistic assimilation among the francophone minority in British Columbia and in particular, the role played therein by the state of francophone school facilities."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 Language Vitality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Dr. Castonguay's view, the Vitality of a language is best measured by its degree of use: the extent to which native speakers continue to use it (language maintenance), and native speakers of other languages adopt it (language shift or Linguistic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Dr. Castonguay observed that Linguistic Assimilation is not an abrupt change. It occurs gradually and can take several generations to complete. He pointed to a five-step process where a Linguistic Community shifts from using the Mother Tongue to the majority language. At the third step, individuals reach balanced bilingual behaviour, where the new language is used to the same extent as one's own mother tongue. Dr. Castonguay sees this third step of assimilation as a transitional stage that stands as a half-way point in the assimilation process. He therefore opined that only a small number of persons will report two or three main home languages. The very nature of assimilation is such that it will only give rise to those mid-point "grey areas" to a very limited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Castonguay also noted that the flow of Linguistic Assimilation is not a one-way street. While Linguistic Assimilation may typically flow from, say, French to English, there will sometimes be a return shift from English to French among a small number of offspring or the descendants of previously anglicized Francophones. He advised that incomplete return shift can also result in reporting two languages as Home Languages or Mother Tongue, but this number, too, would be very 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 Census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Like Dr. Landry, Dr. Castonguay based his analysis on census data. Dr. Castonguay spoke to some problems with census data over time. After 1971, Statistics Canada was criticized for instructing respondents to indicate only one language in response to the Mother Tongue and Home Language questions. After the 1981 census, Statistics Canada began publicizing the double and triple answers that were made to those questions despite the instruction to list only one language. Subsequently, Statistics Canada removed the instruction to report only one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After 1986, the census regularly allowed for and counted double responses to language questions. The total number of reports of two or three Mother Tongues in BC increased from 57,275 in 1981 to 84,520 in 1986. The number of reports of two or three Home Languages increased even more, from 59,430 to 122,975.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1991, Statistics Canada implemented sweeping changes to its questionnaire design to reduce the incidence of individual respondents changing their Mother Tongue over consecutive censuses, which Statistics Canada counted as response errors. In 1991, the re-engineered questionnaire cut reports of two or three Mother Tongues in BC down to 34,290. Reports of two or three Home Languages also decreased to 56,970. Those changes, too, were problematic, as they caused a significant number of respondents to report a different single Mother Tongue than they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Because of these changes, Statistics Canada considered that the language data collected from 1991 onwards provides better information than the data obtained from the censuses of 1971 to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According to Dr. Castonguay, Statistics Canada made further changes to the Census in 2001 and 2011. In his view, the research shows that rates of overall shift from French to English does not seem to have been disrupted by the changes to the census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connection with 2011, though, for the reasons given by Dr. Landry Statistics Canada has explicitly warned users that the 2011 data for the composition of the Canadian population by Mother Tongue and Home Language are not directly comparable to the corresponding data for 2006. The changes also coincide with a significant increase in the frequency of double and triple responses to the language questions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Dr. Castonguay also cautioned that the census numbers tend to undercount Linguistic Assimilation. He observed that the Mother-Tongue question asks about a person's first language learned "and still understood". Thus, the question does not capture persons who have undergone the deepest form of assimilation: those who learned French at home in childhood, but came to use English so exclusively that they lost their ability to understand French. Dr. Castonguay observed that this deepest form of Linguistic Assimilation is not uncommon for members of a relatively small Francophone minority such as British Columbia's, especially by middle 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iii. Assimilation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Dr. Castonguay's view, a sound assessment of the Vitality of French in BC must take into account three factors: It must equally distribute multiple answers to the Mother Tongue and Home Language questions between the reported languages, and must examine the data by age group and place of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Dr. Castonguay noted that before 1996, when data was available, most persons reporting both English and French as their Mother Tongue or Main Home Language were of French origin. Thus, persons who made dual responses appeared to be those that were transitioning from speaking French to English. Dr. Castonguay therefore takes the view that the appropriate means of dealing with reports of two or more Mother Tongues and Home Languages is to apportion the responses equally between the reported languages. That, he opines, respects the half-maintenance, half-shift nature of the respondents' profiles. He also noted that this is the approach favoured by Statistics Canada since 1981 when broadly describing the linguistic composition of the total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Dr. Castonguay also urged that the age structure of a population must be taken into account when assessing data on language Vitality and Linguistic Assimilation. He observed that census data after 1971 tend to show that language shift usually occurs during the transition between living with one's parents, and establishing oneself in one's own self-determined home environment. Thus, the age structure of a minority language group can cause its assimilation rate to fluctuate without there being any change in the power of linguistic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Dr. Castonguay also noted the importance of examining linguistic assimilation with reference to place of birth. He observed that Francophone immigrants typically arrive in BC in their mid- to late-twenties. Since linguistic assimilation takes a number of years, it is appropriate to delay gauging the full impact of the power of assimilation on them until they have reached the age of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Castonguay used census data on Mother Tongue, Main Home Language and language of work to measure language maintenance and language shift, and thus language Vitality and Linguistic Assimilation. While he was under cross-examination, Dr. Castonguay was asked why he chose to focus on Main Home Language rather than Regular Home Language. He confirmed that he focused on Main Home Language because demographers are unanimous that the Main Home Language is the one that becomes the Mother Tongue of the next generation. Thus, in his view, the indicator he chose is one with deep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Taking his numbers from the 2011 census, Dr. Castonguay reported that, using equal apportionment of multiples, 71.2% of the population of British Columbia is of English Mother Tongue, 1.5% has a French Mother Tongue, and 27.3% has an "Other" Mother Tongue. From the standpoint of Main Home Language, the same population was 82.3% English-speaking at home, but only 0.5% was French-speaking, and 17.2% spoke another language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Dr. Castonguay related the difference between the makeup of the total population of British Columbia by Mother Tongue and Main Home Language entirely to Linguistic Assimilation. He observed that language shift in British Columbia typically flows from French and Other languages to English. Dr. Castonguay's calculations show that in BC, assimilation toward French by persons of Other Mother Tongue "is practically nil." Since French attracts very few new speakers in BC, in Dr. Castonguay's opinion, the Vitality of French in BC is essentially determined by the overall outcome of language shift between French and English, or the Anglicization of Francophones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Dr. Castonguay observed that in 2006, the overall Anglicization rate for the entire Francophone population was 72%. Like Dr. Landry, Dr. Castonguay emphasized the role that Exogamy plays in assimilation. He noted that most Exogamous couples are likely to raise their children in English. Among children of Exogamous couples, 80% have English as their sole Mother Tongue, and 11% were reported as having only French as a Mother Tongue. By contrast, among children of Endogamous Francophone couples, 82% were reported as having French alone as Mother Tongue. Dr. Castonguay gave this particular importance given the high rate of Exogamy in British Columbia, which he stated to be about 78%, or higher once one takes into account those who have lost their ability to understand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Castonguay used customized tabulations from Statistics Canada to assess the Anglicization rate of Francophones by age group. That information shows the Anglicization rate of Francophones increases rapidly with age. The Anglicization rate is about 60% by age 15-24, 66% by age 25-34, 70% or more by age 35-44, and around 80% by age 45 or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Dr. Castonguay also looked at the loss of ability to speak French over time, which similarly increases as the population ages. He anticipated that given the frequency of the loss of ability to speak French, there must also be a number of persons who have experienced deeper assimilation: the loss of the ability to understand French. Thus, Dr. Castonguay postulated that the language loss reflected in the census data "is but the tip of the iceberg." He also predicted that as a given birth cohort of Francophones grows older, the invisible portion of the iceberg grows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Looking at the Anglicization rate by year, Dr. Castonguay noted that there appeared to be a drop in the Anglicization rate between 1971 and 1981, and a general trend towards "very slightly lower Anglicization rates from census to census between 1991 and 2006." However, he did not conclude that there has been a significant change in the language dynamic between English and French in British Columbia. He attributed the change in language dynamic to extraneous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In particular, Dr. Castonguay observed that the portion of BC's Francophones who are immigrants has increased greatly between 1971 and 2011. That group tends to maintain the use of French at home to a greater degree than Francophones born in BC. He noted that in 1971, that group formed 33% of BC's Francophone population. By 2006, it had reached 52% of the total Francophone population, and 65% of those aged 25 to 44. In his view, the growing importance of Francophone immigrants explains the drop in the Anglicization rate between 1971 and 1981, as well as its more gentle reduction between 1991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Dr. Castonguay observed that among non-immigrant BC Francophones, the Anglicization rate is more than 10% higher than the rate for the overall Francophone population. He observed that with that group, the Anglicization rate does not echo the general gentle decrease observed for the total Francophone population after 1996. Instead, the Anglicization rate remains constant over the four censuses from 1991 to 2006, and "phenomenally" high. The exception to the rule is Francophone children age 0-14. Between the censuses of 2001 and 2006, the Anglicization rate for that group decreased from 32% to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Using further census data to perform a finer investigation, Dr. Castonguay commented that in 2006, the Anglicization rate was 21% among children age 0 to 4, 13% among those age 5 to 9, and 35% among those age 10 to 14. He found those rates supported the general rule that assimilation increases with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Following an age cohort through three censuses, Dr. Castonguay observed an erratic fluctuation in the assimilation rate, which dropped as the cohort reached age 5 (at the time of the 2006 census), then increased again once the group reached age 10 (at the time of the 2011 census). The assimilation rate for children age 5 to 9 showed a similar fluctuation pattern between the 2006 and 2011 censuses. In Dr. Castonguay's view, the size of the fluctuations could not be explained by only the comparability break between 2006 and 2011 censuses.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Dr. Castonguay concluded that there is serious doubt about the validity of the exceptional Anglicization rate for Francophone children age 5 to 9 in 2006, and thus the Anglicization rate of the 0 to 14 age group in 2006. Because the total number of Francophone children age 5 to 9 in BC in 2006 was fairly small-- only 1,140 children-- he opined that "it is not impossible that the unusually low value ... may be mainly due to sampling error". He also suggested that if the 13% value "corresponds to some kind of reality," then based on the census results in 2011, that reality was "ephemeral."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While he was being cross-examined on this point, Dr. Castonguay agreed that it was not possible to say if the anomaly he observed was due in whole or in part to sampling error. He agreed that he had not studied the point, and admitted that something else might explain the change to the children's language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Unlike Dr. Landry, Dr. Castonguay also examined the census data on language most often used at work. Dr. Castonguay noted that the adult working population identified by the 2006 census was 72.5% Anglophone, 1.6% Francophone and 25.9% Allophone. The distribution by language of work is different. 95.9% of that group reported working mainly or exclusively in English. Only 0.3% used French most often at work, and 3.8% mainly used other languages at work. Thus, he noted an overall Anglicization rate of 84% based on language of work in 2006. Since that is greater than the Anglicization rate based on language used at home (75% in 2006), Dr. Castonguay suggested that "the Anglicization of Francophones at work can thus appear indeed to drive the Anglicization of Francophones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Dr. Castonguay observed that French enjoys a somewhat higher Vitality at work as compared to other languages. He related this to the relatively high proportion of Francophone workers employed in the education sector, where the use of French is exceptionally frequent. In 2006, 11% of Francophone workers in BC were employed in education, as compared to 7% of Anglophone workers. And among Francophones employed in education, 42% reported using French as their main language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Looking forward, Dr. Castonguay examined how Anglicization, Exogamy and inadequate fertility are likely to influence the number of Francophone children in British Columbia. Like Dr. Landry, he noted that the fertility of BC's Francophone population has hovered around 1.4 children per woman, less than the 2.1 children per woman required to ensure the intergenerational replacement of a population. He opined that the intergenerational shortfall is compounded by the very high rate of Anglicization of Francophone youths, and the high rate of Exogamy. Taking all these factors into account, he observed an intergenerational replacement rate of 0.31, or 31%, for BC's Francophone population in 2006, which yields a replacement shortfall of 69%. Dr. Castonguay concluded that due to the low rate of intergenerational replacement, the Francophone minority is totally dependent on immigration and interprovincial migration to keep its numbers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contrast, the power of assimilation to French among allophones is practically nil: 99.8% of allophones that experience language shift will shift to English. Dr. Castonguay suggested that those who shift to French most likely do so abroad, before coming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Taking the low maintenance levels among Francophones born in BC and newcomers together with the lack of language shift to French, Dr. Castonguay observed that the factors together produce a very low Vitality index for the use of French in the home environment, and an even lower Vitality in the work world.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 Dr. Castonguay's Critique of Dr. Landry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In Dr. Castonguay's view, Dr. Landry's analysis did not soundly and adequately assess the census data on language Vitality and assimilation regarding French in British Columbia. He took issue with Dr. Landry's failure to look at language of work at all. He also concluded that Dr. Landry's analysis of the data on the Vitality of French and Linguistic Assimilation in the home environment lacked both rigour and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Dr. Castonguay's basic critique-- what he calls a basic shortcoming in Dr. Landry's analysis of the census data-- relates to Dr. Landry's method of calculating the rate of Linguistic Assimilation. Dr. Castonguay noted that Dr. Landry did not equally apportion double census responses. Instead, he included among the Francophones ALL persons who indicated that French was one of their Mother Tongues and/or one of their Main Home Languages. Thus, of the 70,675 persons who indicated that French was one of their Mother Tongues, Dr. Landry counted 18,205 as being Francophone. The remaining 52,560 Francophones (who no longer spoke French at home) were considered to be assimilated, resulting in an assimilation rate of 74% for Francophones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In Dr. Castonguay's view, it does not make sense to pool all multiple-response Francophones into the same population when calculating assimilation. Rather, Dr. Castonguay suggested that where language shift is concerned, an equal apportionment is better able to account for the fact that language shift is in transition.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Dr. Castonguay also noted that Dr. Landry's approach would result in the same person being counted as an English-speaker in one circumstance and French-speaker in another. In addition to being "fundamentally incoherent", Dr. Castonguay observed that it results in the language shift of different language groups being examined in isolation. Dr. Landry's approach therefore overlooks the interplay between French, English and non-official languages. His data cannot provide a nuanced account of what languages are attracting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Dr. Castonguay also criticized Dr. Landry for inflating the count of Francophones. In particular, his approach inflated the count of French Main Home Language speakers to its highest possible value of 24,445, as compared to the lowest possible value of 16,685.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In Dr. Castonguay's view, aside from making a few passing remarks about the problems with the 2011 census, Dr. Landry did not pay adequate heed to the lack of comparability between 2006 and 2011. He noted that in many instances, Dr. Landry pointed to population increases and other changes during that period without mentioning the comparability break between the two data sets. Dr. Castonguay pressed that one must abstain from comparing data which are not comparable.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Finally, Dr. Castonguay took issue with Dr. Landry's reporting of the rates of Vitality and Linguistic Assimilation due to the tendency of the census to undercount and underreport on assimilation. Because the deepest form of assimilation is invisible in the census data, Dr. Castonguay cautioned that the census data systematically underestimates the rate of Anglicization of the French minority in British Columbia. He stated that Dr. Landry failed to account for this, and also failed to analyze language shift by age group and the outcome of language shift by place of birth, as must be done for a sound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 Dr. Landry's Response to Dr. Castonguay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Dr. Landry likewise prepared a reply to Dr. Castonguay's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Dr. Landry disagreed with Dr. Castonguay's view that language Vitality is best measured by its degree of use. In Dr. Landry's view, Dr. Castonguay's construct of Vitality does not help to identify the conditions that could help increase language use. In Dr. Landry's view, the preponderance of sociolinguists would agree that the construct of Vitality involves factors that cannot be analysed from census data alone, and involves much more than simply the degree of language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Dr. Landry also responded to Dr. Castonguay's comments about the importance of equal apportionment of double and triple response among the reported languages.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Dr. Landry offered that, contrary to Dr. Castonguay's suggestion that equal apportionment has been standard practice at Statistics Canada since 1981, the approach taken by the institution has in fact changed since that time. Dr. Landry noted that since 2001, Statistics Canada has used equal apportionment when examining responses in some circumstances, while applying Dr. Landry's approach of double counting in other instances. Dr. Landry pointed to several publications where Statistics Canada combined single and multiple responses when dealing with a specific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Additionally, Dr. Landry noted that equal apportionment of multiple responses has been strongly criticized by some demographers because it "does not recognize and respect the growing multilingualism of the Canadian population." In particular, Dr. Landry observed that it does not respect the children of Exogamous couples raised in both languages.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Finally, Dr. Landry argued that equal apportionment is not valid from a sociolinguistic perspective. Dr. Landry suggested that Dr. Castonguay's approach is informed by his background as a mathematician, and his related desire for all his calculations to balance. Dr. Landry's view is that there is no problem with overestimating the total population if one is not reporting on all three language populations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Dr. Landry went on to state his opinion that it is more appropriate to pool single and multiple responses for Mother Tongues and Main Home Languages and to consider only one language group at a time. That way, all responses involving Mother Tongue that include French are seen as reflecting members of the Francophone population, and all responses to the Main Home Language question that include French form part of the French-speaking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Contrary to Dr. Castonguay's view, Dr. Landry also noted the importance of including in any analysis persons who speak French at least regularly at home. He suggested that a sociolinguistically valid analysis of linguistic assimilation should consider languages used regularly at home as well as the primary home language. Notably, though, Dr. Landry's own analysis of the rate of assimilation seems to focus on Main Home Language rather than Regular Home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any event, Dr. Landry observed that despite their differing methods, his methodology and that of Dr. Castonguay lead to very similar results. Dr. Castonguay found 72% assimilation, while Dr. Landry found 74%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Further, Dr. Landry suggested the rate of assimilation is of less pressing importance than the rate of transmission of French as a Mother Tongue. He suggested the rate of transmission of language at an early age is more relevant to questions around schooling than linguistic assimilation because it can be an indicator of whether children will attend a minority school. He suggested that with increased marketing, more Exogamous couples that transmit French as Mother Tongue to their children could aid with recruitment of children to CSF schools. He called Dr. Castonguay's analysis of how the rate of linguistic transfer varies with age and place of origin "interesting" and suggested the information could be useful for planning the social marketing strategy he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Dr. Landry also agreed with some of Dr. Castonguay's conclusions. He agreed that linguistic assimilation is the rule for young Francophones, making linguistic transmission to the next generation suffer. He also agreed that this is compounded by low fertility, and that the Francophone population born in British Columbia offers no greater resistance to assimilation than Canadian-born allophones. He agreed the power of assimilation in British Columbia is very strong.</w:t>
      </w:r>
      <w:r>
        <w:rPr>
          <w:rFonts w:ascii="arial" w:eastAsia="arial" w:hAnsi="arial" w:cs="arial"/>
          <w:sz w:val="20"/>
          <w:lang w:val="en-US" w:eastAsia="en-US" w:bidi="ar-SA"/>
        </w:rPr>
        <w:cr/>
      </w:r>
    </w:p>
    <w:p>
      <w:pPr>
        <w:numPr>
          <w:numId w:val="5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Discussion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As Dr. Landry explained, language Vitality and Linguistic Assimilation are complex phenomena. The Vitality of a minority Linguistic Community is linked to a range of personal and social factors that extend from personal motivation, to the life of the family, to the strength of civil society, to actions by the state. These factors are inter-related and influence on another. The actions taken by the state and civil society can change individual perceptions and motivations concerning the minority language. Those perceptions and the level of motivation in turn influence the strength of minority language civil society and the actions taken by the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Consistent with his background in mathematics, Dr. Castonguay takes a simpler, mathematical approach to examining Vitality and assimilation. He focuses on degree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experts' different approaches can be explained by their respective backgrounds. Dr. Landry's theoretical background leads him to seek indicators of Vitality; Dr. Castonguay is much more interested in a scientific, rigorous, observation of the diminution of language use as it occurs. Dr. Landry is focused on the nuances of social structures that result in language use declining or growing; Dr. Castonguay is focused on the reality of language decline. Dr. Landry is focused on cause; Dr. Castonguay is focused on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accept Dr. Landry's nuanced explanation of how language Vitality is influenced by personal and social structures, and how the actions of the state can influence individual and social factors, and thus the Vitality of a minority language community. I also accept that indicators of Vitality, like the rate of Linguistic Assimilation or the rate of transmission of French as a mother tongue to children, can be calculated by examining language use. Both Dr. Landry and Dr. Castonguay make these types of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Dr. Landry calculated the rate of assimilation to have been about 74% in 2011. He also counted the rate of transmission of French to be very low, at about 26%. He concluded that the low transmission rate was aggravated by low fertility, and was only partially compensated for by interprovincial and international migration. Based on those numbers, it appears that the number of Francophones and the use of French in British Columbia are likely to decline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Dr. Castonguay's approach to calculating assimilation is more nuanced than that of Dr. Landry. He took into account other factors that provide insight into assimilation: the age structure of the population and the impact of migration. He also reported assimilation rates in a way that shows language shifts between all language groups in British Columbia, and that provides a broad description of the language situation in British Columbia. This does not detract from Dr. Landry's analysis, as Dr. Landry was not asked to perform those types of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Dr. Castonguay's analysis shows that French typically attracts very few new speakers in BC. His work also reveals that as French speakers in BC grow older, they are more likely to adopt English as their primary language. While the Anglicization rate in BC appears to have declined very slightly since 1971, Dr. Castonguay concluded the decline is more likely related to higher rates of immigration than differences in the Diglossic nature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Overall, though, Dr. Castonguay's conclusions are consistent with Dr. Landry's. He observed that the Anglicization rate across the entire Francophone population in 2006 was 72%. He, too, noted the linguistic assimilation rate is not likely to be counterbalanced by increased fertility, and is compounded by the province's high Exogamy rate and the Anglicization of Francophone youth. He also observed virtually no shift of new immigrants from other languages to French. He concluded that the Francophone minority is totally dependent on immigration and interprovincial migration to keep its numbers up. He observed a very low level of Vitality for the French language at home, which is even lower in the work world. I note that Dr. Landry agreed Dr. Castonguay's numbers are generally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When calculating assimilation and transmission rates, the experts' methodologies differed in how they dealt with individuals that reported speaking multiple languages. Dr. Castonguay equally apportioned double responses between French and English, as is done, at times, by Statistics Canada. He believed that best reflected the shift in language behaviour that occurred across generations. Dr. Landry counted all persons with double answers as speakers of both French and English, out of respect for the speakers of the language. He suggested that Statistics Canada takes this approach in some circumstances, particularly when researchers are examining only one language group. The consequence of this is that Dr. Landry will count more persons who have French as their Mother Tongue and more persons who speak French as their Main Home Language than would Dr. Castonguay.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my view, it is not necessary to resolve that dispute. Despite their differences, Dr. Landry and Dr. Castonguay arrived at nearly identical rates of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Taken together, the work of both experts leads me to conclude that the force of assimilation is strong in British Columbia. More than 70% of Francophones in British Columbia assimilate. This is the case whether or not one apportions persons with multiple languages between reported languages. I also accept Dr. Castonguay's view that this assimilation rate underreports the rate of Anglicization due to the census' failure to account for the deepest form of assimilation: the loss of one's ability to understand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Dr. Landry is correct that language transmission is also an important consideration. It tends to indicate whether a child is or is not likely to attend a Francophone school. As Dr. Landry observed, the rate of transmission is very, very low--about 26%-- and particularly low among Exogamous couples, at only 11% to 23%. With such low transmission, the situation is indeed dire for the plight of Francophone Vitality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Dr. Castonguay's work tends to show that assimilation compounds and increases as a given age cohort grows. I agree with his conclusion that in those circumstances, Francophone schools, might, at most, delay the inevitable assimilation that will occur as generations of native-born speakers set up their independent home lives and join the working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Where Dr. Landry mostly disagrees with Dr. Castonguay is in connection with whether the situation is, for lack of a better term, hopeless. Dr. Landry has developed helpful models that show how schools and institutional structures can support minority language communities. Dr. Castonguay seems to take the view that no amount of institutional tinkering will be able to remedy the situation or combat assimilation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the context of this litigation, whether Dr. Castonguay's views are correct is irrelevant: Section 23 guarantees the right to minority language education as a tool for combating assimilation. It is a constitutional bargain that was struck, and it requires governments to provide minority language education out of public funds where the numbers so warrant. Schools must be built and have a duty to attempt to fight assimilation, even if they only exist to serve those students until they grow older, start their own homes and assimilate.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But where these findings do have an impact is on the long-term expectation of growth of the population of rightsholders' children in British Columbia. As I explain in Chapter VII, The Number of Children, due in part to the high rate of assimilation, it is unlikely that CSF schools will see significant enrolment growth.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The Role of Schools in Combating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experts in this case also spoke to the important role that schools play as sites for the fight against assimilation. They include Dr. Castonguay and Dr. Landry as well as Dr. Angéline Martel, who testified for the plaintiffs.</w:t>
      </w:r>
      <w:r>
        <w:rPr>
          <w:rFonts w:ascii="arial" w:eastAsia="arial" w:hAnsi="arial" w:cs="arial"/>
          <w:sz w:val="20"/>
          <w:lang w:val="en-US" w:eastAsia="en-US" w:bidi="ar-SA"/>
        </w:rPr>
        <w:cr/>
      </w:r>
    </w:p>
    <w:p>
      <w:pPr>
        <w:numPr>
          <w:numId w:val="5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Castonguay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Dr. Castonguay was not asked, and did not report on, the role schools play in combating assimilation. However, he offered some general observations about the situation in British Columbia. He referred to the work of Professor Frank Vallee and Albert Dufour, "The Bilingual Belt: a garrotte for the French?" (1974) 6:2 </w:t>
      </w:r>
      <w:r>
        <w:rPr>
          <w:rFonts w:ascii="arial" w:eastAsia="arial" w:hAnsi="arial" w:cs="arial"/>
          <w:i/>
          <w:color w:val="000000"/>
          <w:sz w:val="20"/>
          <w:lang w:val="en-US" w:eastAsia="en-US" w:bidi="ar-SA"/>
        </w:rPr>
        <w:t>Laurentian University Review</w:t>
      </w:r>
      <w:r>
        <w:rPr>
          <w:rFonts w:ascii="arial" w:eastAsia="arial" w:hAnsi="arial" w:cs="arial"/>
          <w:color w:val="000000"/>
          <w:sz w:val="20"/>
          <w:lang w:val="en-US" w:eastAsia="en-US" w:bidi="ar-SA"/>
        </w:rPr>
        <w:t xml:space="preserve"> 19 at 41, where the authors conclude that where fewer than 50% of Francophones speak mostly French at home, "the assimilation process has penetrated deeply into the personal networks. No amount of institutional tinkering can change such situations in any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Looking at the census data for BC, Dr. Castonguay's view is that the numbers bear out Vallee and Dufour's judgment. Despite improvements brought to the general institutional situation of French, particularly in the education sector, he noted that the Anglicization rate of the province's Francophone minority has not been influenced to any significant degree. In his view, assimilation has penetrated deeply into personal networks, as reflected by the high levels of linguistic Exogamy. Thus, he suggested that any further institutional improvements cannot reasonably be expected to have any greater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Dr. Castonguay's data did cast some light on assimilation rates among young Francophones in British Columbia. As I explain in more detail above, Dr. Castonguay observed a decline in the rate of Anglicization of children aged 0 to 14 between 2001 and 2006. This coincided with a period of rapid growth in Francophone education in British Columbia. He attributed the decline in the Anglicization rate to sampling error that casts doubt on the validity of the 2006 figures for the age group age 0 to 14, but could not be certain that was the case. He agreed some part might reflect a real change in language behaviour. However, since the Anglicization rate increased significantly in 2011-- more than would be attributed to the comparability break between 2006 and 2011-- he opined that any difference based on actual changes must have been "ephemeral".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plaintiffs argue that Dr. Castonguay's evidence should be understood as suggesting that the decline in the Anglicization rates for school-aged children between 2001 and 2006 is related to the contemporaneous growth of minority language education in British Columbia. However, Dr. Castonguay did not study that topic. It certainly does not show causation, or even a strong correlation given the Anglicization rate in 2011. In my view, the decline in Anglicization rate between 2001 and 2006 is most likely as Dr. Castonguay suggests: a sampling error due to the small number of young Francophones in the Province.</w:t>
      </w:r>
      <w:r>
        <w:rPr>
          <w:rFonts w:ascii="arial" w:eastAsia="arial" w:hAnsi="arial" w:cs="arial"/>
          <w:sz w:val="20"/>
          <w:lang w:val="en-US" w:eastAsia="en-US" w:bidi="ar-SA"/>
        </w:rPr>
        <w:cr/>
      </w:r>
    </w:p>
    <w:p>
      <w:pPr>
        <w:numPr>
          <w:numId w:val="5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Landry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Dr. Landry opined that schools are the most important institutions for a minority group, as they set the foundation for other institutions and community leadership, while also socializing children. Dr. Landry spoke to the specific role Francophone schools play socializing young Francophones into the minority language, and their more general importance to the Francophone minority's community Vitality.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 theme in Dr. Landry's expert report and oral testimony is the best manner of socializing children into the French language and culture in a minority setting. According to Dr. Landry, children in a minority language community will easily learn the majority language. Thus, to ensure full Additive Bilingualism, the family should encourage use of the minority language at home and enrol the children in minority language schools. Even where a child is born to an Exogamous couple, those factors combined will ensure a child experiences Additive Bilingualism.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Where, however, the minority language is not emphasized at home, or children receive their education in the majority language, children will experience a Subtractive Bilingualism that will result in less than optimal knowledge of the minority language. Importantly, a bilingual or French immersion education will not suffice to properly socialize children into the French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With reference to his Vitality models, Dr. Landry explained that the school operates in the private sphere for students, for whom school is a site of primary socialization. Thus, for them, minority language education enhances ethnolinguistic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Dr. Landry also addressed the more general role that minority language schools play combating assimilation and strengthening the minority language community. He opined that minority language schools are "the cornerstone of a linguistic minority's institutional completeness". He noted that schools and the family serve as a "counterbalance" to majority language influences. He stressed that schools build community leaders and therefore serve as building blocks for the creation of other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Dr. Landry emphasized that the school is "unquestionably the most important and basic institute" for a minority language community, although he acknowledged that it cannot assure strong cultural autonomy and lasting Vitality on its own. Rather, French-speaking communities must increase their institutional completeness by looking for other venues for increased community Vitality.</w:t>
      </w:r>
      <w:r>
        <w:rPr>
          <w:rFonts w:ascii="arial" w:eastAsia="arial" w:hAnsi="arial" w:cs="arial"/>
          <w:sz w:val="20"/>
          <w:lang w:val="en-US" w:eastAsia="en-US" w:bidi="ar-SA"/>
        </w:rPr>
        <w:cr/>
      </w:r>
    </w:p>
    <w:p>
      <w:pPr>
        <w:numPr>
          <w:numId w:val="6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Martel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Dr. Martel holds a Bachelor of Education, a Master of Arts and a Doctorate of Philosophy from the University of Alberta. Since 1988, she has been a professor of sociolinguistics and languages at Télé-université in Montreal. She has published extensively on linguistic minority education, and has advised governments and international organizations with respect to language policy. She was qualified as an expert in the following areas:</w:t>
      </w:r>
      <w:r>
        <w:rPr>
          <w:rFonts w:ascii="arial" w:eastAsia="arial" w:hAnsi="arial" w:cs="arial"/>
          <w:sz w:val="20"/>
          <w:lang w:val="en-US" w:eastAsia="en-US" w:bidi="ar-SA"/>
        </w:rPr>
        <w:cr/>
      </w:r>
    </w:p>
    <w:p>
      <w:pPr>
        <w:numPr>
          <w:numId w:val="6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Sociolinguistics, including language planning and discourse analysis;</w:t>
      </w:r>
    </w:p>
    <w:p>
      <w:pPr>
        <w:numPr>
          <w:numId w:val="6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implementation of government programmes to preserve and promote minority language education and culture;</w:t>
      </w:r>
    </w:p>
    <w:p>
      <w:pPr>
        <w:numPr>
          <w:numId w:val="6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role of schools in the development of French-language communities outside Quebec;</w:t>
      </w:r>
    </w:p>
    <w:p>
      <w:pPr>
        <w:numPr>
          <w:numId w:val="6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Applied research and methodologies regarding the implementation of government programmes to preserve and promote minority language education and culture, including applied research and methodologies regarding French-language schools outside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Dr. Martel was asked to describe the impact of a new homogeneous French-language school facility on enrolment and the Vitality of a French-language community. She answered the question by performing original qualitative research. As I explain in Chapter VII, The Number of Children, there are many problems with her original research that make it impossible to give her conclusions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Using the Vitality model that Dr. Landry uses, Dr. Martel extrapolated 10 indicators that could show what impact a new, homogeneous French-language school facility has on the Vitality of a minority language community. The indicators, which Dr. Martel ranked from the most to least frequently observed, consist of:</w:t>
      </w:r>
      <w:r>
        <w:rPr>
          <w:rFonts w:ascii="arial" w:eastAsia="arial" w:hAnsi="arial" w:cs="arial"/>
          <w:sz w:val="20"/>
          <w:lang w:val="en-US" w:eastAsia="en-US" w:bidi="ar-SA"/>
        </w:rPr>
        <w:cr/>
      </w:r>
    </w:p>
    <w:p>
      <w:pPr>
        <w:numPr>
          <w:numId w:val="6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1</w:t>
      </w:r>
      <w:r>
        <w:rPr>
          <w:rFonts w:ascii="arial" w:eastAsia="arial" w:hAnsi="arial" w:cs="arial"/>
          <w:color w:val="000000"/>
          <w:sz w:val="20"/>
          <w:lang w:val="en-US" w:eastAsia="en-US" w:bidi="ar-SA"/>
        </w:rPr>
        <w:t>: Did school enrolment increase? (demolinguistic)</w:t>
      </w:r>
    </w:p>
    <w:p>
      <w:pPr>
        <w:numPr>
          <w:numId w:val="6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2</w:t>
      </w:r>
      <w:r>
        <w:rPr>
          <w:rFonts w:ascii="arial" w:eastAsia="arial" w:hAnsi="arial" w:cs="arial"/>
          <w:color w:val="000000"/>
          <w:sz w:val="20"/>
          <w:lang w:val="en-US" w:eastAsia="en-US" w:bidi="ar-SA"/>
        </w:rPr>
        <w:t>: Did individuals and the collectivity show pride? (subjective)</w:t>
      </w:r>
    </w:p>
    <w:p>
      <w:pPr>
        <w:numPr>
          <w:numId w:val="6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3</w:t>
      </w:r>
      <w:r>
        <w:rPr>
          <w:rFonts w:ascii="arial" w:eastAsia="arial" w:hAnsi="arial" w:cs="arial"/>
          <w:color w:val="000000"/>
          <w:sz w:val="20"/>
          <w:lang w:val="en-US" w:eastAsia="en-US" w:bidi="ar-SA"/>
        </w:rPr>
        <w:t>: Is the school and its community actively attracting external and prestigious activities? (status and subjective)</w:t>
      </w:r>
    </w:p>
    <w:p>
      <w:pPr>
        <w:numPr>
          <w:numId w:val="6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4</w:t>
      </w:r>
      <w:r>
        <w:rPr>
          <w:rFonts w:ascii="arial" w:eastAsia="arial" w:hAnsi="arial" w:cs="arial"/>
          <w:color w:val="000000"/>
          <w:sz w:val="20"/>
          <w:lang w:val="en-US" w:eastAsia="en-US" w:bidi="ar-SA"/>
        </w:rPr>
        <w:t>: Were new knowledge distribution networks created? (informal and/or institutional)</w:t>
      </w:r>
    </w:p>
    <w:p>
      <w:pPr>
        <w:numPr>
          <w:numId w:val="6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5</w:t>
      </w:r>
      <w:r>
        <w:rPr>
          <w:rFonts w:ascii="arial" w:eastAsia="arial" w:hAnsi="arial" w:cs="arial"/>
          <w:color w:val="000000"/>
          <w:sz w:val="20"/>
          <w:lang w:val="en-US" w:eastAsia="en-US" w:bidi="ar-SA"/>
        </w:rPr>
        <w:t>: Were the local community networks amplified and linked to provincial/national/international networks? (formal institutional)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 </w:t>
      </w:r>
      <w:r>
        <w:rPr>
          <w:rFonts w:ascii="arial" w:eastAsia="arial" w:hAnsi="arial" w:cs="arial"/>
          <w:color w:val="000000"/>
          <w:sz w:val="20"/>
          <w:u w:val="single"/>
          <w:lang w:val="en-US" w:eastAsia="en-US" w:bidi="ar-SA"/>
        </w:rPr>
        <w:t>Indicator 6</w:t>
      </w:r>
      <w:r>
        <w:rPr>
          <w:rFonts w:ascii="arial" w:eastAsia="arial" w:hAnsi="arial" w:cs="arial"/>
          <w:color w:val="000000"/>
          <w:sz w:val="20"/>
          <w:lang w:val="en-US" w:eastAsia="en-US" w:bidi="ar-SA"/>
        </w:rPr>
        <w:t>: Were new francophone associations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networks created? (formal and informal institutional)</w:t>
      </w:r>
      <w:r>
        <w:rPr>
          <w:rFonts w:ascii="arial" w:eastAsia="arial" w:hAnsi="arial" w:cs="arial"/>
          <w:sz w:val="20"/>
          <w:lang w:val="en-US" w:eastAsia="en-US" w:bidi="ar-SA"/>
        </w:rPr>
        <w:cr/>
      </w:r>
    </w:p>
    <w:p>
      <w:pPr>
        <w:numPr>
          <w:numId w:val="6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7</w:t>
      </w:r>
      <w:r>
        <w:rPr>
          <w:rFonts w:ascii="arial" w:eastAsia="arial" w:hAnsi="arial" w:cs="arial"/>
          <w:color w:val="000000"/>
          <w:sz w:val="20"/>
          <w:lang w:val="en-US" w:eastAsia="en-US" w:bidi="ar-SA"/>
        </w:rPr>
        <w:t>: Were sociocultural activities held in greater numbers and scope? (informal institutional and subjective)</w:t>
      </w:r>
    </w:p>
    <w:p>
      <w:pPr>
        <w:numPr>
          <w:numId w:val="6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8</w:t>
      </w:r>
      <w:r>
        <w:rPr>
          <w:rFonts w:ascii="arial" w:eastAsia="arial" w:hAnsi="arial" w:cs="arial"/>
          <w:color w:val="000000"/>
          <w:sz w:val="20"/>
          <w:lang w:val="en-US" w:eastAsia="en-US" w:bidi="ar-SA"/>
        </w:rPr>
        <w:t>: Is there evidence of more organized community planning? (formal institutional)</w:t>
      </w:r>
    </w:p>
    <w:p>
      <w:pPr>
        <w:numPr>
          <w:numId w:val="6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9</w:t>
      </w:r>
      <w:r>
        <w:rPr>
          <w:rFonts w:ascii="arial" w:eastAsia="arial" w:hAnsi="arial" w:cs="arial"/>
          <w:color w:val="000000"/>
          <w:sz w:val="20"/>
          <w:lang w:val="en-US" w:eastAsia="en-US" w:bidi="ar-SA"/>
        </w:rPr>
        <w:t>: Is there evidence of the building of a francophone neighbourhood around the school? (demographic and status)</w:t>
      </w:r>
    </w:p>
    <w:p>
      <w:pPr>
        <w:numPr>
          <w:numId w:val="6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Indicator 10</w:t>
      </w:r>
      <w:r>
        <w:rPr>
          <w:rFonts w:ascii="arial" w:eastAsia="arial" w:hAnsi="arial" w:cs="arial"/>
          <w:color w:val="000000"/>
          <w:sz w:val="20"/>
          <w:lang w:val="en-US" w:eastAsia="en-US" w:bidi="ar-SA"/>
        </w:rPr>
        <w:t>: Is there evidence of the building of a francophone economy around the school?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Dr. Martel observed that each of the first four indicia was present in almost all of the schools she studied. She observed the amplification of community networks (Indicator 5) in the sense that French-language associations located in school facilities were able to form links with one another. She noted that the sixth indicator, the creation of new associations and networks, occurred particularly where schools served as community centres. She also observed instances of both the seventh and eighth indicia, but did not observe any instances of indicia nine and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Dr. Martel observed that her indicia were present more often in new schools built to serve small and medium population centres than large, urban population centres. She related this to the existence of active French-language community institutions in large urban centres prior to the construction of the new school. Since small and medium population centre have fewer French-language institutions, a new school facility can bring life 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There are problems with Dr. Martel's conclusions. It is not clear from her methodology that the indicia emanate from the construction of a new, homogeneous French-language school facility. For instance, as an example of active expression of pride emanating from a new, homogeneous French-language school, Dr. Martel referred to students from School #8 (St. Paul, AB) participating in a literacy walk. Notably, that literacy walk took place years after the announcement of the new facility, and years before the school was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Dr. Martel admitted that she did not do a thorough search on literacy walks to determine if such walks had been done before the announcement. She also admitted that she could not be sure whether the literacy walk would have occurred without the announcement of the new facility. Dr. Martel did not consider whether there was more pride demonstrated before or after a project was announced, or look at the strength of expressions of pride.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There are also issues with Dr. Martel's conclusions with respect to the presence of new community partnerships. Dr. Martel indicated that School #126 (Charlottetown, PEI) had gradually grown to create and include many associations. She admitted on cross-examination that she was not sure that the associations were created after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Dr. Martel's conclusions with respect to the eighth indicator, evidence of more organized community planning, are also problematic. Dr. Martel stated that following the opening of a new, homogeneous French-language school facility, associations "were able to locate their offices in the school facility, and thereby enjoyed greater stability". Dr. Martel did not provide any examples or citations to support that conclusion. She stated on cross-examination that she reached her conclusion based on a statement by a Francophone organization in Surrey, but she could not point the Court to the relevant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Importantly, since Dr. Martel's report only considered expressions of community Vitality at new homogeneous French-language school facilities, it cannot be said whether such a facility is a pre-requisite to the manifestations of Vitality. A comparative aspect would be required to reach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Accordingly, I take from Dr. Martel's conclusions that where new, homogeneous French-language school facilities have been constructed, there may have been some indicia of increases in Vitality. However, it cannot be known whether those indicia are caused by the new, homogeneous school facility, or whether the French-language minority community would have experienced the same Vitality without the new facility. In this respect, her report only serves to confirm what various courts have held numerous times, what Dr. Landry states, and what the Province seems prepared to admit: that Francophone schools, generally, are important sites and community centres for minority Francophone communities.</w:t>
      </w:r>
      <w:r>
        <w:rPr>
          <w:rFonts w:ascii="arial" w:eastAsia="arial" w:hAnsi="arial" w:cs="arial"/>
          <w:sz w:val="20"/>
          <w:lang w:val="en-US" w:eastAsia="en-US" w:bidi="ar-SA"/>
        </w:rPr>
        <w:cr/>
      </w:r>
    </w:p>
    <w:p>
      <w:pPr>
        <w:numPr>
          <w:numId w:val="6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Conclusions on the Role of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There is no doubt that schools are important sites for minority language communities. This has been recognized by many courts over the years.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Chief Justice Dickson wrote that "minority schools themselves provide community centres where the promotion and preservation of minority language culture can occur; they provide needed locations where the minority community can meet and facilities which they can use to express their culture" (at 363).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Karakatsanis J. noted that minority language schools "are a primary instrument of linguistic, and thus cultural, transmission" that are often "vital community centres"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These conclusions are borne out by the expert evidence in this case. As Dr. Landry noted, minority language schools provide a foundation for other institutions and community leadership, counterbalancing the influence of the majority language. They also serve as a primary site for socializing children into the French language and culture, and play an essential role ensuring children experience Additive, rather than Subtractive Bilingualism.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Some of the evidence in this trial bears out Dr. Landry's conclusions. Ms. Johanne Asselin, a long-time CSF administrator, gave evidence about her experience with the French language in Victoria since the mid-1980s. École Victor-Brodeur (Victoria) was rebuilt and opened as a new elementary/secondary school in about 2007. Ms. Asselin explain that, over the past 10 years, she has been involved with French Language scouting, theatre, a folk dance troupe and preschool, all of which met at École Victor-Brodeur. In that way, the school provided a home for the French language community and its many institutions. Many parents and CSF educators testified about how minority language schools improved the level of French and Francophone identity of CSF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Dr. Castonguay's evidence concerning the extent to which individuals work in French emphasizes another role that minority language schools play in creating Francophone institutions in British Columbia. His evidence shows that those Francophones who work in French in BC tend to work in the education sector. That sector also employs a disproportionately high number of Francophones. Thus, minority language schools create institutions where adult Francophones can live and work in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While schools play an important role increasing community Vitality, they are not a panacea. Assimilation runs deep in British Columbia. The exponential growth of minority language education between about 2000 and 2015 has not had a significant impact on that assimilation rate. I accept that given the high rate of Exogamy and the low fertility rates in British Columbia, as Dr. Castonguay suggests, minority language schools are not likely to have a significant impact on the rate of assimilation. While minority language schools can make the life of a Francophone community more vibrant, they cannot magically increase birth rates and immigration. Minority language schools may slow the tide of assimilation, but they will only prolong the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Regardless, though, s. 23 mandates their creation, and schools do their best to increase the Vitality for British Columbia's small minority language community.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THE RESPECTIVE ROLES OF THE PROVINCE AND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To ensure that schools can fulfill their role enhancing the Vitality for British Columbia's minority language community, s. 23 guarantees the minority language community a degree of management and control over minority language educational facilities. Additionally, the Province has a positive duty to ensure that minority language educational facilities are provided out of public funds where the numbers so warrant. Those rights temper the Province's broad, plenary jurisdiction over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The respective jurisdiction of the CSF and the Province is an essential issue informing my analysis of the plaintiffs' claims that the Province's capital funding system is contrary to section 23 and invalid. The overlapping roles of minority language school boards and the Province also give rise to questions about responsibility for any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how they should be resolved in s. 23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Here, I discuss how constitutional powers over minority language education are divided between the Province and minority language school boards, before drawing some conclusions about the role responsibility plays in the s. 23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The Allocation of Constitutional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Section 93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(UK), 30 &amp; 31 Vict., c. 3, reprinted in R.S.C. 1985, App. II, No. 5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confers on British Columbia the exclusive power to make "laws in relation to education". In </w:t>
      </w:r>
      <w:r>
        <w:rPr>
          <w:rFonts w:ascii="arial" w:eastAsia="arial" w:hAnsi="arial" w:cs="arial"/>
          <w:i/>
          <w:color w:val="000000"/>
          <w:sz w:val="20"/>
          <w:lang w:val="en-US" w:eastAsia="en-US" w:bidi="ar-SA"/>
        </w:rPr>
        <w:t>Ontario English Catholic Teachers' Assn. v. Ontario (Attorney General)</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2001 SCC 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Ontario Catholic Teachers</w:t>
      </w:r>
      <w:r>
        <w:rPr>
          <w:rFonts w:ascii="arial" w:eastAsia="arial" w:hAnsi="arial" w:cs="arial"/>
          <w:color w:val="000000"/>
          <w:sz w:val="20"/>
          <w:lang w:val="en-US" w:eastAsia="en-US" w:bidi="ar-SA"/>
        </w:rPr>
        <w:t>], the Court held (at para. 61) that s. 93 "gives the provincial government the plenary power over education in the province, and it is free to exercise this power however it sees fit in relation to the public school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The Province's jurisdiction pursuant to s. 93 is limited by both the right to minority language education in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rights to denominational schools in s. 93(1)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There are interesting parallels between the rights given to the linguistic minority in s. 23 and the rights given to denominational schools in s. 93(1). In </w:t>
      </w:r>
      <w:r>
        <w:rPr>
          <w:rFonts w:ascii="arial" w:eastAsia="arial" w:hAnsi="arial" w:cs="arial"/>
          <w:i/>
          <w:color w:val="000000"/>
          <w:sz w:val="20"/>
          <w:lang w:val="en-US" w:eastAsia="en-US" w:bidi="ar-SA"/>
        </w:rPr>
        <w:t>Adler v. Ontario,</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[1996] 3 S.C.R. 609</w:t>
        </w:r>
      </w:hyperlink>
      <w:r>
        <w:rPr>
          <w:rFonts w:ascii="arial" w:eastAsia="arial" w:hAnsi="arial" w:cs="arial"/>
          <w:color w:val="000000"/>
          <w:sz w:val="20"/>
          <w:lang w:val="en-US" w:eastAsia="en-US" w:bidi="ar-SA"/>
        </w:rPr>
        <w:t>, a majority of the Court drew an analogy between the rights conferred on denominational schools by s. 93 and those guaranteed in s. 23. The majority commented that both were founded in political compromise, and granted special status to particular classes of people for the purpose of education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Further, the rights to denominational schools limit the Province's jurisdiction over education in a similar manner to s. 23. Denominational schools have a right to control the denominational aspects of their education programmes and the right to a measure of equality in the education services they are entitled to: </w:t>
      </w:r>
      <w:r>
        <w:rPr>
          <w:rFonts w:ascii="arial" w:eastAsia="arial" w:hAnsi="arial" w:cs="arial"/>
          <w:i/>
          <w:color w:val="000000"/>
          <w:sz w:val="20"/>
          <w:lang w:val="en-US" w:eastAsia="en-US" w:bidi="ar-SA"/>
        </w:rPr>
        <w:t>Ontario Catholic Teachers</w:t>
      </w:r>
      <w:r>
        <w:rPr>
          <w:rFonts w:ascii="arial" w:eastAsia="arial" w:hAnsi="arial" w:cs="arial"/>
          <w:color w:val="000000"/>
          <w:sz w:val="20"/>
          <w:lang w:val="en-US" w:eastAsia="en-US" w:bidi="ar-SA"/>
        </w:rPr>
        <w:t xml:space="preserve"> at para. 60 citing </w:t>
      </w:r>
      <w:r>
        <w:rPr>
          <w:rFonts w:ascii="arial" w:eastAsia="arial" w:hAnsi="arial" w:cs="arial"/>
          <w:i/>
          <w:color w:val="000000"/>
          <w:sz w:val="20"/>
          <w:lang w:val="en-US" w:eastAsia="en-US" w:bidi="ar-SA"/>
        </w:rPr>
        <w:t>Adler</w:t>
      </w:r>
      <w:r>
        <w:rPr>
          <w:rFonts w:ascii="arial" w:eastAsia="arial" w:hAnsi="arial" w:cs="arial"/>
          <w:color w:val="000000"/>
          <w:sz w:val="20"/>
          <w:lang w:val="en-US" w:eastAsia="en-US" w:bidi="ar-SA"/>
        </w:rPr>
        <w:t xml:space="preserve"> at para. 45. Section 23 affords the linguistic minority similar rights: a right to management and control over matters pertaining to the language and culture of the linguistic minority, and a positive right to facilities on the basis of equality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As a result, when interpreting the continuing jurisdiction of the Province over minority language education, I will take into account some of the jurisprudence concerning the interpretation of s. 93(1)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and the manner in which the rights of denominational schools limit provincial jurisdiction over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Section 23 limits the Province's plenary power in two ways: by the linguistic minority's right to management and control over some aspects of the education system, and by the positive obligation on government to provide minority language education services. I define each of those limits below, including the extent to which the Province retains its plenary jurisdiction over education pursuant to s.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 The Linguistic Minority's Right to Management and Control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It has been clear since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that the term "minority language education facilities" in s. 23(3)(b)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invokes the concept of management and control rather than physical structures.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Court observed that the term "minority language education facilities" is not intended to refer to physical structures. Instead, where the numbers so warrant, the majority is entitled to a degree of management and control over education (at 369-370):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view, the words of s. 23(3)(b) are consistent with and supportive of the conclusion that s. 23 mandates, where the numbers warrant, a measure of management and control</w:t>
      </w:r>
      <w:r>
        <w:rPr>
          <w:rFonts w:ascii="arial" w:eastAsia="arial" w:hAnsi="arial" w:cs="arial"/>
          <w:color w:val="000000"/>
          <w:sz w:val="20"/>
          <w:lang w:val="en-US" w:eastAsia="en-US" w:bidi="ar-SA"/>
        </w:rPr>
        <w:t xml:space="preserve">. Consider, first, the words of subs. (3)(b) in the context of the entire section. Instruction must take place somewhere and accordingly the right to "instruction" includes an implicit right to be instructed in facilities. If the term "minority language educational facilities" is not viewed as encompassing a degree of management and control, then there would not appear to be any purpose in including it in s. 23. </w:t>
      </w:r>
      <w:r>
        <w:rPr>
          <w:rFonts w:ascii="arial" w:eastAsia="arial" w:hAnsi="arial" w:cs="arial"/>
          <w:color w:val="000000"/>
          <w:sz w:val="20"/>
          <w:u w:val="single"/>
          <w:lang w:val="en-US" w:eastAsia="en-US" w:bidi="ar-SA"/>
        </w:rPr>
        <w:t>This common sense conclusion militates against interpreting "facilities" as a reference to physical structures</w:t>
      </w:r>
      <w:r>
        <w:rPr>
          <w:rFonts w:ascii="arial" w:eastAsia="arial" w:hAnsi="arial" w:cs="arial"/>
          <w:color w:val="000000"/>
          <w:sz w:val="20"/>
          <w:lang w:val="en-US" w:eastAsia="en-US" w:bidi="ar-SA"/>
        </w:rPr>
        <w:t>. Indeed, once the sliding scale approach is accepted, it becomes unnecessary to focus too intently upon the word "facilities". Rather, the text of s. 23 supports viewing the entire term "minority language educational facilities" as setting out an upper level of management and control.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observed that its interpretation of s. 23(3)(b) is supported by its articulation of the purpose of s. 23. Specifically, the Court opined that "[s]uch management and control is vital to ensure that [parents'] language and culture flourish" as "a variety of management issues in education, e.g., curricula, hiring and expenditures, can affect linguistic and cultural concerns." Accordingly, the Court opined that the "health and survival of the minority language and culture can be affected in subtle but important ways by decisions relating to these issues" (at 372). See also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Dickson C.J.C. also stressed the importance of management and control as a means of ensuring the majority takes account of the linguistic and cultural concerns of the minority. He noted that "the majority cannot be expected to understand and appreciate all of the diverse ways in which educational practices may influence the language and culture of the minority." As a result, management and control of education by the minority is important to ensuring that s. 23 remedies past injustices and ensures they are not repeated in the future (at 372).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While the parties agree that s. 23 typically affords the minority a measure of management and control, they disagree about the extent of that management and control. The plaintiffs say that the minority must have control over those aspects of education that pertain to and have an impact on language and culture. In the plaintiffs' submission, a minority language school board must have control over a number of factors, which they say were all identified by the Court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377 and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at paras. 48-57: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Expenditures of funds provided for instruction and facilities;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Appointment and direction of those responsible for the administration of such instruction and facilities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Establishment and delineation of catchment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Location of minority language instruction and facilities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Organization of transportation and evaluation of transportation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Establishment of programs of instruction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Recruitment and assignment of teachers and other personnel;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Making of agreements for education and services for minority language pupils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In the plaintiffs' view, the right to management and control therefore guarantees the CSF the exclusive authority to make decisions about how both capital and operational funding are to be spent. They also suggest the right to management and control includes the authority to make a wide range of decisions concerning the delivery of minority language education services in particular geographic areas, including decisions related to catchment areas, school location and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The defendants emphasize the limited nature of the right to management and control. They stress that the CSF's right is limited to the business of language and culture, and does not exclude the right of the Province to exercise control over other aspects of the system. They note that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the Court held the right to tax was not incidental or essential to satisfying the concerns of s. 23 with linguistic and cultural security. They also emphasize comments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375-377 to the effect that "the public authorities may choose the means of fulfilling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A school board's right to management and control gives it a measure of control over those aspects of educational facilities that go to the core of its mandate: the minority language and culture.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Court wrote that, in order to further the purpose of s. 23, where the numbers warrant the minority must "possess a measure of management and control over the educational facilities in which their children are taught" (at 371-372). What is essential, the Chief Justice wrote, "is that the minority language group have control over those aspects of education which pertain to or have an effect upon their language and culture" (at 375). In suggesting that the minority need not have control over all aspects of the minority language education, he commented that the minority should have "exclusive control over all of the aspects of minority education which pertain to linguistic and cultural concerns" (at 375-376).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This idea was expanded upon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where the Court confirmed that the concept of management and control extends beyond the right to an independent school board. The Court explained that if the numbers warrant the creation of facilities, "the representatives of the official language community have the right to a degree of governance of these facilities" (at para. 42). Thus, if a minority board has been established, it represents the minority and has the right "to decide what is more appropriate from a cultural and linguistic perspective"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The Courts have pointed to a number of factors that are, or are not, relevant to the minority's language and culture and thus within its exclusive right to management and control.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Chief Justice Dickson made an inexhaustive list of items that representatives of the minority ought to have the exclusive ability to make decisions in respect of, including (at 377):</w:t>
      </w:r>
      <w:r>
        <w:rPr>
          <w:rFonts w:ascii="arial" w:eastAsia="arial" w:hAnsi="arial" w:cs="arial"/>
          <w:sz w:val="20"/>
          <w:lang w:val="en-US" w:eastAsia="en-US" w:bidi="ar-SA"/>
        </w:rPr>
        <w:cr/>
      </w:r>
    </w:p>
    <w:p>
      <w:pPr>
        <w:numPr>
          <w:numId w:val="6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expenditures of funds provided for such instruction and facilities;</w:t>
      </w:r>
    </w:p>
    <w:p>
      <w:pPr>
        <w:numPr>
          <w:numId w:val="6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appointment and direction of those responsible for the administration of such instruction and facilities;</w:t>
      </w:r>
    </w:p>
    <w:p>
      <w:pPr>
        <w:numPr>
          <w:numId w:val="6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establishment of programs of instruction;</w:t>
      </w:r>
    </w:p>
    <w:p>
      <w:pPr>
        <w:numPr>
          <w:numId w:val="6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recruitment and assignment of teachers and other personnel; and</w:t>
      </w:r>
    </w:p>
    <w:p>
      <w:pPr>
        <w:numPr>
          <w:numId w:val="6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of agreements for education and services for minority language pupils.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presents an example. The Court considered a situation where the Minister did not defer to the linguistic minority's decision that a small school ought to be built in a minority community instead of transporting children to a school in a neighbouring community. The Court considered whether the location of minority language instruction and facilities fell within the cultural and linguistic authority of the minority board. In concluding that it did, the Court found the Minister ought to have deferred to the Board's judgment concerning what number of students were required to make a programme pedagogically appropriate (at para. 48) and what travel times were appropriate (at paras. 49-50). The minority school board's right to management and control also included the right to make decisions concerning geographic boundaries for assembly of students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connection with items that are clearly outside the realm of language and culture and thus the right to management and control,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Court gave the example of the right to tax, which is not "essential to satisfy the concerns of s. 23 with linguistic and cultural security" (at 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To summarize, to ensure that the minority language and culture flourish, and past injustices are </w:t>
      </w:r>
      <w:r>
        <w:rPr>
          <w:rFonts w:ascii="arial" w:eastAsia="arial" w:hAnsi="arial" w:cs="arial"/>
          <w:i/>
          <w:color w:val="000000"/>
          <w:sz w:val="20"/>
          <w:lang w:val="en-US" w:eastAsia="en-US" w:bidi="ar-SA"/>
        </w:rPr>
        <w:t>remedied</w:t>
      </w:r>
      <w:r>
        <w:rPr>
          <w:rFonts w:ascii="arial" w:eastAsia="arial" w:hAnsi="arial" w:cs="arial"/>
          <w:color w:val="000000"/>
          <w:sz w:val="20"/>
          <w:lang w:val="en-US" w:eastAsia="en-US" w:bidi="ar-SA"/>
        </w:rPr>
        <w:t>, where the numbers so warrant, the minority community is entitled to exclusive control over aspects of minority language education that pertain to or have an impact on language and culture. This is necessary because the majority cannot be expected to understand and appreciate how certain practices might bear on the minority's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xml:space="preserve">  As I see it, the right to management and control is limited to matters going to the minority's linguistic and cultural </w:t>
      </w:r>
      <w:r>
        <w:rPr>
          <w:rFonts w:ascii="arial" w:eastAsia="arial" w:hAnsi="arial" w:cs="arial"/>
          <w:i/>
          <w:color w:val="000000"/>
          <w:sz w:val="20"/>
          <w:lang w:val="en-US" w:eastAsia="en-US" w:bidi="ar-SA"/>
        </w:rPr>
        <w:t>concerns</w:t>
      </w:r>
      <w:r>
        <w:rPr>
          <w:rFonts w:ascii="arial" w:eastAsia="arial" w:hAnsi="arial" w:cs="arial"/>
          <w:color w:val="000000"/>
          <w:sz w:val="20"/>
          <w:lang w:val="en-US" w:eastAsia="en-US" w:bidi="ar-SA"/>
        </w:rPr>
        <w:t>. Given the remedial nature of s. 23, context will be important: what matters pertain to the language and culture will depend on the unique circumstances of the minority group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Generally, some factors identified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will often tend to relate to language and culture: expenditures of funds for minority language instruction and facilities, the administration of those facilities, establishment of new programmes, recruiting and assigning teachers and personnel, and entering into agreements for education services for minority language pupils.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Other times, the context and need for remediation may bring other factors within the ambit of language and culture. For example,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the geographical distribution and concentration of a minority language community brought decisions about catchment areas, transportation and the location of schools within the ambit of language and culture. This was necessary to ensure that the language and culture of the particular community would flourish.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Matters that are outside the scope of language and culture (for example, the right to tax) will fall </w:t>
      </w:r>
      <w:r>
        <w:rPr>
          <w:rFonts w:ascii="arial" w:eastAsia="arial" w:hAnsi="arial" w:cs="arial"/>
          <w:i/>
          <w:color w:val="000000"/>
          <w:sz w:val="20"/>
          <w:lang w:val="en-US" w:eastAsia="en-US" w:bidi="ar-SA"/>
        </w:rPr>
        <w:t>outside</w:t>
      </w:r>
      <w:r>
        <w:rPr>
          <w:rFonts w:ascii="arial" w:eastAsia="arial" w:hAnsi="arial" w:cs="arial"/>
          <w:color w:val="000000"/>
          <w:sz w:val="20"/>
          <w:lang w:val="en-US" w:eastAsia="en-US" w:bidi="ar-SA"/>
        </w:rPr>
        <w:t xml:space="preserve"> the minority's right to management and control. They remain within the Province's plenary jurisdiction over education pursuant to s.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The defendants stress that the CSF's right to management and control is not absolute, and the CSF is not entitled to absolute deference. Rather, they say that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spoke of a "degree" of management and control. In their view, the distinction is significant. They stress that there is a proper role for government oversight over the minority's right to management and control. The defendants take the view that the same point was made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at paras. 51 and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The plaintiffs submit that the CSF's right to management and control limits the Province's jurisdiction over education. While they acknowledge the Province's interest in the content and qualitative standards of educational programmes, they say that the </w:t>
      </w:r>
      <w:r>
        <w:rPr>
          <w:rFonts w:ascii="arial" w:eastAsia="arial" w:hAnsi="arial" w:cs="arial"/>
          <w:i/>
          <w:color w:val="000000"/>
          <w:sz w:val="20"/>
          <w:lang w:val="en-US" w:eastAsia="en-US" w:bidi="ar-SA"/>
        </w:rPr>
        <w:t>Province</w:t>
      </w:r>
      <w:r>
        <w:rPr>
          <w:rFonts w:ascii="arial" w:eastAsia="arial" w:hAnsi="arial" w:cs="arial"/>
          <w:color w:val="000000"/>
          <w:sz w:val="20"/>
          <w:lang w:val="en-US" w:eastAsia="en-US" w:bidi="ar-SA"/>
        </w:rPr>
        <w:t xml:space="preserve"> cannot interfere with the legitimate linguistic and cultural concerns of the minority. They submit, citing </w:t>
      </w:r>
      <w:r>
        <w:rPr>
          <w:rFonts w:ascii="arial" w:eastAsia="arial" w:hAnsi="arial" w:cs="arial"/>
          <w:i/>
          <w:color w:val="000000"/>
          <w:sz w:val="20"/>
          <w:lang w:val="en-US" w:eastAsia="en-US" w:bidi="ar-SA"/>
        </w:rPr>
        <w:t>Arsenault</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at para. 53, that regulation of school size, facilities, transportation and assembly of students must have regard to the specific circumstances of the minority and the purposes of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Since some matters clearly fall within and some outside the right to management and </w:t>
      </w:r>
      <w:r>
        <w:rPr>
          <w:rFonts w:ascii="arial" w:eastAsia="arial" w:hAnsi="arial" w:cs="arial"/>
          <w:i/>
          <w:color w:val="000000"/>
          <w:sz w:val="20"/>
          <w:lang w:val="en-US" w:eastAsia="en-US" w:bidi="ar-SA"/>
        </w:rPr>
        <w:t>control</w:t>
      </w:r>
      <w:r>
        <w:rPr>
          <w:rFonts w:ascii="arial" w:eastAsia="arial" w:hAnsi="arial" w:cs="arial"/>
          <w:color w:val="000000"/>
          <w:sz w:val="20"/>
          <w:lang w:val="en-US" w:eastAsia="en-US" w:bidi="ar-SA"/>
        </w:rPr>
        <w:t xml:space="preserve"> over matters pertaining to language and culture, the Province clearly retains some of its jurisdiction over the education provided to the linguistic minority pursuant to s.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the Court commented that it should not be taken as saying that the Minister's role is unimportant (at para. 52). The Court held that while the minority was </w:t>
      </w:r>
      <w:r>
        <w:rPr>
          <w:rFonts w:ascii="arial" w:eastAsia="arial" w:hAnsi="arial" w:cs="arial"/>
          <w:i/>
          <w:color w:val="000000"/>
          <w:sz w:val="20"/>
          <w:lang w:val="en-US" w:eastAsia="en-US" w:bidi="ar-SA"/>
        </w:rPr>
        <w:t>entitled</w:t>
      </w:r>
      <w:r>
        <w:rPr>
          <w:rFonts w:ascii="arial" w:eastAsia="arial" w:hAnsi="arial" w:cs="arial"/>
          <w:color w:val="000000"/>
          <w:sz w:val="20"/>
          <w:lang w:val="en-US" w:eastAsia="en-US" w:bidi="ar-SA"/>
        </w:rPr>
        <w:t xml:space="preserve"> to a measure of management and control over matters going to its language and culture, it had to exercise its powers "subject to the objective provincial norms and guidelines that are consistent with section 23" (at para. 54). The Court also held that minority boards must exercise their rights "in light of the role of the Minister"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Court held that "[t]he principal role of the Minister is to develop institutional structures and specific regulations and policies to deal with the unique blend of linguistic dynamics that has developed in the province" (at para. 43). In particular, the Minister was able to fix "legitimate parameters to the exercise of the right of management by the Board", and enforce provincial norms (at para. 58). The Court confirmed that the provincial government had a legitimate interest in minority language education, and an ongoing role to play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province has a legitimate interest in the content and qualitative standards of educational programs for the official language communities and it can impose appropriate programs in so far as they do not interfere with the legitimate linguistic and cultural concerns of the minority. School size, facilities, transportation and assembly of students can be regulated, but all have an effect on language and culture and must be regulated with regard to the specific circumstances of the minority and the purposes of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 Court went on to hold that, in light of the minority board's primary jurisdiction over the construction of new schools, the Minister's authority "was limited to verifying whether the Board had met provincial requirements." Since all provincial requirements had been complied with, the Minister had no power to impose his own criteria as a substitute, or his own decision for that of the Board, once the Board had decided what facilities were appropriate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I also take some guidance from </w:t>
      </w:r>
      <w:r>
        <w:rPr>
          <w:rFonts w:ascii="arial" w:eastAsia="arial" w:hAnsi="arial" w:cs="arial"/>
          <w:i/>
          <w:color w:val="000000"/>
          <w:sz w:val="20"/>
          <w:lang w:val="en-US" w:eastAsia="en-US" w:bidi="ar-SA"/>
        </w:rPr>
        <w:t>Ontario Catholic Teachers</w:t>
      </w:r>
      <w:r>
        <w:rPr>
          <w:rFonts w:ascii="arial" w:eastAsia="arial" w:hAnsi="arial" w:cs="arial"/>
          <w:color w:val="000000"/>
          <w:sz w:val="20"/>
          <w:lang w:val="en-US" w:eastAsia="en-US" w:bidi="ar-SA"/>
        </w:rPr>
        <w:t xml:space="preserve">, a case pursuant to s. 93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After acknowledging the religious community's right to management and control over the denominational aspects of education (at para. 60), the Court stated (at para. 61) that the denominational school board's right to management and control did not provide "constitutional protection for the </w:t>
      </w:r>
      <w:r>
        <w:rPr>
          <w:rFonts w:ascii="arial" w:eastAsia="arial" w:hAnsi="arial" w:cs="arial"/>
          <w:color w:val="000000"/>
          <w:sz w:val="20"/>
          <w:u w:val="single"/>
          <w:lang w:val="en-US" w:eastAsia="en-US" w:bidi="ar-SA"/>
        </w:rPr>
        <w:t>design</w:t>
      </w:r>
      <w:r>
        <w:rPr>
          <w:rFonts w:ascii="arial" w:eastAsia="arial" w:hAnsi="arial" w:cs="arial"/>
          <w:color w:val="000000"/>
          <w:sz w:val="20"/>
          <w:lang w:val="en-US" w:eastAsia="en-US" w:bidi="ar-SA"/>
        </w:rPr>
        <w:t xml:space="preserve"> of the public school system", which continued to fall within the Province's plenary power with regard to education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In another s. 93 case, </w:t>
      </w:r>
      <w:r>
        <w:rPr>
          <w:rFonts w:ascii="arial" w:eastAsia="arial" w:hAnsi="arial" w:cs="arial"/>
          <w:i/>
          <w:color w:val="000000"/>
          <w:sz w:val="20"/>
          <w:lang w:val="en-US" w:eastAsia="en-US" w:bidi="ar-SA"/>
        </w:rPr>
        <w:t>Public School Boards' Assn. of Alberta v. Alberta (Attorney General)</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2000 SCC 45</w:t>
        </w:r>
      </w:hyperlink>
      <w:r>
        <w:rPr>
          <w:rFonts w:ascii="arial" w:eastAsia="arial" w:hAnsi="arial" w:cs="arial"/>
          <w:color w:val="000000"/>
          <w:sz w:val="20"/>
          <w:lang w:val="en-US" w:eastAsia="en-US" w:bidi="ar-SA"/>
        </w:rPr>
        <w:t xml:space="preserve">, the Court considered a constitutional challenge to Alberta legislation that placed spending restrictions upon school boards, and strengthened ministerial control over school board senior staff. The plaintiffs in that case argued that school districts have a constitutional right to a sphere of reasonable autonomy, which Justice Major, writing for the Court, rejected. He confirmed that school boards, like municipal institutions, are delegates of provincial jurisdiction under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(at para. 33). He acknowledged that school boards are "the vehicles through which the constitutionally entrenched denominational rights of individuals are realized" (at para. 34). Despite this, he concluded that "educational institutions are malleable and subject to legislative reform" (at para. 35). Thus, the Court concluded that Alberta enjoyed a broad, plenary power over education, and that "[a] claim to an institutional sphere of reasonable autonomy is inconsistent with, and would impair, this plenary power." Thus, Alberta was permitted to "alter educational institutions within its borders as it sees fit" subject only to constitutional and legal limits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xml:space="preserve">  Taking these principles together, I find that where a matter falls within the minority's exclusive right to management and control over matters going to language and culture, the minority school board is entitled to some deference. As suggested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to the extent that the Province interferes with the minority's management and control over matters going to language and culture, those actions or regulations will be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On the other hand, the Province is entitled to develop institutional structures and regulations governing the minority's right to management and control. The linguistic minority is not entitled to any particular design of the education system. The Province continues to enjoy the jurisdiction to alter the education system pursuant to its plenary power over education. So long as those structures do not interfere with the minority's linguistic and cultural concerns, the minority is required to comply with those regulations, and must exercise their right of management and control consistently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 The Positive Obligation to Provide Facilities to the Linguistic Minority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xml:space="preserve">  The plaintiffs submit that, unlike other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s. 23 confers a special status on a minority group, and imposes a positive obligation on the Province to mobilize resources and enact legislation. In their submission, given the purpose of s. 23, the Province is required to do "whatever is practically possible to preserve and promote minority language education":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Thus, the plaintiffs emphasize the distinct, positive obligations that s. 23 places on the Province. Citing </w:t>
      </w:r>
      <w:r>
        <w:rPr>
          <w:rFonts w:ascii="arial" w:eastAsia="arial" w:hAnsi="arial" w:cs="arial"/>
          <w:i/>
          <w:color w:val="000000"/>
          <w:sz w:val="20"/>
          <w:lang w:val="en-US" w:eastAsia="en-US" w:bidi="ar-SA"/>
        </w:rPr>
        <w:t>Conseil des écoles séparées catholiques romaines de Dufferin et Peel v. Ontario (ministre de l'Éducation et de la Formation)</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(1996), 30 O.R. (3d) 681</w:t>
        </w:r>
      </w:hyperlink>
      <w:r>
        <w:rPr>
          <w:rFonts w:ascii="arial" w:eastAsia="arial" w:hAnsi="arial" w:cs="arial"/>
          <w:color w:val="000000"/>
          <w:sz w:val="20"/>
          <w:lang w:val="en-US" w:eastAsia="en-US" w:bidi="ar-SA"/>
        </w:rPr>
        <w:t xml:space="preserve"> (Div. Ct.), aff'd </w:t>
      </w:r>
      <w:hyperlink r:id="rId326" w:history="1">
        <w:r>
          <w:rPr>
            <w:rFonts w:ascii="arial" w:eastAsia="arial" w:hAnsi="arial" w:cs="arial"/>
            <w:i/>
            <w:color w:val="0077CC"/>
            <w:sz w:val="20"/>
            <w:u w:val="single"/>
            <w:shd w:val="clear" w:color="auto" w:fill="FFFFFF"/>
            <w:lang w:val="en-US" w:eastAsia="en-US" w:bidi="ar-SA"/>
          </w:rPr>
          <w:t>(1996) 30 O.R. (3d) 686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Dufferin Peel</w:t>
      </w:r>
      <w:r>
        <w:rPr>
          <w:rFonts w:ascii="arial" w:eastAsia="arial" w:hAnsi="arial" w:cs="arial"/>
          <w:color w:val="000000"/>
          <w:sz w:val="20"/>
          <w:lang w:val="en-US" w:eastAsia="en-US" w:bidi="ar-SA"/>
        </w:rPr>
        <w:t xml:space="preserve">] at para. 7, they urge that the Province must be taken to have recognized the financial obligations that flow from its commitment in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such that it cannot subvert minority language rights to changing priorities or economic exigencies. They therefore say that the Province cannot rely on cost, a lack of legislation or capital funding mechanisms as a defence for not responding to minority language rights, citing on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The plaintiffs urge that s. 23 rights are also time sensitive. The plaintiffs note, as was implied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at para. 29, that for every school year the Province fails to meet its obligations under s. 23, there is an increased likelihood of assimilation and cultural erosion, which carries with it the risk that the number of children may cease to warrant the same educational facilities. In their submission, the time sensitivity of s. 23 requires both "vigilant implementation of s. 23 rights, and ... timely compliance in remedying violations":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xml:space="preserve">  The defendants distinguish </w:t>
      </w:r>
      <w:r>
        <w:rPr>
          <w:rFonts w:ascii="arial" w:eastAsia="arial" w:hAnsi="arial" w:cs="arial"/>
          <w:i/>
          <w:color w:val="000000"/>
          <w:sz w:val="20"/>
          <w:lang w:val="en-US" w:eastAsia="en-US" w:bidi="ar-SA"/>
        </w:rPr>
        <w:t>Dufferin Peel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In connection with </w:t>
      </w:r>
      <w:r>
        <w:rPr>
          <w:rFonts w:ascii="arial" w:eastAsia="arial" w:hAnsi="arial" w:cs="arial"/>
          <w:i/>
          <w:color w:val="000000"/>
          <w:sz w:val="20"/>
          <w:lang w:val="en-US" w:eastAsia="en-US" w:bidi="ar-SA"/>
        </w:rPr>
        <w:t>Dufferin Peel</w:t>
      </w:r>
      <w:r>
        <w:rPr>
          <w:rFonts w:ascii="arial" w:eastAsia="arial" w:hAnsi="arial" w:cs="arial"/>
          <w:color w:val="000000"/>
          <w:sz w:val="20"/>
          <w:lang w:val="en-US" w:eastAsia="en-US" w:bidi="ar-SA"/>
        </w:rPr>
        <w:t>, they note that Ontario had admitted a rights breach and committed to remedying the breach once financial circumstances allowed. In this case, the defendants say, the Province does not take the position that Government's commitment is satisfied with a promise to fund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xml:space="preserve">  Unlike other provisions of the </w:t>
      </w:r>
      <w:r>
        <w:rPr>
          <w:rFonts w:ascii="arial" w:eastAsia="arial" w:hAnsi="arial" w:cs="arial"/>
          <w:i/>
          <w:color w:val="000000"/>
          <w:sz w:val="20"/>
          <w:lang w:val="en-US" w:eastAsia="en-US" w:bidi="ar-SA"/>
        </w:rPr>
        <w:t>Charter, s.</w:t>
      </w:r>
      <w:r>
        <w:rPr>
          <w:rFonts w:ascii="arial" w:eastAsia="arial" w:hAnsi="arial" w:cs="arial"/>
          <w:color w:val="000000"/>
          <w:sz w:val="20"/>
          <w:lang w:val="en-US" w:eastAsia="en-US" w:bidi="ar-SA"/>
        </w:rPr>
        <w:t xml:space="preserve"> 23 and the other language rights are more akin to rights than freedoms. In </w:t>
      </w:r>
      <w:r>
        <w:rPr>
          <w:rFonts w:ascii="arial" w:eastAsia="arial" w:hAnsi="arial" w:cs="arial"/>
          <w:i/>
          <w:color w:val="000000"/>
          <w:sz w:val="20"/>
          <w:lang w:val="en-US" w:eastAsia="en-US" w:bidi="ar-SA"/>
        </w:rPr>
        <w:t>Ford c. Quebec (Procureur general)</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[1988] 2 S.C.R. 712</w:t>
        </w:r>
      </w:hyperlink>
      <w:r>
        <w:rPr>
          <w:rFonts w:ascii="arial" w:eastAsia="arial" w:hAnsi="arial" w:cs="arial"/>
          <w:color w:val="000000"/>
          <w:sz w:val="20"/>
          <w:lang w:val="en-US" w:eastAsia="en-US" w:bidi="ar-SA"/>
        </w:rPr>
        <w:t xml:space="preserve">, the Court acknowledged that s. 23 entitles rightsholders to specific benefits from the government, and obliges the government to provide those services or benefits in both languages. The Court differentiated s. 23 from other rights in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which guarantee freedoms to choose a course of activity without government interference. In that way, they are said to guarantee a "precise scheme" of opportunities to receive services in English or French "in concrete, readily ascertainable and limited circumstances" (at 751).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Court explained that s. 23 grants special rights to a select group of individuals: members of minority language communities. Thus, the Court found that it "provides a comprehensive code for minority language educational rights". It specifically has its own internal qualifications and its own method of internal balancing (at 369). Within those limits, there is an obligation on government to "do whatever is practical in the situation to preserve and promote minority language education" (at 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The words of s. 23 establish that the positive obligation on government extends to providing minority language education facilities "out of public funds" where the numbers warrant.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the Court affirmed the trial judge's conclusion that concerns including "lack of funds" could not justify a failure to fulfill admitted obligations under s. 23 (at para. 39). Similarly, in </w:t>
      </w:r>
      <w:r>
        <w:rPr>
          <w:rFonts w:ascii="arial" w:eastAsia="arial" w:hAnsi="arial" w:cs="arial"/>
          <w:i/>
          <w:color w:val="000000"/>
          <w:sz w:val="20"/>
          <w:lang w:val="en-US" w:eastAsia="en-US" w:bidi="ar-SA"/>
        </w:rPr>
        <w:t>Dufferin Peel</w:t>
      </w:r>
      <w:r>
        <w:rPr>
          <w:rFonts w:ascii="arial" w:eastAsia="arial" w:hAnsi="arial" w:cs="arial"/>
          <w:color w:val="000000"/>
          <w:sz w:val="20"/>
          <w:lang w:val="en-US" w:eastAsia="en-US" w:bidi="ar-SA"/>
        </w:rPr>
        <w:t>, the Court held that in the context of that particular case and minority language group, a delay in funding (admittedly needed) minority language education facilities due to the Government's deficit elimination strategy was contrary to s. 23. In that case, Hawkins J. emphasized that this was so because of the constitutional entrenchment of minority language education rights (at 684):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sentiments expressed in this quote contain the germ of the problem which brings us all together. The right of citizens of Canada to have their children educated in what is called, conveniently and popularly, a "minority" language is a right constitutionally protected by s. 23 of the Canadian Charter of Rights and Freedoms. A democratically elected government may in most cases and quite properly determine what in its view are "the services we value most". If it is wrong in that determination it answers at the ballot box. In a climate of job loss, welfare cuts and general reduction of government services it is not difficult to imagine that a capital expenditure of over $10 million for an improved French language secondary school might not qualify as a service that "we value most", supposing that the "we" referred to therein is the non- Francophone majority. It is to avoid such a result that we have constitutionally protected rights. Elected representatives of the people create constitutions, leaving it to non-elected judges (in Canada at least) to decide what exactly they have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xml:space="preserve">  The nature of the right is also such that governments must act quickly.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the Court observed that government delay or inaction can increase the likelihood of assimilation, carrying the risk that the numbers might cease to "warrant" whatever services are required (at para. 29). Madam Justice Karakatsanis confirmed this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28, where she noted that "[l]eft neglected, the right to minority language education could be lost altogether in a given community. Thus, there is a critical need both for vigilant implementation of s. 23 rights, and for timely compliance in remedying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The defendants take the position that the duty on government is limited. They stress the requirement for governments to do "whatever is necessary" is tempered by a practical consideration: "whatever is practical in the situation to preserve and promote minority language education", citing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367. That, they say, is the tension in the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xml:space="preserve">  I agree with the defendants. The practical limit to the obligation on government was first noted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367. Citing that statement,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Justices Major and Bastarache, writing for the Court, opined that s. 23 places on provincial governments a duty to "do whatever is practically possible to preserve and promote minority language education"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The positive obligation to provide facilities where the numbers warrant therefore places a second limited restriction on the provinces' plenary jurisdiction over education. Peter W. Hogg, </w:t>
      </w:r>
      <w:r>
        <w:rPr>
          <w:rFonts w:ascii="arial" w:eastAsia="arial" w:hAnsi="arial" w:cs="arial"/>
          <w:i/>
          <w:color w:val="000000"/>
          <w:sz w:val="20"/>
          <w:lang w:val="en-US" w:eastAsia="en-US" w:bidi="ar-SA"/>
        </w:rPr>
        <w:t>Constitutional Law of Canada</w:t>
      </w:r>
      <w:r>
        <w:rPr>
          <w:rFonts w:ascii="arial" w:eastAsia="arial" w:hAnsi="arial" w:cs="arial"/>
          <w:color w:val="000000"/>
          <w:sz w:val="20"/>
          <w:lang w:val="en-US" w:eastAsia="en-US" w:bidi="ar-SA"/>
        </w:rPr>
        <w:t>, loose-leaf, (Toronto: Carswell, 2007) [</w:t>
      </w:r>
      <w:r>
        <w:rPr>
          <w:rFonts w:ascii="arial" w:eastAsia="arial" w:hAnsi="arial" w:cs="arial"/>
          <w:i/>
          <w:color w:val="000000"/>
          <w:sz w:val="20"/>
          <w:lang w:val="en-US" w:eastAsia="en-US" w:bidi="ar-SA"/>
        </w:rPr>
        <w:t>Hogg</w:t>
      </w:r>
      <w:r>
        <w:rPr>
          <w:rFonts w:ascii="arial" w:eastAsia="arial" w:hAnsi="arial" w:cs="arial"/>
          <w:color w:val="000000"/>
          <w:sz w:val="20"/>
          <w:lang w:val="en-US" w:eastAsia="en-US" w:bidi="ar-SA"/>
        </w:rPr>
        <w:t>] observed that the rights included in s. 23 are constitutional minimums. Subject to meeting the minimum standard, it is open to the government to make laws pursuant to education in accordance with its plenary power over education (at 56-28):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minority language education rights of s. 23 are a "constitutional minimum". This means that provincial legislation which is more restrictive of access to minority language education than s. 23 will be unconstitutional (unless justified under s. 1). But, subject to the constitutional minimum, the provinces retain their constitutional power to make laws in relation to education (s. 93) and they can enact laws that broaden access to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Section 93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places a similar positive obligation on those provinces that have historically offered denominational schools. In </w:t>
      </w:r>
      <w:r>
        <w:rPr>
          <w:rFonts w:ascii="arial" w:eastAsia="arial" w:hAnsi="arial" w:cs="arial"/>
          <w:i/>
          <w:color w:val="000000"/>
          <w:sz w:val="20"/>
          <w:lang w:val="en-US" w:eastAsia="en-US" w:bidi="ar-SA"/>
        </w:rPr>
        <w:t>Adler</w:t>
      </w:r>
      <w:r>
        <w:rPr>
          <w:rFonts w:ascii="arial" w:eastAsia="arial" w:hAnsi="arial" w:cs="arial"/>
          <w:color w:val="000000"/>
          <w:sz w:val="20"/>
          <w:lang w:val="en-US" w:eastAsia="en-US" w:bidi="ar-SA"/>
        </w:rPr>
        <w:t>, the majority emphasized that governments are free to go beyond the mandatory minimums included in s. 93, but there is no obligation to do so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thing should, however, be made clear. The province remains free to exercise its plenary power with regard to education in whatever way it sees fit, subject to the restrictions relating to separate schools imposed by s. 93(1). Section 93 grants to the province of Ontario the power to legislate with regard to public schools and separate schools. However, nothing in these reasons should be taken to mean that the province's legislative power is limited to these two school systems. In other words, the province could, if it so chose, pass legislation extending funding to denominational schools other than Roman Catholic schools without infringing the rights guaranteed to Roman Catholic separate schools under s. 93(1). See the words of Gonthier J., writing for the Court, in </w:t>
      </w:r>
      <w:r>
        <w:rPr>
          <w:rFonts w:ascii="arial" w:eastAsia="arial" w:hAnsi="arial" w:cs="arial"/>
          <w:i/>
          <w:color w:val="000000"/>
          <w:sz w:val="20"/>
          <w:lang w:val="en-US" w:eastAsia="en-US" w:bidi="ar-SA"/>
        </w:rPr>
        <w:t xml:space="preserve">Reference re Education Act (Que.), </w:t>
      </w:r>
      <w:hyperlink r:id="rId328" w:history="1">
        <w:r>
          <w:rPr>
            <w:rFonts w:ascii="arial" w:eastAsia="arial" w:hAnsi="arial" w:cs="arial"/>
            <w:i/>
            <w:color w:val="0077CC"/>
            <w:sz w:val="20"/>
            <w:u w:val="single"/>
            <w:shd w:val="clear" w:color="auto" w:fill="FFFFFF"/>
            <w:lang w:val="en-US" w:eastAsia="en-US" w:bidi="ar-SA"/>
          </w:rPr>
          <w:t>[1993] 2 S.C.R. 511</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 551. However, an </w:t>
      </w:r>
      <w:r>
        <w:rPr>
          <w:rFonts w:ascii="arial" w:eastAsia="arial" w:hAnsi="arial" w:cs="arial"/>
          <w:color w:val="000000"/>
          <w:sz w:val="20"/>
          <w:u w:val="single"/>
          <w:lang w:val="en-US" w:eastAsia="en-US" w:bidi="ar-SA"/>
        </w:rPr>
        <w:t>ability</w:t>
      </w:r>
      <w:r>
        <w:rPr>
          <w:rFonts w:ascii="arial" w:eastAsia="arial" w:hAnsi="arial" w:cs="arial"/>
          <w:color w:val="000000"/>
          <w:sz w:val="20"/>
          <w:lang w:val="en-US" w:eastAsia="en-US" w:bidi="ar-SA"/>
        </w:rPr>
        <w:t xml:space="preserve"> to pass such legislation does not amount to an </w:t>
      </w:r>
      <w:r>
        <w:rPr>
          <w:rFonts w:ascii="arial" w:eastAsia="arial" w:hAnsi="arial" w:cs="arial"/>
          <w:color w:val="000000"/>
          <w:sz w:val="20"/>
          <w:u w:val="single"/>
          <w:lang w:val="en-US" w:eastAsia="en-US" w:bidi="ar-SA"/>
        </w:rPr>
        <w:t>obligation</w:t>
      </w:r>
      <w:r>
        <w:rPr>
          <w:rFonts w:ascii="arial" w:eastAsia="arial" w:hAnsi="arial" w:cs="arial"/>
          <w:color w:val="000000"/>
          <w:sz w:val="20"/>
          <w:lang w:val="en-US" w:eastAsia="en-US" w:bidi="ar-SA"/>
        </w:rPr>
        <w:t xml:space="preserve"> to do so. To emphasize, s. 93 defines the extent of the obligations of the province to set up and fund denominational schools when public schools are established. In this respect, it is a comprehensive code thereby excluding a different or broader obligation regarding denominational schools, while not restricting the plenary power of the province to establish and fund such other schools as it may decide.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As I see it, s. 23 has a unique place in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Rather than recognizing a universal freedom, s. 23 creates an individual right (with a collective aspect) that is peculiar to Canada. Because the right to minority language education is constitutionally entrenched, the obligation on government to act can require expenditures out of public funds even where political vagaries might lead a government to want to do otherwise. It also requires prompt action to prevent the very assimilation that s. 23 is intended to guard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While the duty on government is positive, it is also limited by the words of s. 23 and the broader context. Through its own internal limitations, s. 23 creates a complete code for the obligation placed on Government to provide minority language education rights in Canada. The duty and limits inherent to the provision require governments to do whatever is practical in the circumstances to preserve and promote minority language education. Given the contextual, remedial interpretation that must be given to s. 23, determining what is practical in the circumstances will necessarily require the Court to consider the broad background context of a minority language group and the educational services they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In many instances in their argument, the plaintiffs go further than this. They suggest that s. 23 places an affirmative duty on government to preserve and promote the French language and culture, or minority language education, in British Columbia. This goes too far. As was explained in the </w:t>
      </w:r>
      <w:r>
        <w:rPr>
          <w:rFonts w:ascii="arial" w:eastAsia="arial" w:hAnsi="arial" w:cs="arial"/>
          <w:i/>
          <w:color w:val="000000"/>
          <w:sz w:val="20"/>
          <w:lang w:val="en-US" w:eastAsia="en-US" w:bidi="ar-SA"/>
        </w:rPr>
        <w:t>Ontario Education Act Reference</w:t>
      </w:r>
      <w:r>
        <w:rPr>
          <w:rFonts w:ascii="arial" w:eastAsia="arial" w:hAnsi="arial" w:cs="arial"/>
          <w:color w:val="000000"/>
          <w:sz w:val="20"/>
          <w:lang w:val="en-US" w:eastAsia="en-US" w:bidi="ar-SA"/>
        </w:rPr>
        <w:t xml:space="preserve"> at 28, s. 23 </w:t>
      </w:r>
      <w:r>
        <w:rPr>
          <w:rFonts w:ascii="arial" w:eastAsia="arial" w:hAnsi="arial" w:cs="arial"/>
          <w:color w:val="000000"/>
          <w:sz w:val="20"/>
          <w:u w:val="single"/>
          <w:lang w:val="en-US" w:eastAsia="en-US" w:bidi="ar-SA"/>
        </w:rPr>
        <w:t>gives effect</w:t>
      </w:r>
      <w:r>
        <w:rPr>
          <w:rFonts w:ascii="arial" w:eastAsia="arial" w:hAnsi="arial" w:cs="arial"/>
          <w:color w:val="000000"/>
          <w:sz w:val="20"/>
          <w:lang w:val="en-US" w:eastAsia="en-US" w:bidi="ar-SA"/>
        </w:rPr>
        <w:t xml:space="preserve"> to the principle of preserving the minority language and culture. It provides education rights </w:t>
      </w:r>
      <w:r>
        <w:rPr>
          <w:rFonts w:ascii="arial" w:eastAsia="arial" w:hAnsi="arial" w:cs="arial"/>
          <w:color w:val="000000"/>
          <w:sz w:val="20"/>
          <w:u w:val="single"/>
          <w:lang w:val="en-US" w:eastAsia="en-US" w:bidi="ar-SA"/>
        </w:rPr>
        <w:t>as a means</w:t>
      </w:r>
      <w:r>
        <w:rPr>
          <w:rFonts w:ascii="arial" w:eastAsia="arial" w:hAnsi="arial" w:cs="arial"/>
          <w:color w:val="000000"/>
          <w:sz w:val="20"/>
          <w:lang w:val="en-US" w:eastAsia="en-US" w:bidi="ar-SA"/>
        </w:rPr>
        <w:t xml:space="preserve"> of strengthening our country's bilingual and bicultural character. It does not, however, place a duty on government to achieve those ends through any means other than providing the mandatory minimum level of minority language education. As suggested in </w:t>
      </w:r>
      <w:r>
        <w:rPr>
          <w:rFonts w:ascii="arial" w:eastAsia="arial" w:hAnsi="arial" w:cs="arial"/>
          <w:i/>
          <w:color w:val="000000"/>
          <w:sz w:val="20"/>
          <w:lang w:val="en-US" w:eastAsia="en-US" w:bidi="ar-SA"/>
        </w:rPr>
        <w:t>Mahe, Ford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Adler</w:t>
      </w:r>
      <w:r>
        <w:rPr>
          <w:rFonts w:ascii="arial" w:eastAsia="arial" w:hAnsi="arial" w:cs="arial"/>
          <w:color w:val="000000"/>
          <w:sz w:val="20"/>
          <w:lang w:val="en-US" w:eastAsia="en-US" w:bidi="ar-SA"/>
        </w:rPr>
        <w:t>, s. 23 creates a complete code, and the Government is not required to provide services that go beyond what is envisioned by the rights created in the text of s.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The Role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The overlapping jurisdiction of the Province and the CSF gives rise to the question of responsibility for breaches of rights. The Province and the CSF share jurisdiction over education. In the defendants' submission, the question who is responsible for a s. 23 breach ought to be taken into account at some stage of the s. 23 analysis, whether separately or as part of the justification analysis pursuant to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The defendants argue that minority language school boards like the CSF wear two hats. They are both a branch and creature of government and representatives who exercise the ancillary right of management and control on behalf of rightsholders. In the defendants' view, with the right to management and control comes responsibility. Because the CSF is responsible for exercising management and control over matters pertaining to language and culture, it must also be accountable for its choices, particularly if Government must defer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In the defendants' submission, the choices made by a well-funded minority school district exercising delegated powers of management and control can disentitle the district to redress for issues arising out of their own choices. The defendants point to </w:t>
      </w:r>
      <w:r>
        <w:rPr>
          <w:rFonts w:ascii="arial" w:eastAsia="arial" w:hAnsi="arial" w:cs="arial"/>
          <w:i/>
          <w:color w:val="000000"/>
          <w:sz w:val="20"/>
          <w:lang w:val="en-US" w:eastAsia="en-US" w:bidi="ar-SA"/>
        </w:rPr>
        <w:t>Northwest Territories (Attorney General) v. Association des parents ayants droit de Yellowknife</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2015 NWTCA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at paras. 85 and 87, where the Court held that rightsholders must "marshal their resources" and cannot complain about a lack of space for core programming where they or their representatives have chosen to dedicate space to ancillary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xml:space="preserve">  The defendants therefore suggest that it is important to assign responsibility for a breach of s. 23. They note that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Karakatsanis J. noted that Justice Willcock's finding in </w:t>
      </w:r>
      <w:r>
        <w:rPr>
          <w:rFonts w:ascii="arial" w:eastAsia="arial" w:hAnsi="arial" w:cs="arial"/>
          <w:i/>
          <w:color w:val="000000"/>
          <w:sz w:val="20"/>
          <w:lang w:val="en-US" w:eastAsia="en-US" w:bidi="ar-SA"/>
        </w:rPr>
        <w:t>L'Association des parents de l'école Rose-des-vents v. Conseil scolaire francophone de la Colombie-Britannique,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2012 BCSC 1614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Association des Parents- BCSC</w:t>
      </w:r>
      <w:r>
        <w:rPr>
          <w:rFonts w:ascii="arial" w:eastAsia="arial" w:hAnsi="arial" w:cs="arial"/>
          <w:color w:val="000000"/>
          <w:sz w:val="20"/>
          <w:lang w:val="en-US" w:eastAsia="en-US" w:bidi="ar-SA"/>
        </w:rPr>
        <w:t xml:space="preserve">] was not a complete finding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because responsibility had not yet been assigned (at para. 61). In the defendants' view, if determining responsibility is not a separate step, the issue is best considered as part of the s. 1 justification analysis. They say it is not appropriate to deal with the issue as a remedy, because the issue goes further than the question of who should fix the breach. In many cases, they say, the CSF will not be able to fix a breach of its own making without involvement from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The plaintiffs urge that the defendants' position is misguided. They say that since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binds both the Province and the CSF, even if the CSF were found solely responsible for any breach of s. 23, it would not insulate the Province from its constitutional responsibility. They say that, at most, the issue of responsibility is relevant to crafting an appropriate remedy, which might require action and expenditure on the part of both the CSF and the Province. In that connection, they cite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The plaintiffs' view is that even if a minority school board made an independent decision in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those decisions could not permanently extinguish rightsholders' claims to appropriate school facilities. At most, they say, such responsibility would justify allowing the Province more time to correct the violation. Otherwise, a decision by a minority board could permanently disentitle rightsholders in a community to the educational experience guaranteed by s. 23. In their view, s. 23 is a continuing right that must be satisfied on an ongoing basis; decisions made at one time by a minority board could never permanently absolve the Province from further obligations or immunize it from further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The question of responsibility for a breach of s. 23 is novel territory. The issue arose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where the Province argued that courts determining s. 23 cases should assess responsibility for a breach when deciding if minority language facilities are equivalent to those of the majority. The Court rejected that approach as it would provide "no insight into the question of whether a given minority language school is equivalent to its majority counterparts" (at para. 43). However, the Court went on to hold that establishing responsibility "may be relevant to crafting an appropriate remedy, should one be necessary" (at para. 62). The Court also held that Mr. Justice Willcock's declaration that the facilities at École Élémentaire Rose-des-Vents were not equivalent was "subject to the future determination of responsibility"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xml:space="preserve">  The question of responsibility also arose indirectly in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There, the Court held that, "[a]s a general rule, the s. 23 rights holders are required to marshal their resources" and cannot claim for inadequate funding or facilities where they use resources provided by government for other things (at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There is some merit to the positions of both the plaintiffs and the defendants. On the one hand, as the plaintiffs suggest, rightsholder parents are entitled to educational facilities where the numbers so warrant, sometimes at a standard of equivalence. To the extent that rightsholders' children are not able to enrol in those facilities, it is irrelevant whether the CSF or the Province is responsible for the absence of facilities. It may well be that they both are, to varying extents.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On the other hand, there is some merit to the idea that a minority board's right to management and control ought to include a responsibility to effectively manage its resources. Minority boards have exclusive jurisdiction over matters pertaining to language and culture. They override the Province's plenary jurisdiction over education in that respect. Governments must not interfere with those decisions, at risk of violating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xml:space="preserve">  This is particularly so in this case because the CSF is a representative body. It was established to give effect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 in that way is intended to give rightsholder parents a measure of management and control over the linguistic and cultural aspects of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xml:space="preserve">  This is accomplished through democratic participation. Pursuant to s. 166.13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rightsholders are entitled to apply to the CSF to become members, and the CSF must admit them. Section 166.14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gives all rightsholder members of the CSF the right to vote in the CSF's election of regional trustees. The trustees then carry out the management and control function of the school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In that way, while the CSF is responsible for meeting the requirements of s. 23, it is also the representative of the very rightsholders to which it owes its duty. It is both the holder and the guarantor of rights. It is hard to conceive of the CSF suing itself for a breach of its own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One way of dealing with the issue is to examine s. 23 breaches through the lens of causation. Given the nature of the duties on both sides, in my view, it is necessary to take into account what caused any lack of minority language education facilities, and the nature of that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xml:space="preserve">  The idea of causation is not foreign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was discussed in the context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(Attorney General) v. Bedford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2013 SCC 72</w:t>
        </w:r>
      </w:hyperlink>
      <w:r>
        <w:rPr>
          <w:rFonts w:ascii="arial" w:eastAsia="arial" w:hAnsi="arial" w:cs="arial"/>
          <w:color w:val="000000"/>
          <w:sz w:val="20"/>
          <w:lang w:val="en-US" w:eastAsia="en-US" w:bidi="ar-SA"/>
        </w:rPr>
        <w:t>. There, the Attorney General argued that state prohibitions concerning prostitution were not the cause of potential harm to sex workers. The Attorney General's position was that the potential harm to sex workers arose out of inherently risky behaviour. The Court confirmed that s. 7 included a flexible causation standard, which asks whether there is a "sufficient causal connection" between the state-caused effect, and the prejudice suffered by the claimant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Causation also arose in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2015 SCC 24</w:t>
        </w:r>
      </w:hyperlink>
      <w:r>
        <w:rPr>
          <w:rFonts w:ascii="arial" w:eastAsia="arial" w:hAnsi="arial" w:cs="arial"/>
          <w:color w:val="000000"/>
          <w:sz w:val="20"/>
          <w:lang w:val="en-US" w:eastAsia="en-US" w:bidi="ar-SA"/>
        </w:rPr>
        <w:t xml:space="preserve">. The Court there was concerned with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as a result of unconstitutional wrongful non-disclosure by prosecutors. The majority held that, in addition to establishing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the claimant must establish that "as a result of the wrongful non-disclosure, he or she suffered a legally cognizable harm. Liability attaches to the Crown only upon a finding of "but for" causation" (at para. 95). Doing so ensured that "liability is restricted to cases where the intentional failure to disclose was actually the cause of the harm to the accused (at para. 97). The standard could be modified in situations involving multiple alleged wrongdoers, in which case "the causation requirement will be satisfied if the claimant can prove that the prosecutorial misconduct materially contributed to the harm suffered" (at para. 98). In their minority opinion, Chief Justice McLachlin and Justice Karakatsanis would have left the causation question for another day, but expressed caution that the but-for causation test might not be appropriate (at para.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In my view, causation is also important to the s. 23 analysis. If the breach was caused by the Province's interference in the minority's exclusive right to management and control, then the Province must be held accountable. The Province may interfere with that right in two ways: by either trenching on or refusing deference to the minority's legitimate exercise of its right to management and control, or by failing to fulfill its positive duty to provide appropriate facilities where numbers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Circumstances are different when the situation was caused by decisions taken by the minority. A situation may, for example, arise out of decisions taken by the minority board in exercise of its exclusive jurisdiction over language and culture. It may also arise out of the minority's failure to abide by legitimate institutional structures and regulations governing the minority's right to management and control. In those situations, liability will not attach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For example, where a minority board is well funded but mismanages its funds, causing a breach of s. 23, the minority board is responsible and must put its resources toward remedying the violation. Or, where a minority board has sufficient space but chooses not to use that space for educational purposes, causing a lack of space for rightsholders, the school board is responsible for the breach and must reallocate its space to its intended purpose. Since a minority board is the vehicle for rightsholders to exercise their exclusive right to management and control, it must exercise a measure of self-determination to remedy rights breaches of its own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Where both the minority school board and the Province are responsible, there are multiple causes. In that instance, the plaintiffs will satisfy the causation requirement and liability will attach to the Province provided that the Province materially contributed to the breach of section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Ultimately, the issue of causation will be relevant in two ways. First, the cause of any rights breach is important to know for the purposes of the s. 1 justification analysis. As I explain in detail in Chapter IX, Justification, the parties have the right to justify any infringing measure that is prescribed by law. Therefore, it is essential to know what infringing measure caused a rights breach to assess whether that breach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xml:space="preserve">  Second, causation is important to the assessment of what remedy ought to be granted, as the Court suggested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In the event that mismanagement by the minority board is the sole cause of substandard services, as a representative body, it must act within its jurisdiction to remedy the breach. This might require taking steps to make capital requests not previously made, or re-allocating existing space or funding to its intended purpose. If the Province is solely responsible or materially contributed to a breach, then orders may issue declaring laws or policies to be of no force and effect, or requiring the Province to take certain steps.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British Columbia enjoys broad, plenary power over education pursuant to s. 93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That jurisdiction is limited by s. 23 in two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Section 23 places a unique positive duty on governments to ensure that appropriate minority language educational facilities are made available where the numbers so warrant. To that end, it must make expenditures out of public funds and to act promptly to prevent assimilation. At the same time, the duty on government is limited by the words of s. 23, which set a baseline requirement of services that the government must provide. While it is open to Government to exceed those standards, it is not required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Government's jurisdiction is also limited by the requirement that it cede to the minority language community management and control over those aspects of the education system that concern the minority language and culture, where the numbers so warrant. What, exactly, goes to the linguistic and cultural aspects of minority language and culture will depend on the context: whether the matter in questions relates to the pursuit of the remedial objectives of s. 23. If the CSF is acting within that jurisdiction, s. 23 requires that the Province not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Province does, however, continue to have a legitimate interest in crafting an appropriate, constitutionally-compliant framework within which the minority must exercise both its statutory and constitutional duties. The minority is not entitled to any particular education system, and must operate within constitutionally compliant structures set by Government: those structures that do not trench on its right to management and control or fail to provide the minority with the educational facilities to which it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Given the overlapping jurisdiction of the Province and minority boards, either or both can cause a breach of s. 23. It is essential to know what caused the rights breach to determine whether that measure is justified pursuant to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Further, if the Province has either solely or materially contributed to a breach by failing to meet its positive duty or interfering with the minority's exercise of its rights, then the remedy must hold the Province accountable. If the minority board caused the breach through an exercise of its management and control, or its failure to abide by a legitimate educational framework, then the remedy must require the minority board to remedy the situation by exercising its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VII. THE NUMBER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The positive duty on the Province turns on the number of rightsholders' children in a given community. Thus, the question how many students are likely to attend a minority language school is a crucial one. Its determination is essential to the s. 23 analysis as well as the Province's capital planning system for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In this chapter, I resolve issues of fact and law to arrive at a common methodology for calculating the number of children likely to attend CSF programmes. By way of introduction, I address the relevance of enrolment projections to the s. 23 analysis and the Province's capital planning system for education. Then, I consider how the number of students ought to be calculated. This involves a consideration of how the total universe of children of s. 23 rightsholders should be quantified, including whether that universe should include any children of non-rightsholders or persons who would be rightsholders if they were Canadian citizens. From there, I resolve common issues concerning the number of children of rightsholders that can be expected to take advantage of the programme, with reference to the impact new school facilities are likely to have on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A tangential issue concerns the plaintiffs' claim that the Province has failed to appropriately assist the CSF to calculate potential enrolment. Since that question is a separate ground for the plaintiffs' claim and is not relevant to the framework I apply to calculate the number of children in these reasons, I address it in Chapter XL, Administrative Requirements of the Capital Funding System, where I consider a number of the CSF's arguments that certain administrative requirements of the Province's capital funding system do not respond to its needs.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Enrolment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Enrolment projections are at the heart of this decision. They are crucial in two respects. Quantifying the number of children likely to attend a programme is essential to the "numbers warrant" criterion in the s. 23 analysis. It is also fundamental to the Province's capital planning system, particularly the question whether a new school is necessary, and for how many students it should be built.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Enrolment Projections and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Section 23(3)(a) guarantees minority language instruction where "the number of children of [rightsholders] ... is sufficient to warrant the provision [of it] to them out of public funds". Thus, the starting point in the analysis is the number of children of rightsholders that can be expected to attend the programme.</w:t>
      </w:r>
      <w:r>
        <w:rPr>
          <w:rFonts w:ascii="arial" w:eastAsia="arial" w:hAnsi="arial" w:cs="arial"/>
          <w:sz w:val="20"/>
          <w:lang w:val="en-US" w:eastAsia="en-US" w:bidi="ar-SA"/>
        </w:rPr>
        <w:cr/>
      </w:r>
    </w:p>
    <w:p>
      <w:pPr>
        <w:numPr>
          <w:numId w:val="6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Categories of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There are three categories of rightsholders entitled to have their children attend minority language schools. Pursuant to s. 23(1)(a)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rightsholders include citizens of Canada whose first language learned and still understood is French. Occasionally in this decision I will refer to such individuals as "Mother-Tongue Rightsholders". This group includes any citizens that grew up speaking French that still understand the language, no matter where they grew up, and no matter whether French was the only or one of many languages spoken in the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Section 23(1)(b) includes among rightsholders citizens of Canada who received their primary school instruction in Canada in French. From time to time, this decision will refer to this group as "Education Rightsholders". This group includes parents who attended British Columbia's minority language programme that preceded the CSF, the Programme Cadre, as well as parents who attended primary school in French anywhere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xml:space="preserve">  The third category of rightsholders are those who became rightsholders pursuant to s. 23(2)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by virtue of having a child receive his or her primary or secondary school instruction in French, whether in the past or at present. This group includes parents of children that received French-language education anywhere in Canada, so long as the programme was not a French immersion programme. I will occasionally refer to this group of rightsholders as "Sibling Rightsholders".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The Number of Children of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The parties generally agree on the test for calculating the number of children for the purpose of s. 23: The question is what number of children can reasonably be expected to take advantage of minority language education services. However, they propose calculating it in different ways. The plaintiffs emphasize the total universe of rightsholders' children in an area. The defendants suggest that the total number of children of rightsholders need not be calculated with any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In the plaintiffs' submission, the starting point for the numbers warrant analysis is the number of children of s. 23 rightsholders that live in an area. From there, the Court must estimate the number of children who will eventually take advantage of the contemplated service, which will fall somewhere between the known demand for the service and the total number of persons who potentially could take advantage of it: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 plaintiffs suggest that, to ensure that the remedial objects of s. 23 are achieved, new facilities must be built with sufficient capacity to accommodate both the current student population and potential enrolment growth. They say that courts must look beyond current demand to recognize that providing minority language education services will cause increased demand. Thus, the plaintiffs say the Court should adopt a "prospective approach" to the question of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plaintiffs urge some leniency when evaluating the evidence they can provide to quantify the number of children in an area. They suggest that they are required only to provide the information reasonably available to them to avoid imposing too heavy a burden and defeating the rights in s. 23. The plaintiffs say that census evidence is the most readily available information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xml:space="preserve">  The defendants agree that, as stated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relevant figure for the purpose of the s. 23 analysis is the number of persons who will eventually take advantage of the contemplated programme or facility, which will fall somewhere between the known demand and the total number of persons who could potentially take advantage of the service. In the defendants' submission, though, it is not essential to know the outer brackets of that range, or to know the range with precision. What is essential, in their submission, is that the Court discern the number of children likely to attend the proposed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The defendants seem to agree with the prospective approach urged by the plaintiffs, but only to a limited extent. They urge the Court to follow the reasoning in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where the Court held at para. 99 that the test involves both determining a range, and within that range, the relevant number of students who will take advantage of the opportunity "within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The defendants also suggest that the location of the children of rightsholders is important. They point to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386, where the Court commented that redrawing school boundaries will have cost implications. They say that this raises a question of whether the CSF ought to be entitled to deference in how they draw their catchment areas and the resulting number of children that they anticipate attending minority language programmes.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The question of what numbers are spoken of in connection with the "numbers warrant" criterion was addressed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384. There, Dickson C.J.C. explained that there was some force to the contention that schools should not be built to accommodate only the existing demand, as well as the idea that they should not be built to encompass every student that could potentially attend the school. Mediating between those two concerns, he concluded that "the relevant figure for s. 23 purposes is the number of persons who will eventually take advantage of the contemplated programme or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Chief Justice Dickson conceded that it would not normally be possible to know that figure exactly. So, he suggested that Courts ought to be able to roughly estimate it by considering the parameters within which it will fall: the known demand for the service and the total number of persons potentially able to take advantage of it (at 384). He observed that when making the assessment, "a number of complex and subtle factors must be taken into account beyond simply counting the number of students." He pointed to several factors, like the difference between rural and urban settings, and school catchment area boundaries as factors that might prove relevant to the analysis (at 386).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xml:space="preserve">  The issue of determining the numbers arose again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There, the Court stated that "[t]he relevant number is the number who will potentially take advantage of the service, which can be roughly estimated as being somewhere between the known demand and the total number of persons who could potentially take advantage of the service"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The Court went on to hold that the appeal division erred by focusing only on existing demand. The Court approved of the trial judge's approach. The trial judge began with demographic projections concerning the total number of children that could potentially take advantage of the service, looking as far as 10 years into the future. The trial judge also took into account the actual demand as reflected by the school's enrolment at the time. The trial judge considered the experience at a minority language school in Charlottetown, where enrolment surpassed projected numbers once the facility was in place. He also compared the populations in each location, and inferred that the same result could be expected. The Court suggested that was a reasonable approach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Since the test focuses on the actual number of children likely to attend the programme, the outer boundaries of the range need not be stated precisely. They may be estimated based on the best evidence the parties can marshal. To require otherwise would place an undue burden 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xml:space="preserve">  The number of children likely to attend the programme likewise may be difficult to state with precision. The task of the trial judge is to do as the trial judge did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to look at evidence of the broader context and attempt to draw inferences about what number within that range could be expected to attend the programme. As Dickson C.J.C. suggested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 court will need to take into account subtle and complex factors, like catchment area boundaries and the difference between rural and urban settings. As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this might include drawing inferences based on the experiences in nearby communities. The context might also include demographic and community factors, like the strength and concentration of the Francophone community, the location of students in relation to the school, and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There is no doubt that the approach to the question of numbers must be, to some extent, prospective. The Court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recognized that the concern is with the number of students that will "eventually take advantage" of a programme once that programme is in place (at 384). This suggests a view to the future. However, the Court did not go further and say how far into the future one should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There is little guidance in the case law concerning how far into the future one should look.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the trial Court looked 10 years into the future because the demographic projections extended that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the Court held that the number should be that which will take advantage of the opportunity "within a reasonable period of time". The Court went on to note that "[s]ection 23 rights should be determined having regard to the foreseeable future, not with respect to some indefinite point in time so far into the future as to preclude reasonable estimates"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In my view, the relevant number for the purpose of s. 23 should include an allowance for reasonably foreseeable future growth, as established by expert evidence and evidence of the broader context. Whether the number should also include a view to prospective growth farther into the future depends entirely on the evidence that the parties can marshal. The evidence from experts and lay witnesses in this case suggested that enrolment projections tend to be reasonably accurate in the short term, and less accurate in the long term. As the parties look farther into the future, they are less able to prove on a balance of probabilities what the numbers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As a result, in most cases, the numbers will be those that are reasonably foreseeable based on demographic population projections and the broader context. However, if there is some evidence to prove that the number is likely to increase far into the future, then it may lead a court to conclude that a school should be built with a view to future growth. On the other hand, if the projections are purely speculative and far into the future, then there is no evidence to suggest that the future numbers will warrant any particular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Given the prospective nature of the numbers warrant question, in my view there is also a temporal aspect to the question. The evidence may show that the number of children will grow gradually. When a programme first begins, it may only have a few children enrolled. Ten years into the future, it may have dozens more. The numbers will warrant different levels of instruction and different facilities depending on the programme's stage of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Likewise, very little has been said about the geographic boundaries within which the numbers must reside.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Court stated at 386 that since s. 23 speaks "wherever in the province" the numbers warrant facilities, "the calculation of the relevant numbers is not restricted to existing school boundaries (although the redrawing of school boundaries will often involve a certain cost which must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the Court observed that "the determination of the appropriate area ... is something that has to be decided in each case with due consideration to the numbers involved as well as all of the important factors specific to the case" (at para. 57). I also note that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the context was such that the minority board was owed some deference with respect to its decisions concerning catchment area boundaries, as that issue related to the language and culture of the minority and was within the minority's exclusive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There is no question that when assessing numbers, the geographic distribution of the programme's target population must be taken into account. The extent to which it is relevant will once again depend on the context. In many instances, a minority language community might be concentrated within a clear geographic area. In those instances, the geographic boundaries for the purposes of the numbers will be straightforward. However, in other instances, a catchment area may be drawn so large that it encompasses some children who could not reasonably be expected to take advantage of a programme or service. In such an instance, the Court must take that into account when determining what number of students within the range would reasonably be expected to take advantage of a programme.</w:t>
      </w:r>
      <w:r>
        <w:rPr>
          <w:rFonts w:ascii="arial" w:eastAsia="arial" w:hAnsi="arial" w:cs="arial"/>
          <w:sz w:val="20"/>
          <w:lang w:val="en-US" w:eastAsia="en-US" w:bidi="ar-SA"/>
        </w:rPr>
        <w:cr/>
      </w:r>
    </w:p>
    <w:p>
      <w:pPr>
        <w:numPr>
          <w:numId w:val="6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To summarize, there are three categories of rightsholders that are entitled to have their children attend minority language schools: those who are rightsholders because of their mother tongue, their education or their children's education. The relevant number for s. 23 is the number of children of rightsholders who could reasonably be expected to take advantage of a service, which will fall somewhere between the known demand and the total number of rightsholders in an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total population of students eligible for the service can be difficult to estimate. Since the Court is concerned with arriving at a rough estimate of the number of children likely to attend a programme, the outer boundaries of the range need not be precise; they may be estimated based on the best available evidence. The number likely to take advantage of the service should also be estimated based on all the contextual evidence, which may include drawing inferences based on the experiences in other nearby communities, demographic and community-specific information like the density and distribution of the population in the school's catchment area. A court should also ensure that schools are built for whatever growth is reasonably foreseeable based on the evidence, with the knowledge that the numbers may warrant different facilities and programmes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Given the nature of the test for calculating the numbers, the question is one of enrolment projections. The court requires some evidence that allows it to estimate or forecast future enrolment based on the present situation, the total population of rightsholders (as best it can be estimated) and broad contextual factors. The court's task is to anticipate what proportion of the total number of potential children are likely to enrol in the programme: a participation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 Enrolment Projections and Capital Project Planning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Enrolment projections are also essential to the Province's capital planning process. As I explain in Chapter III, Introduction to the Capital Planning Process, the Province decides which capital projects to fund based on relative need across all 60 school districts. School boards use enrolment forecasts to justify the need for a project to the Ministry. The Ministry then uses the Space Rank Formula to assess the extent to which enrolment in an area exceeds capacity, and the need for an Expansion Project or Building Condition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One of the defendants' experts, Mr. William Wood, described the role that enrolment projections play in the Province's Capital Planning Cycles. Mr. Wood is a professional facilities planning consultant. He holds a Bachelor of Architecture from the University of British Columbia ("UBC"), as well as a Bachelor of Arts from the University of Edmonton, where he completed a pre-architecture programme. Since 1988, he has been immersed in planning for the British Columbia's Kindergarten to Grade 12 ("K-12") education system. He was qualified as an expert in facilities planning in the K-12 school system in British Columbia, including regarding: (1) needs assessment, (2) strategic planning, (3) facilities programming and (4) project evaluation, as well as the comparative merits and drawbacks of various grade configurations in K-12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The defendants asked Mr. Wood to opine on five topics: the capital planning process for BC school districts; the main challenges facing BC school districts in general and the CSF in particular in the planning of school facilities; the CSF's submissions for capital funding since 2000; the plaintiffs' claims for additional projects and the rationale for them as presented in the reports of Dr. Landry, Dr. Martel and Mr. Don McRae; and the relative merits and drawbacks of grade configurations.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Mr. Wood opined on the importance of enrolment forecasting for all districts generally, and the CSF in particular. He explained that a number of factors can influence future enrolments at individual schools. They include: anticipated future residential development, the number of school-age children that will live in any new housing, birth rates, the demographic profile of adults in an area (particularly the number of women of childbearing age), net migration of school-age children, the graduation rate (for secondary schools), and the participation rate for the school district and the school when compared with other options available to parents for educating their children (home schooling, independent schools and other public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While Mr. Wood was of the view that all school boards will be interested in each of these factors, for the CSF, "the central question of participation rate completely dominates all other factors when estimating future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Mr. Wood suggested that participation rate can be conceptualized as "market share". To calculate the market share, one begins by determining the size of the market. For the CSF, that begins with an estimate of the number of rightsholders' children in a catchment area. As with the s. 23 analysis of the number of children, once the total potential market is estimated, CSF planners must make educated guesses concerning how various factors will influence parents to decide to send their children to CSF schools. Mr. Wood opined that the challenge for the CSF is to quantify how a new school, in particular, will influence enrolment.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Calculating the Participation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jurisprudence on s. 23 and Mr. Wood's evidence on capital planning mirror one another. In both analyses, two numbers must be calculated: the total universe of eligible children in the area and the number of persons that can reasonably be expected to avail themselves of a particular education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The plaintiffs engaged Dr. Landry to calculate the total universe of eligible students based on census data. They also provided expert evidence from Mr. McRae to show how those numbers could be expected to grow or change through 2023. Because the census does not calculate the total number of children of rightsholders, the plaintiffs also led supplemental evidence to attempt to show that the total universe of rightsholders is larger than appears based on the census.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The plaintiffs did not lead substantial evidence on the uptake rate. They tendered the evidence of Dr. Martel to attempt to show that enrolment is likely to increase if new schools are built. The defendants point the Court to a number of factors that they say are relevant to the calculation of the uptake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I begin by explaining in general terms the work done by Dr. Landry and Mr. McRae. Then, I address the evidence and argument concerning how courts should go about estimating the entire universe of s. 23 rightsholders. In the process, I resolve issues about whether that universe should include any allowance for children of non-rightsholders. From there, I move to the uptake rate: both generally and in connection with the impact of newly constructed school facilities.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The Universe of Eligible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The plaintiffs submit that, of the three categories of persons with the right to enrol their children in a minority language school outside Québec, only one is counted by the census: Mother-Tongue Rightsholders. The census does not count Education Rightsholders or Sibling Rightsholders. This is borne out by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The plaintiffs present evidence and argument to suggest that there are many rightsholders that are not counted by the census. The defendants disagree with the plaintiffs' method for calculating the total universe of children. In their submission, the Court does not need to arrive at the theoretical maximum total universe of students to determine the actual number of students that could be expected to participate in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Below, I set out in general terms the work performed by Dr. Landry and Mr. McRae. Then, I move into the evidence and argument concerning the universe of s. 23(1)(a), s. 23(1)(b) and s. 23(2) rightsholders.</w:t>
      </w:r>
      <w:r>
        <w:rPr>
          <w:rFonts w:ascii="arial" w:eastAsia="arial" w:hAnsi="arial" w:cs="arial"/>
          <w:sz w:val="20"/>
          <w:lang w:val="en-US" w:eastAsia="en-US" w:bidi="ar-SA"/>
        </w:rPr>
        <w:cr/>
      </w:r>
    </w:p>
    <w:p>
      <w:pPr>
        <w:numPr>
          <w:numId w:val="6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Landry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Dr. Landry performed extensive analysis of 2011 census data concerning the potential number of children of rightsholders in 27 current and potential school catchment areas. He presents these data in tables appended at Exhibit E to his expert report (the "Catchment Area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For each catchment area, Dr. Landry prepared two Catchment Area Tables. Dr. Landry used identical table formats for every catchment area. Since he relied on data from the 2011 census, which polled 100% of the population, the tables are very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Each table contains 5 lines or "categories" of potential eligibility. The first category (line 1) of both tables calculates the number of children who live with a "Francophone" parent: those who responded on the census that any one of their first languages learned and still understood is French. This includes separated Francophone parents who have custody of their children. That category corresponds with children of s. 23(1)(a)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The second category (line 2) in both tables identifies the number of children who live with a non-Francophone single parent who are nevertheless eligible because their non-custodial parent is a Francophone. This category completes the picture of children of Mother-Tongue Rightsholders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xml:space="preserve">  The third and fourth categories (lines 3 and 4) of both Catchment Area Tables would include the children of a parent who either received their primary school instruction in Canada in French, or a parent that has a child who has received primary education in French. Such children would be eligible to attend a Conseil school pursuant to ss. 23(1)(b) and 23(2)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respectively. In the lines of his tables corresponding to those categories, Dr. Landry notes that he cannot estimate the number of children because the census does not collect that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The two Catchment Area Tables differ only in respect of the fifth row of the tables. Line 5 of the first table calculates the number of children of non-Francophones who nevertheless have knowledge of English and French or just French. Line 5 of the second table calculates the number of children of non-Francophones who speak French only or French and another language at least regularly at home. Dr. Landry agreed that he calculated the number of children in these categories to attempt to "fill the gap" left by a lack of data concerning children born to Education and Sibling Rightsholders.</w:t>
      </w:r>
      <w:r>
        <w:rPr>
          <w:rFonts w:ascii="arial" w:eastAsia="arial" w:hAnsi="arial" w:cs="arial"/>
          <w:sz w:val="20"/>
          <w:lang w:val="en-US" w:eastAsia="en-US" w:bidi="ar-SA"/>
        </w:rPr>
        <w:cr/>
      </w:r>
    </w:p>
    <w:p>
      <w:pPr>
        <w:numPr>
          <w:numId w:val="6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McRae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Mr. Don McRae has a Bachelor of Science in statistics and a master's degree in public administration, both from the University of Victoria. Now retired, Mr. McRae was Provincial Statistician and Executive Director of BC Stats, British Columbia's central statistical agency, from 1996 to 2011. He has more than 30 years' experience in applied statistical research and analysis, including 15 years managing and directing BC Stats' population estimation and projection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Mr. McRae was asked to address the following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are the regional population projections published by BC Stats used by British Columbia government departments and agencies for planning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the regional population projections published by BC Stats be used in conjunction with census data regarding the number of children who may attend a school of the Conseil, and who will reside in specific geographical areas, in order to project what those numbers will be in future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so, please project from 2011 Census data, for the geographic areas specified, the number of children who may attend a school of the Conseil in 2013 and in 2023.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Mr. McRae explained that BC Stats makes population estimates using the component/cohort-survival population model. This involves promoting each age group to the next highest age group, and separately projecting and taking into account anticipated fertility, mortality and migration in each age group. Government agencies use these population projections for facility planning and resource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Mr. McRae opined that regional population projections published by BC Stats can be used in conjunction with 2011 Census data to project what those numbers could be in future years. Using Dr. Landry's Catchment Area Tables and the component/cohort-survival population model, he projected forward Dr. Landry's counts of children to 2013 and 2023. Mr. McRae provided those projections in an exhibit to his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Mr. McRae acknowledged the limitations of his opinion. He explained that, as with all projections, the size and characteristics of future populations cannot be predicted with certainty. He also noted that the accuracy of the population projections depends on the accuracy of the 2011 census population counts, as well as the reporting of those counts by Dr. Landry. Mr. McRae also assumed that the growth or decline in the number of school-aged children for CSF catchment areas is representative of that of children with linguistic characteristics of the target group population. He acknowledged that changes to the availability and quality of French-language education at the school level could affect the relative attraction or exodus of French speaking families to a region. However, in light of the absence of information indicating either an increase or decrease in French language education services and infrastructure, he considered his approach to be prudent.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 c) The Universe of s. 23(1)(a) Rightsholders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Dr. Landry's Counts of Children of Francophones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The first category of children counted by Dr. Landry includes every child born to and living with a "Francophone" parent. Dr. Landry identified as "Francophone" all those persons who responded that French was one of their first languages learned in childhood and still understood in response to the Mother Tongue question. On the 2011 census, this was Question 9, and was 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the language that this person first learned at home in childhood and still understands?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English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French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Other - Specify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On cross-examination, Dr. Landry was pressed with respect to the persons he classified as Francophone. He agreed that his definition of Francophone includes all those persons who have as their first language either (a) French only, (b) French and English, (c) French and another language, or (d) French, English and another language. Dr. Landry's data therefore includes persons who reported both French and English or French and some other language in response to the Mother Tongue question on the census. While Dr. Castonguay was critical of that approach when calculating the assimilation rate, it seems wholly appropriate to include persons with a double mother tongue in the universe of British Columbia's s. 23(1)(a) rightsholders. Persons with French as one of their mother tongues are s. 23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In the second line of his Catchment Area Tables, Dr. Landry estimated the number of children of Francophones whose parents are separated, and who do not live with their Francophone parent. Dr. Landry extrapolated the number of such children by making two assumptions: First, he assumed that the rate of divorce of Exogamous and Endogamous couples is the same. Second, he assumed that custody rates are not related to language, so the rate of custody between Francophone and non-Francophone parents would be 50%. On cross-examination, he maintained that his assumptions were reasonable and standard practice, and I accept that is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The plaintiffs' view is that the census data underreports the number of children of s. 23(1)(a) rightsholders in BC. They suggest many Franco-Columbians have multiple mother tongues, but only report English in response to the Mother Tongue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Several parents who testified at trial reported having two mother tongues. Those witnesses and affiants include Ms. Celina Roy, Ms. Susan Haworth, Ms. Jennifer Eberts, Mr. Mike Richman, Ms. Shelley Quinn and Mr. Bruce Thibeault.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The evidence suggests that Mr. Richman, Ms. Quinn and Ms. Eberts all reported English as their sole mother tongue. There is also some evidence to show that Anglophone spouses of Francophones may see English is their spouse's sole mother tongue, as was done by Ms. Yuko Thibeault (the spouse of Mr. Thibeault) and Mr. Damien Joly (the spouse of Ms. 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The evidence confirms that Mr. Joly, whose children attended a minority language school, responded to the census as though his children had some knowledge of French. There is no evidence concerning how the other parents responded to the 2011 census on behalf of their children. The plaintiffs argue that since their children attended a CSF school, they most likely responded that their children had at least some knowledge of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Finally, the affidavits provided by the plaintiffs note two instances of Francophone families that were not included in the census because they were out of the country at the time: the family of Ms. Francy Baron and the family of Ms. Nancy Brotherton. The plaintiffs acknowledge that the undercounting of persons out of the country during the census is not particular to Francophones.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The plaintiffs submit that census data concerning persons whose first language learned and still understood is French is underinclusive. Thus, they say that Dr. Landry underreports the real number of those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The plaintiffs urge the Court to conclude that the Mother Tongue question on the census discourages double responses, as it refers to "the language" learned and still understood, in the singular. They note than on the 2011 census and the 2006 long-form census, the question regarding knowledge of French explicitly provided for a double answer of "both English and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The plaintiffs say that since English is dominant and Exogamy is common in British Columbia, persons are more likely to report English as their first language than French. In that connection, they rely on the evidence from parents of children attending CSF schools. The plaintiffs also point to Dr. Landry's opinion that persons who speak the minority language in BC are likely to experience linguistic insecurity. When linguistic insecurity couples with the phenomenon of deep assimilation, the plaintiffs suggest that many persons in BC might lack confidence in their ability to speak French and report English as their sole mother tongue.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In my view, there is some evidence to suggest that the census data compiled by Dr. Landry underreports the total universe of s. 23(1)(a) rightsholders' children. Given the high rate of Exogamy in British Columbia, the dominance of English and the wording used in the Mother Tongue question on the census, some Mother-Tongue rightsholders likely report English as their sole mother tongue. It is impossible to quantify the extent of this underreporting.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The underreporting has the effect of artificially reducing the overall universe of s. 23 rightsholders' children. The court must bear in mind and take account of the fact that the total universe is under inclusive when attempting to arrive at the total number of children likely to attend a programme. However, since the court's task is to project the total number of students that will actually attend a CSF school, it is unnecessary to precisely quantify the full extent of the underreporting. It would place an undue burden on the plaintiffs to require that type of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rPr>
                <w:rFonts w:ascii="arial" w:eastAsia="arial" w:hAnsi="arial" w:cs="arial"/>
                <w:sz w:val="20"/>
                <w:lang w:val="en-US" w:eastAsia="en-US" w:bidi="ar-SA"/>
              </w:rPr>
            </w:pP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 The Universe of s. 23(1)(b) and (2)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Rightsholders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The universe of children of s. 23(1)(b) and (2) rightsholders is more challenging to estimate. Since the census does not count children born to those parents, as a proxy, Dr. Landry counted all children not born to a Francophone parent that had some knowledge of French or that spoke French at least regularly at home. In Dr. Landry's view, those groups likely include some children born to s. 23(1)(b) and (2)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The plaintiffs also led some lay witness evidence to support their argument that there are a number of section 23(2) and 23(1)(b) rightsholders in British Columbia. They urge the Court to conclude that number is significant and ever-increasing due to immigration from Quebec and the effects of CSF schools.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 Dr. Landry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The fifth line of Dr. Landry's Catchment Area Tables count children of non-Francophones with knowledge of French or who speak French at least regularly at home. Since these children are born to non-Francophones, their parents' mother tongues are either: (a) English only, (b) English and a non-official language, or (c) a non-official language. Their parents are not Mother-Tongue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 plaintiffs asked Dr. Landry a series of questions relating to whether children of non-Francophone parents who either had knowledge of French (Category 5, Catchment Area Table 1) or spoke French regularly at home (Category 5, Catchment Area Table 2) might be eligible to attend a CSF school. He opined that a number of them might be, particularly because some of them might have a non-Francophones parent who nevertheless had French as their first official language spoken, or FOLS. However, Dr. Landry agreed while under cross-examination that it cannot be said how many of them are children of a s. 23 rightsholder, particularly in communities where he found only a small number of children with knowledge of French or who spoke French regularly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With connection to children with non-Francophone parents that have some knowledge of French (the "Knowledge Category"), Dr. Landry opined that "[i]t is possible and most likely probable" that some of the children in the Knowledge Category might have at least one parent who is an Education Rightsholder. He also suggested that if parents are Education Rightsholders, they might also have children that are educated in French, and be Sibling Rightsholders. He could not say how many of those children have Education or Sibling Rightsholder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Dr. Landry confirmed while under cross-examination that most children in the Knowledge Category in BC are French immersion students, not children of rightsholders. He conceded he does not believe that the Knowledge Category is a reliable proxy for children of Education and Sibling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Dr. Landry's view is that Regular Home Use is a better indicator of community affiliation than knowledge of the language. In his second Catchment Area Table, he calculated the number of children living in the catchment areas that spoke French "at least regularly" at home despite being born to non-Francophone parents. Of course, he also agreed that the majority of children who are bilingual know French because of their schooling rather than because their parents identify with the French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Dr. Landry was asked to consider whether the children in the Regular Home Use category might have parents that are Education or Sibling Rightsholders. He opined that children in that category likely have a parent whose FOLS is French. In Dr. Landry's view, such parents, if they were schooled in Canada, probably attended a French-language school if it was available to them, making them Education Rightsholders. He stated there was a definite possibility those children have a Sibling Rightsholder parent if French is their parent's FOLS. Dr. Landry stated that he could not quantify the number of children in the Regular Home Use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Dr. Landry's analysis relies on the concept of "First Official Language Spoken" by a resident. The census does not explicitly collect information on FOLS. It is derived from census responses to three other questions: Mother Tongue, Knowledge of English and Main Home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During his cross-examination of Dr. Landry, Mr. Doust illustrated, and Dr. Landry agreed, that to derive FOLS persons who know and have a mother tongue that is both French and English, or neither French nor English, are screened by whether they speak English or French regularly at home. If a person speaks either language regularly at home, that becomes their FOLS. Those who speak neither English nor French regularly at home have no FOLS. Those who speak both French and English regularly at home have a dual or double FOLS. Those persons with a dual or double FOLS fall into two categories: (a) those who have main home languages of both English and French, and (b) those who can speak both languages but speak neither of them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Since this calculation of the number of Francophones is more inclusive, it tends to contribute to the number of French speakers in British Columbia. Relying on 2006 census data, Dr. Landry observed that close to 7,000 residents of BC born outside Canada who did not have French as a Mother Tongue but nevertheless spoke French as their FOLS. Dr. Landry explained that he reached the number 7,000 by including all persons with a double FOLS, as Statistics Canada did in the post-census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xml:space="preserve">  Dr. Castonguay's view is that Dr. Landry's use of FOLS is misleading. Dr. Castonguay noted that FOLS is based on knowledge of language and ability to speak it. It does not speak to actual language </w:t>
      </w:r>
      <w:r>
        <w:rPr>
          <w:rFonts w:ascii="arial" w:eastAsia="arial" w:hAnsi="arial" w:cs="arial"/>
          <w:color w:val="000000"/>
          <w:sz w:val="20"/>
          <w:u w:val="single"/>
          <w:lang w:val="en-US" w:eastAsia="en-US" w:bidi="ar-SA"/>
        </w:rPr>
        <w:t>behaviour</w:t>
      </w:r>
      <w:r>
        <w:rPr>
          <w:rFonts w:ascii="arial" w:eastAsia="arial" w:hAnsi="arial" w:cs="arial"/>
          <w:color w:val="000000"/>
          <w:sz w:val="20"/>
          <w:lang w:val="en-US" w:eastAsia="en-US" w:bidi="ar-SA"/>
        </w:rPr>
        <w:t>. Thus, in his view the FOLS data likely includes a number of persons who are able to speak French but do not use it to any significant degree, such as those who know French or English but speak a different language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The proportion of non-Francophone British Columbians with French as their only FOLS is relatively small. Mr. Doust put to Dr. Landry, and Dr. Landry agreed, that in BC, 86% of non-Francophones have an FOLS of English, and 0.001% have an FOLS of French. Mr. Doust went further, and illustrated that the number of non-Francophone persons with FOLS French aged 20-44 (and would be most likely to have school-age children) was very small. He found, and Dr. Landry agreed, there were only 560 of those people in BC. Dr. Landry agreed that if each of those persons formed an Exogamous couple and had 2 children, that would only amount to just over 1,000 children of non-Francophone parents with a French FOLS.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Mr. Doust also sought custom tabulations from Statistics Canada that show that of the persons who had a double FOLS (both French and English), the vast majority (almost 95%) persisted in speaking their non-official mother tongue as their main home language, and spoke neither official language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Dr. Landry agreed with Mr. Doust's calculations, but took issue with whether they were appropriate for calculating the potential number of children eligible to attend CSF schools because they did not include all persons with a double FOLS.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 Lay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The plaintiffs tendered affidavit evidence to support their argument that a number of children of rightsholders are included in Dr. Landry's counts of children in the Knowledge and Regular Home Use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The plaintiffs led affidavit evidence from parents of CSF students who do not have French as their Mother Tongue but are nevertheless Education Rightsholders. This group includes Mr. Jason Pospisil and Ms. Andrea Blaikie, Ms. Elisabeth Brownlie, Mr. Thomas Laviolette, Ms. Margot Beatrice Murdoch, Mr. Paul Auger, Mr. Derek Kotkanen, and Ms. Ione Smith. All parents are Education Rightsholders whose first language learned and still understood was a language other than French. All of them have children that attended CSF schools. There is no evidence about how these parents responded to the census, nor is there evidence about their children's language competence or behaviours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The plaintiffs urge the Court to consider that the children of all these Education Rightsholders were likely included in the children in the Knowledge and Regular Home Use categories. They urge the Court to infer that children enrolled in a CSF school would likely know French and might also speak it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The plaintiffs also point to evidence of Sibling Rightsholders that do not have French as their mother tongue, and are not otherwise Education Rightsholders. Mr. Carl Montgomery and his spouse, Ms. Katherine Hume, have one child who attends École Élémentaire du Pacifique in Sechelt. Their youngest child was not of school age when they tendered their affidavits. Neither Ms. Hume nor Mr. Montgomery has French as a mother tongue, and neither received their primary instruction in French. Mr. Montgomery deposed that he became a rightsholder when his child from a previous relationship received primary instruction in French. There is no evidence about how Mr. Montgomery or Ms. Hume responded to census questions concerning their children's language competence or behaviour, although Ms. Hume deposed that she speaks both English and French at home with her children, and that her oldest child has both English and French as his mother tongues.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The plaintiffs' position is that the Court should infer that the children of Mr. Montgomery and Ms. Hume could be included in Dr. Landry's counts of children in the Knowledge and Regular Home Use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The plaintiffs also note that the Court has evidence from a number of spouses of Mother-Tongue and Education Rightsholders who have become Sibling Rightsholders because their children attend a CSF school. They suggest that if any of those couples were to separate and form new families, the Sibling Rightsholder parents might enrol children from a subsequent marriage in a CSF school.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iii. Immigration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Both Dr. Castonguay and Dr. Landry found that immigration contributes to the French-language minority in BC. The plaintiffs therefore point to interprovincial migration as a source of Education and Sibling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xml:space="preserve">  The plaintiffs' position is that a significant pool of Anglophones and Allophones receive their primary school education in French in Quebec. They reach this conclusion based on a report by the Quebec Ministry of Education, Recreation and Sport, </w:t>
      </w:r>
      <w:r>
        <w:rPr>
          <w:rFonts w:ascii="arial" w:eastAsia="arial" w:hAnsi="arial" w:cs="arial"/>
          <w:i/>
          <w:color w:val="000000"/>
          <w:sz w:val="20"/>
          <w:lang w:val="en-US" w:eastAsia="en-US" w:bidi="ar-SA"/>
        </w:rPr>
        <w:t>Indicateurs Linguistiques: Secteur de l'éducation</w:t>
      </w:r>
      <w:r>
        <w:rPr>
          <w:rFonts w:ascii="arial" w:eastAsia="arial" w:hAnsi="arial" w:cs="arial"/>
          <w:color w:val="000000"/>
          <w:sz w:val="20"/>
          <w:lang w:val="en-US" w:eastAsia="en-US" w:bidi="ar-SA"/>
        </w:rPr>
        <w:t xml:space="preserve"> (Linguistic indicators: Education Sector) (Quebec City: Government of Quebec, 2014) [Linguistic Indicators Report]. The Linguistic Indicators Report presents data on the distribution of the preschool, elementary and secondary school population in Quebec by mother tongue, language of instruction and language used at home in 2013. The </w:t>
      </w:r>
      <w:r>
        <w:rPr>
          <w:rFonts w:ascii="arial" w:eastAsia="arial" w:hAnsi="arial" w:cs="arial"/>
          <w:i/>
          <w:color w:val="000000"/>
          <w:sz w:val="20"/>
          <w:lang w:val="en-US" w:eastAsia="en-US" w:bidi="ar-SA"/>
        </w:rPr>
        <w:t>Linguistic Indicators Report</w:t>
      </w:r>
      <w:r>
        <w:rPr>
          <w:rFonts w:ascii="arial" w:eastAsia="arial" w:hAnsi="arial" w:cs="arial"/>
          <w:color w:val="000000"/>
          <w:sz w:val="20"/>
          <w:lang w:val="en-US" w:eastAsia="en-US" w:bidi="ar-SA"/>
        </w:rPr>
        <w:t xml:space="preserve"> was accompanied by a certification that the copy of the report came from the Quebec Ministry of Education, Recreation and Sport and is a true copy of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Linguistic Indicators Report</w:t>
      </w:r>
      <w:r>
        <w:rPr>
          <w:rFonts w:ascii="arial" w:eastAsia="arial" w:hAnsi="arial" w:cs="arial"/>
          <w:color w:val="000000"/>
          <w:sz w:val="20"/>
          <w:lang w:val="en-US" w:eastAsia="en-US" w:bidi="ar-SA"/>
        </w:rPr>
        <w:t xml:space="preserve"> provides data on the absolute number of Anglophone and Allophone students that attended school in French in Quebec from 1971 through 2013. The proportion of Anglophones receiving their education in French has grown from 9.5% of Anglophones in 1971/72 to 26.4% of Anglophone students in 2012/13. A growing proportion of Allophones, too, have received their education in French, growing from 14.6%% of Allophones in 1971/72 to 84.1% of Allophones in 2012/13. In 2012/13, there were some 22,366 Anglophones and 129,099 Allophones in the Francophone education system in Quebec. Overall, the absolute number of Anglophone and Allophone students in the Francophone system has grown since the 1970s.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The plaintiffs suggest that if any of these persons were to migrate to British Columbia, they would be Education Rightsholders. Further, if any of their parents were Anglophones or Allophones and immigrated to British Columbia and had other children, their parents would be Sibling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xml:space="preserve">  To connect the dots, the plaintiffs point to evidence purporting to show high rates of Francophones migrating from Ontario and Quebec to British Columbia: </w:t>
      </w:r>
      <w:r>
        <w:rPr>
          <w:rFonts w:ascii="arial" w:eastAsia="arial" w:hAnsi="arial" w:cs="arial"/>
          <w:i/>
          <w:color w:val="000000"/>
          <w:sz w:val="20"/>
          <w:lang w:val="en-US" w:eastAsia="en-US" w:bidi="ar-SA"/>
        </w:rPr>
        <w:t>Official-language Minorities in Canada</w:t>
      </w:r>
      <w:r>
        <w:rPr>
          <w:rFonts w:ascii="arial" w:eastAsia="arial" w:hAnsi="arial" w:cs="arial"/>
          <w:color w:val="000000"/>
          <w:sz w:val="20"/>
          <w:lang w:val="en-US" w:eastAsia="en-US" w:bidi="ar-SA"/>
        </w:rPr>
        <w:t>. Pursuant to the Document Agreement reached by the parties, all Statistics Canada reports are admissible for the truth of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According to Statistics Canada, in 2006, scarcely more than 12% of Franco-Colombians with a French mother tongue and 11% of Franco-Colombians with a French FOLS were born in British Columbia. Nearly 75% of persons born with French as their mother tongue living in British Columbia were born in another province or territory of Canada, and nearly 64% of those with a French FOLS were born in another province or territory of Canada. More than one-third of persons in British Columbia with French as a mother tongue or French FOLS were born in Quebec. About half of all Franco-Columbians were born in Quebec and Ontario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Statistics Canada also provides data on the overall net provincial migration between British Columbia and other provinces and territories. Between 1981 and 1986, net migration to British Columbia from other provinces (arrivals less departures) was 9,500 persons: 1,835 persons had French as their FOLS, and 7,635 had English as their FOLS. Net migration was higher between 1986 and 1991 (125,875 persons total; 3,360 had French FOLS and 121,850 had English FOLS) and between 1991 and 1996 (149,950 persons; 6,655 had French FOLS and 141,540 had English FOLS). Then, net migration from other provinces dipped into the negative, with British Columbia seeing a net loss of 23,615 persons between 1996 and 2001. That represented a loss of 25,355 persons with English FOLS, with a corresponding gain of 1,405 persons with French FOLS. Between 2001 and 2006, net migration moved into positive territory once more, with net migration of 22,140 persons. However, only 420 of those persons had French FOLS. The remaining 21,710 persons coming to British Columbia had English FOLS.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Those Francophones who migrate interprovincially to and from British Columbia tend to come and go predominantly from Quebec and Ontario. Half of all Francophone migrants coming to British Columbia come from Quebec. About 21% or 22% of Francophones coming to and going from British Columbia immigrate to or from Ontario. Of course, this evidence does not address the number of persons with an English FOLS or mother tongue and what provinces they tend to immigrate to or from. That evidence would have been helpful for testing the plaintiffs' proposition that there is equally significant migration of non-Francophones from Ontario and Quebec to British Columbia, which would reflect on the number of Sibling and Education Rightsholders that are not Mother-Tongue Rightsholders migrating to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iv. Former CSF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The evidence reveals that the Exogamy rate in British Columbia is very high: about 78%. Dr. Landry's evidence is that in 2006, on average, parents with French as a mother tongue were able to transfer the language to their children as a mother tongue only 26%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Students who do not have the French language transferred to them at birth, but who learn French at a CSF school, become s. 23(1)(b) (Education) Rightsholders. The plaintiffs take the position that the evidence shows that due to the growing enrolment in CSF schools, the population of s. 23 rightsholders and their children in BC will grow due to the number of Education rightsholders being created by CSF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It is difficult to quantify the number of rightsholders being created by CSF schools. Enrolment in CSF schools was, at its highest, 5,382 children across all grade levels and schools in 2014/15. The evidence does not appear to establish the total number of children that have participated in CSF schools, overall, since its inception. This number cannot be derived from graduation rates due to the significant attrition from CSF programmes at the secondary level. Further, the evidence does not establish the number of children attending CSF schools that do not have French as their Mother Tongue, and would thus become rightsholders pursuant to s. 23(1)(b).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The plaintiffs urge that s. 23(1)(b) and s. 23(2) rightsholders are crucially important to language programming. They note that Dr. Landry opined that having previously attended a Francophone school is one of the best predictors of a decision to have one's own children attend a Francophone school. Further, they suggest that having already decided to send a child to a Francophone school demonstrates an interest in French-language education that one might follow when making education choices for other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The plaintiffs point to the lay witness evidence, which they say confirms there is a significant number of Education and Sibling Rightsholders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xml:space="preserve">  The plaintiffs suggest that the Court should find as a fact that many Education and Sibling Rightsholders move to British Columbia, thus significantly increasing the number of rightsholders in BC. In their view, there are many immigrants to British Columbia from Quebec who have English or another language as their mother tongue who are nevertheless Education or Sibling Rightsholders. The plaintiffs suggest that having French as a mother tongue would not predispose a person to migrate to British Columbia. They point to the </w:t>
      </w:r>
      <w:r>
        <w:rPr>
          <w:rFonts w:ascii="arial" w:eastAsia="arial" w:hAnsi="arial" w:cs="arial"/>
          <w:i/>
          <w:color w:val="000000"/>
          <w:sz w:val="20"/>
          <w:lang w:val="en-US" w:eastAsia="en-US" w:bidi="ar-SA"/>
        </w:rPr>
        <w:t>Linguistic Indicators Report</w:t>
      </w:r>
      <w:r>
        <w:rPr>
          <w:rFonts w:ascii="arial" w:eastAsia="arial" w:hAnsi="arial" w:cs="arial"/>
          <w:color w:val="000000"/>
          <w:sz w:val="20"/>
          <w:lang w:val="en-US" w:eastAsia="en-US" w:bidi="ar-SA"/>
        </w:rPr>
        <w:t>, which they say establishes that a significant and growing proportion of Anglophones who move from Quebec to British Columbia will have been schooled in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In connection with Ontario, the plaintiffs point to the evidence of Dr. Martel and a number of affidavits in support of her evidence, which together suggest that 70 new French-language school facilities have been built in Ontario since 1982. The plaintiffs urge that students enrolled in those schools who move to British Columbia would be entitled to have their children educated in French in British Columbia. They also rely on the evidence of Ms. Bradley Robichaud, an educator from Ontario, who confirmed that many students in the Ontario Catholic Francophone district where she worked were admitted through admissions committees, making them solely Education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The plaintiffs also argue that many students enrolled in CSF schools do not have French as their mother tongue, then become rightsholders by virtue of their education at the CSF school. In the plaintiffs' view, a CSF education indoctrinates those children into the French language and culture, making it likely that they will choose to enrol their children in a French-language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The plaintiffs suggest that the Court ought to also conclude that these growing pools of rightsholders are not counted by the census despite being very likely to send their children to a minority language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In the plaintiffs' view, it is reasonable to estimate the number of children of Education and Sibling Rightsholders in British Columbia using Dr. Landry's counts of the number of children with knowledge of French or who speak French at least regularly at home. They note that Dr. Landry confirmed it was possible that many children of rightsholders are included in those groups. While Dr. Landry could not quantify the proportions, the plaintiffs suggest it was clear there were likely many rightsholders with French as a FOLS in that group. The plaintiffs therefore urge the Court to "give full weight to the presence of children" of Mother-Tongue, Education and Sibling Rightsholders included in Dr. Landry's counts of children with knowledge of French or who speak French regularly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The defendants' view is that the lay witness evidence does not go as far as the plaintiffs suggest. They note that although the plaintiffs tendered about 32 parent affidavits, there were very few families and communities represented within them: five families from Pemberton, five from Whistler, three from Sechelt; three from Kelowna; two from Nanaimo; three from Vancouver and three from Richmond. In the defendants' submission, that evidence is insufficient to allow the Court to infer a general demographic trend.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This is particularly so, the defendants say, because the plaintiffs have withheld the results of a survey that was done of parents in some areas to determine the number of s. 23(2) and s. 23(1)(b) rightsholders. As I describe in more detail in connection with the CSF's projection practices in Chapter XVI, Introduction to Part 3: The Community Claims, the plaintiffs surveyed 100% of children attending CSF schools in a few communities to determine what proportion of them attended on the basis of the Sibling and Education Rightsholder categories. Although the plaintiffs now seem to have resiled from that position, at one point they argued the Court should look to the survey and mark up the universe of s. 23(1)(a) eligible children by 20% to account for children of Sibling and Education Rightsholders. Later, the plaintiffs started to argue for a 10-20% markup. Now, they typically argue for inclusion of all children in the Regular Home Use category in the universe of eligible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The defendants note that the survey was not disclosed to or discussed by the plaintiffs' expert witnesses. It was never mentioned to the Province in the CSF's PIRs, was not tendered as evidence at trial and indeed was not disclosed as part of the discovery process for this litigation. In the defendants' submission, the plaintiffs seem to have withheld some local knowledge from the defendants. Thus, they ask the Court to draw an adverse inference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Dr. Landry's data provides no insight into the universe of s. 23(2) and s. 23(1)(b) rightsholders except to the extent they are already included among the children of Mother-Tongue Rightsholders. The parent affidavit evidence shows that there are at least a few Education Rightsholders and Sibling Rightsholders that are not also Mother-Tongue Rightsholders. However, the number of such rightsholders across the province cannot be quantified or inferred based on the affidavit evidence, which provides details about a small number of CSF families in a limited number of communities. As the defendants suggest, the evidence is insufficient to allow me to infer a general demographic trend.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As a proxy for Sibling and Education Rightsholders, Dr. Landry looked to children in the Knowledge category, but later admitted it was not a valuable proxy. Indeed, given the high incidence of French immersion and core French courses in BC, the Knowledge Category counts a much more expansive universe of children than s. 23(1)(b) and s. 23(2) rightsholders. In my view, the Knowledge Category is not helpful for extrapolating the number of children of Sibling and Education Rightsholders that are not also Mother-Tongue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Dr. Landry also used, as a proxy, children in the Regular Home Use category. He suggested some of those children might be born to Sibling or Education Rightsholders because their parents have French as their FOLS. However, in my view, the number of persons in British Columbia whose FOLS is French is very small. Further, the evidence shows that those with a double FOLS typically persist in speaking a non-official language at home. Thus, I find that although children in the Regular Home Use Category is a closer proxy than the Knowledge Category, the majority of children in the Regular Home Use Category will not be the children of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The evidence of immigration of Francophones to British Columbia is, unfortunately, flawed, and does not assist me to determine the number of Education or Sibling Rightsholders that are not also Mother-Tongue Rightsholders that migrate from Quebec and Ontario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The immigration evidence tells me a number of things about Francophones (and the small proportion who are not Francophones who have French FOLS) who migrate to British Columbia: that they represent a small proportion of overall net migration to British Columbia from other provinces; that they tend to come from Ontario and Quebec; and that the vast majority of Francophones who live in British Columbia are immigrants from other provinces. Because it includes all persons who have French as their FOLS, it is primarily relevant to the number of Mother-Tongue Rightsholders, which is already well-established by the census data. It does shows that some small number of non-Francophones who immigrate to British Columbia might be Education or Sibling Rightsholders, but the proportions are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The data do not tell me anything about Anglophones and Allophones who migrate to British Columbia that might be rightsholders pursuant to the Sibling and Education criteria. The data do not show the number of Allophones and Anglophones that come to British Columbia from Quebec, or even Ontario. That is the data that would be required to connect the dots between Anglophones and Allophones educated in French and the presence of Education and Sibling Rightsholders in British Columbia who are not captured by the census. Without evidence about Allophones and Anglophones immigrating to British Columbia from Quebec, I cannot infer that a significant proportion of those persons migrating to British Columbia from Quebec have an English FOLS but are otherwise Education or Sibling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With respect to British Columbia's "home-grown" Education Rightsholders being created by CSF schools, the evidence does not quantify how many such rightsholders are being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It is troubling that the plaintiffs chose not to disclose the results of a survey of students attending CSF schools concerning the basis on which they attend the school. In my view, the results of that survey were clearly relevant and ought to have been disclosed. The plaintiffs did not point me to any legal justification for withholding it. The plaintiffs are the first to point out that the census underreports the number of rightsholders in BC. What evidence they did produce to establish the number of Education and Sibling Rightsholders in BC is limited and only marginally helpful. Thus, in my view, the only reason why the plaintiffs would choose to withhold the results of the survey would be that it hurt their position. I therefore infer that the plaintiffs conducted a survey that tended to show the number of children of Education and Sibling Rightsholders attending CSF schools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Overall, I conclude that although there are likely some Sibling and Education Rightsholders in the province that are not also mother tongue rightsholders, that number is unquantifiable. It cannot be extrapolated from the number of children in the Knowledge or Regular Home Use categories of Dr. Landry's evidence. Furthermore, the evidence concerning the experience of parents of CSF students, immigration from Quebec and Ontario to British Columbia, and of the creation of home-grown rightsholders falls short of showing that there are a significant number of such rightsholders in the province. I also infer that the plaintiffs withheld relevant evidence concerning the number of children of Education and Sibling Rightsholders attending CSF schools that tended to show a limited number of such students in CSF schools. I therefore conclude that the number of s. 23(1)(b) and s. 23(2) rightsholders in BC that do not have French as their mother tongue is very small.</w:t>
      </w:r>
      <w:r>
        <w:rPr>
          <w:rFonts w:ascii="arial" w:eastAsia="arial" w:hAnsi="arial" w:cs="arial"/>
          <w:sz w:val="20"/>
          <w:lang w:val="en-US" w:eastAsia="en-US" w:bidi="ar-SA"/>
        </w:rPr>
        <w:cr/>
      </w:r>
    </w:p>
    <w:p>
      <w:pPr>
        <w:numPr>
          <w:numId w:val="7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Children of Immigrant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Section 23 affords minority language education rights to "citizens of Canada". All of Dr. Landry's data is based on the 2011 census, which did not ask a citizenship question. Thus, Dr. Landry's data will tend to include persons that are not strictly rightsholders because they are not citizens. However, based on his research, Dr. Landry estimated that about 93% to 97% of the persons included in his tallies are the children of Canadian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xml:space="preserve">  The plaintiffs urge that in B.C., the relevant number of rightsholders in any event includes children of immigrant parents that would be rightsholders if they were citizens ("Immigrant Rightsholders"), as they are entitled under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to enrol their children in a CSF school. Thus, the plaintiffs say that the "numbers" that "warrant" must include both the number of children whose parents have rights under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number of children of Immigrant Rightsholders who will eventually take advantage of the contemplated programme or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xml:space="preserve">  The defendants urge that the analysis should not include Immigrant Rightsholders. In the defendants' submission, the mere fact that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permits the CSF to admit children of Immigrant Rightsholders does not mean that the Province is constitutionally obligated to provide facilities for them. In their submission, the mere fact of conferring that discretion does not change the wording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obligation on government, which is more restrictive. They note that the Court in </w:t>
      </w:r>
      <w:r>
        <w:rPr>
          <w:rFonts w:ascii="arial" w:eastAsia="arial" w:hAnsi="arial" w:cs="arial"/>
          <w:i/>
          <w:color w:val="000000"/>
          <w:sz w:val="20"/>
          <w:lang w:val="en-US" w:eastAsia="en-US" w:bidi="ar-SA"/>
        </w:rPr>
        <w:t>NWT-CA</w:t>
      </w:r>
      <w:r>
        <w:rPr>
          <w:rFonts w:ascii="arial" w:eastAsia="arial" w:hAnsi="arial" w:cs="arial"/>
          <w:color w:val="000000"/>
          <w:sz w:val="20"/>
          <w:lang w:val="en-US" w:eastAsia="en-US" w:bidi="ar-SA"/>
        </w:rPr>
        <w:t xml:space="preserve"> concluded at paras. 41-45 that the trial judge erred by concluding that some persons who do not have rights under s. 23 could be included in the numbers warrant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xml:space="preserve">  Pursuant to s. 166.24(1)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the CSF is required to admit "eligible children" to its programmes. "Eligible child" is defined in s. 1 to mean "a child who has an eligible parent". Eligible parent is defined to mean an individual who has the right to have his or her children receive primary and secondary instruction in French in British Columbia pursuant to s. 23: that is, Mother-Tongue, Education and Sibling Rightsholders. Thus, the CSF has a mandatory duty to admit children of s. 23 rightsholders to its programmes.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xml:space="preserve">  The CSF also has a discretion to admit immigrant children to its programme pursuant to s. 166.24. An immigrant child is defined in s. 1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to mean a child who has an immigrant parent. Immigrant parent is defined as "an immigrant" who would be a s. 23 rightsholder "if the person were a citizen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xml:space="preserve">  The parties pointed me to a single case that considered whether the categories of rightsholders ought to include non-citizens that would otherwise be rightsholders: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There, as here, the minority language board had the discretion to admit students that did not fall strictly within the limits of ss. 23(1) and (2), including Francophone immigrants. The Court held (at para. 41) that "[t]he trial judge erred in law in concluding that some persons who do not have rights under s. 23 could be included in the 'numbers warrant' analysis." The Court concluded that since s. 23 represents a "constitutional compromise" and was drafted with precision, the words of the text had to be respected, and children of immigrants could not be included in the numbers warrant analysis (at paras. 43-44):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pointed out, s. 23 represents a constitutional compromise. It is drafted with some precision. Section 23 does not create a universal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to francization, it does not grant the courts a generic power to cure all past inadequacies in promoting minority language communities, and it does not mandate generic policies to reverse or prevent assimilation. As a compromise, the version of s. 23 eventually adopted was clearly not the only policy option that was available to the drafters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could have been drafted on a "free choice" model. </w:t>
      </w:r>
      <w:r>
        <w:rPr>
          <w:rFonts w:ascii="arial" w:eastAsia="arial" w:hAnsi="arial" w:cs="arial"/>
          <w:color w:val="000000"/>
          <w:sz w:val="20"/>
          <w:u w:val="single"/>
          <w:lang w:val="en-US" w:eastAsia="en-US" w:bidi="ar-SA"/>
        </w:rPr>
        <w:t xml:space="preserve">It could have declared that every child in Canada was entitled to select his or her language of education. At the other extreme, the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could have been drafted on a "vested rights" basis. It could have extended minority language rights only to those students who were then enrolled in a minority language school. Neither option was selected: </w:t>
      </w:r>
      <w:r>
        <w:rPr>
          <w:rFonts w:ascii="arial" w:eastAsia="arial" w:hAnsi="arial" w:cs="arial"/>
          <w:i/>
          <w:color w:val="000000"/>
          <w:sz w:val="20"/>
          <w:u w:val="single"/>
          <w:lang w:val="en-US" w:eastAsia="en-US" w:bidi="ar-SA"/>
        </w:rPr>
        <w:t>Nguyen v Quebec (Education, Recreation and Sports)</w:t>
      </w:r>
      <w:r>
        <w:rPr>
          <w:rFonts w:ascii="arial" w:eastAsia="arial" w:hAnsi="arial" w:cs="arial"/>
          <w:color w:val="000000"/>
          <w:sz w:val="20"/>
          <w:u w:val="single"/>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SCC 47</w:t>
        </w:r>
      </w:hyperlink>
      <w:r>
        <w:rPr>
          <w:rFonts w:ascii="arial" w:eastAsia="arial" w:hAnsi="arial" w:cs="arial"/>
          <w:color w:val="000000"/>
          <w:sz w:val="20"/>
          <w:u w:val="single"/>
          <w:lang w:val="en-US" w:eastAsia="en-US" w:bidi="ar-SA"/>
        </w:rPr>
        <w:t xml:space="preserve"> at para. 35, </w:t>
      </w:r>
      <w:hyperlink r:id="rId333" w:history="1">
        <w:r>
          <w:rPr>
            <w:rFonts w:ascii="arial" w:eastAsia="arial" w:hAnsi="arial" w:cs="arial"/>
            <w:i/>
            <w:color w:val="0077CC"/>
            <w:sz w:val="20"/>
            <w:u w:val="single"/>
            <w:shd w:val="clear" w:color="auto" w:fill="FFFFFF"/>
            <w:lang w:val="en-US" w:eastAsia="en-US" w:bidi="ar-SA"/>
          </w:rPr>
          <w:t>[2009] 3 SCR 208</w:t>
        </w:r>
      </w:hyperlink>
      <w:r>
        <w:rPr>
          <w:rFonts w:ascii="arial" w:eastAsia="arial" w:hAnsi="arial" w:cs="arial"/>
          <w:color w:val="000000"/>
          <w:sz w:val="20"/>
          <w:u w:val="single"/>
          <w:lang w:val="en-US" w:eastAsia="en-US" w:bidi="ar-SA"/>
        </w:rPr>
        <w:t>. Rather s. 23 was drafted somewhere between these two extremes; obviously numerous other models were conceptually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w:t>
      </w:r>
      <w:r>
        <w:rPr>
          <w:rFonts w:ascii="arial" w:eastAsia="arial" w:hAnsi="arial" w:cs="arial"/>
          <w:color w:val="000000"/>
          <w:sz w:val="20"/>
          <w:u w:val="single"/>
          <w:lang w:val="en-US" w:eastAsia="en-US" w:bidi="ar-SA"/>
        </w:rPr>
        <w:t>The trial judge accepted the argument that non-rights holders could attend the school, and be counted in the "numbers warrant" analysis</w:t>
      </w:r>
      <w:r>
        <w:rPr>
          <w:rFonts w:ascii="arial" w:eastAsia="arial" w:hAnsi="arial" w:cs="arial"/>
          <w:color w:val="000000"/>
          <w:sz w:val="20"/>
          <w:lang w:val="en-US" w:eastAsia="en-US" w:bidi="ar-SA"/>
        </w:rPr>
        <w:t xml:space="preserve">. That was an error of law, as explained in the companion decision of </w:t>
      </w:r>
      <w:r>
        <w:rPr>
          <w:rFonts w:ascii="arial" w:eastAsia="arial" w:hAnsi="arial" w:cs="arial"/>
          <w:i/>
          <w:color w:val="000000"/>
          <w:sz w:val="20"/>
          <w:lang w:val="en-US" w:eastAsia="en-US" w:bidi="ar-SA"/>
        </w:rPr>
        <w:t>Northwest Territories (Attorney General) v Commission Scolaire Francophone, Territoires du Nord-Ouest</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2015 NWTCA 1</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Commission Scolaire Francophone du Yukon no 23 v Yukon (Procureure Générale)</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2014 YKCA 4</w:t>
        </w:r>
      </w:hyperlink>
      <w:r>
        <w:rPr>
          <w:rFonts w:ascii="arial" w:eastAsia="arial" w:hAnsi="arial" w:cs="arial"/>
          <w:color w:val="000000"/>
          <w:sz w:val="20"/>
          <w:lang w:val="en-US" w:eastAsia="en-US" w:bidi="ar-SA"/>
        </w:rPr>
        <w:t xml:space="preserve"> at paras. 214-29. </w:t>
      </w:r>
      <w:r>
        <w:rPr>
          <w:rFonts w:ascii="arial" w:eastAsia="arial" w:hAnsi="arial" w:cs="arial"/>
          <w:color w:val="000000"/>
          <w:sz w:val="20"/>
          <w:u w:val="single"/>
          <w:lang w:val="en-US" w:eastAsia="en-US" w:bidi="ar-SA"/>
        </w:rPr>
        <w:t>The reference in s. 23 to "Canadian citizens" excludes the inclusion of immigrants.</w:t>
      </w:r>
      <w:r>
        <w:rPr>
          <w:rFonts w:ascii="arial" w:eastAsia="arial" w:hAnsi="arial" w:cs="arial"/>
          <w:color w:val="000000"/>
          <w:sz w:val="20"/>
          <w:lang w:val="en-US" w:eastAsia="en-US" w:bidi="ar-SA"/>
        </w:rPr>
        <w:t xml:space="preserve"> The precise "first language learned and still understood" wording of s. 23(1)(a) excludes "lost generations" with Francophone roots. Section 23 cannot be interpreted in a way that ignores its fundamental scope: </w:t>
      </w:r>
      <w:r>
        <w:rPr>
          <w:rFonts w:ascii="arial" w:eastAsia="arial" w:hAnsi="arial" w:cs="arial"/>
          <w:i/>
          <w:color w:val="000000"/>
          <w:sz w:val="20"/>
          <w:lang w:val="en-US" w:eastAsia="en-US" w:bidi="ar-SA"/>
        </w:rPr>
        <w:t>Gosselin (Tutor of) v Quebec (Attorney General)</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2005 SCC 15</w:t>
        </w:r>
      </w:hyperlink>
      <w:r>
        <w:rPr>
          <w:rFonts w:ascii="arial" w:eastAsia="arial" w:hAnsi="arial" w:cs="arial"/>
          <w:color w:val="000000"/>
          <w:sz w:val="20"/>
          <w:lang w:val="en-US" w:eastAsia="en-US" w:bidi="ar-SA"/>
        </w:rPr>
        <w:t xml:space="preserve"> at paras. 9, 29-30, </w:t>
      </w:r>
      <w:hyperlink r:id="rId336" w:history="1">
        <w:r>
          <w:rPr>
            <w:rFonts w:ascii="arial" w:eastAsia="arial" w:hAnsi="arial" w:cs="arial"/>
            <w:i/>
            <w:color w:val="0077CC"/>
            <w:sz w:val="20"/>
            <w:u w:val="single"/>
            <w:shd w:val="clear" w:color="auto" w:fill="FFFFFF"/>
            <w:lang w:val="en-US" w:eastAsia="en-US" w:bidi="ar-SA"/>
          </w:rPr>
          <w:t>[2005] 1 SCR 238</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The approach adopted in the trial reasons would ". . . read out of the Constitution the carefully crafted compromise contained in s. 23 of the </w:t>
      </w:r>
      <w:r>
        <w:rPr>
          <w:rFonts w:ascii="arial" w:eastAsia="arial" w:hAnsi="arial" w:cs="arial"/>
          <w:i/>
          <w:color w:val="000000"/>
          <w:sz w:val="20"/>
          <w:u w:val="single"/>
          <w:lang w:val="en-US" w:eastAsia="en-US" w:bidi="ar-SA"/>
        </w:rPr>
        <w:t>Canadian Charter of Rights and Freedoms.</w:t>
      </w:r>
      <w:r>
        <w:rPr>
          <w:rFonts w:ascii="arial" w:eastAsia="arial" w:hAnsi="arial" w:cs="arial"/>
          <w:color w:val="000000"/>
          <w:sz w:val="20"/>
          <w:u w:val="single"/>
          <w:lang w:val="en-US" w:eastAsia="en-US" w:bidi="ar-SA"/>
        </w:rPr>
        <w:t xml:space="preserve"> This is impermissible.": </w:t>
      </w:r>
      <w:r>
        <w:rPr>
          <w:rFonts w:ascii="arial" w:eastAsia="arial" w:hAnsi="arial" w:cs="arial"/>
          <w:i/>
          <w:color w:val="000000"/>
          <w:sz w:val="20"/>
          <w:u w:val="single"/>
          <w:lang w:val="en-US" w:eastAsia="en-US" w:bidi="ar-SA"/>
        </w:rPr>
        <w:t>Gosselin</w:t>
      </w:r>
      <w:r>
        <w:rPr>
          <w:rFonts w:ascii="arial" w:eastAsia="arial" w:hAnsi="arial" w:cs="arial"/>
          <w:color w:val="000000"/>
          <w:sz w:val="20"/>
          <w:u w:val="single"/>
          <w:lang w:val="en-US" w:eastAsia="en-US" w:bidi="ar-SA"/>
        </w:rPr>
        <w:t xml:space="preserve"> at para. 2. </w:t>
      </w:r>
      <w:r>
        <w:rPr>
          <w:rFonts w:ascii="arial" w:eastAsia="arial" w:hAnsi="arial" w:cs="arial"/>
          <w:i/>
          <w:color w:val="000000"/>
          <w:sz w:val="20"/>
          <w:u w:val="single"/>
          <w:lang w:val="en-US" w:eastAsia="en-US" w:bidi="ar-SA"/>
        </w:rPr>
        <w:t>Nguyen v Quebec</w:t>
      </w:r>
      <w:r>
        <w:rPr>
          <w:rFonts w:ascii="arial" w:eastAsia="arial" w:hAnsi="arial" w:cs="arial"/>
          <w:color w:val="000000"/>
          <w:sz w:val="20"/>
          <w:u w:val="single"/>
          <w:lang w:val="en-US" w:eastAsia="en-US" w:bidi="ar-SA"/>
        </w:rPr>
        <w:t xml:space="preserve"> at para. 29 repeated the warning against ". . . artificial educational pathways designed to circumvent the purposes of s. 23 and create new categories of rights holders at the sole discretion of the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Section 23 is aimed at preserving and promoting French and English in those areas of the country where it is the minority language. It aims to achieve those ends by offering the children of certain classes of Canadian citizens the right to have their children educated in the minority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xml:space="preserve">  Section 23 differs from other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which offer their protection to "everyone", regardless of citizenship: see for example,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guarantees "everyone" the right to be free from the deprivation of life, liberty and security of the person except when the deprivation is in accordance with the principles of fundamental justice. This makes it a comprehensive right that embraces both citizens and non-citizens alike: </w:t>
      </w:r>
      <w:r>
        <w:rPr>
          <w:rFonts w:ascii="arial" w:eastAsia="arial" w:hAnsi="arial" w:cs="arial"/>
          <w:i/>
          <w:color w:val="000000"/>
          <w:sz w:val="20"/>
          <w:lang w:val="en-US" w:eastAsia="en-US" w:bidi="ar-SA"/>
        </w:rPr>
        <w:t>United States of America v. Ferras</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(2004), 184 O.A.C. 306</w:t>
        </w:r>
      </w:hyperlink>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237 D.L.R. (4th) 645</w:t>
        </w:r>
      </w:hyperlink>
      <w:r>
        <w:rPr>
          <w:rFonts w:ascii="arial" w:eastAsia="arial" w:hAnsi="arial" w:cs="arial"/>
          <w:color w:val="000000"/>
          <w:sz w:val="20"/>
          <w:lang w:val="en-US" w:eastAsia="en-US" w:bidi="ar-SA"/>
        </w:rPr>
        <w:t xml:space="preserve"> (Ont. C.A.) at para. 8; aff'd </w:t>
      </w:r>
      <w:hyperlink r:id="rId338" w:history="1">
        <w:r>
          <w:rPr>
            <w:rFonts w:ascii="arial" w:eastAsia="arial" w:hAnsi="arial" w:cs="arial"/>
            <w:i/>
            <w:color w:val="0077CC"/>
            <w:sz w:val="20"/>
            <w:u w:val="single"/>
            <w:shd w:val="clear" w:color="auto" w:fill="FFFFFF"/>
            <w:lang w:val="en-US" w:eastAsia="en-US" w:bidi="ar-SA"/>
          </w:rPr>
          <w:t>2006 SCC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xml:space="preserve">  I agree with the Court of Appeal for the Northwest Territories that the words chosen by the drafters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ought to be given some meaning. While courts do generally take a purposive approach to interpreting all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including s. 23, this approach cannot change the precise words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concerning to whom its protection is offered. Like all interpretive principles, the purposive approach should be used to enhance our understanding of inherently malleable rights. In this case, there is no ambiguity about to whom the malleable right of minority language education is afforded. Section 23 clearly only extends minority language education rights to Canadian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Section 23(3) gives Mother-Tongue, Education and Sibling Rightsholders the right to have their children receive instruction in French where the numbers so warrant. Similarly, the right to have them receive that instruction in minority language educational facilities is given "where the number of those children so warrants", referring to children of citizen rightsholders. Citizenship is a necessary condition for a person to be a rightsholder. Thus, the children of Immigrant Rightsholders are not to be included among the children that can reasonably be expected to attend the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xml:space="preserve">  Section 166.24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gives the CSF the discretionary power to admit the children of Immigrant Rightsholders. By granting that discretion to the CSF, the Ministry does not elevate those students to the category of children of rightsholders.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is not a constitutional instrument. While, as a matter of practice, it might be advisable for the Ministry to build sufficient space for the CSF to admit the full range of students that it is both entitled and required to admit, the Constitution does not technically require the Ministry to provide services out of public funds for those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But in any event, we must be practical. As mentioned previously, since the focus of the analysis is on the number of children that are actually likely to attend a given programme, it is not essential that the outer bounds of the number of rightsholders are stated with total precision. In this case, the vast majority of children included in Dr. Landry's tallies are rightsholders: about 97% of the children of Mother-Tongue Rightsholders. Thus, the number of children of Immigrant Rightsholders included in his data is very small. It would also be unduly onerous for the CSF to be expected to parse out those students from the total populations of children identified by Dr. Landry. It is sufficient for the Court to bear in mind that the total universe of children included in the evidence likely includes some persons that are not strictly rightsholders due to the inclusion of some non-citizens.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 Conclusion: Calculating the Appropriate Universe of Rightsholders' Children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The parties differ in their views of how the Court should account for the total universe of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The plaintiffs suggest the Court should count as the entire universe of children of rightsholders all children that Dr. Landry identifies as falling in the Mother Tongue or Regular Home Use categories. They ask the court to conclude:</w:t>
      </w:r>
      <w:r>
        <w:rPr>
          <w:rFonts w:ascii="arial" w:eastAsia="arial" w:hAnsi="arial" w:cs="arial"/>
          <w:sz w:val="20"/>
          <w:lang w:val="en-US" w:eastAsia="en-US" w:bidi="ar-SA"/>
        </w:rPr>
        <w:cr/>
      </w:r>
    </w:p>
    <w:p>
      <w:pPr>
        <w:numPr>
          <w:numId w:val="7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 xml:space="preserve">the number of children of rightsholders in a geographic area for which Dr. Landry reported numbers of children includes </w:t>
      </w:r>
      <w:r>
        <w:rPr>
          <w:rFonts w:ascii="arial" w:eastAsia="arial" w:hAnsi="arial" w:cs="arial"/>
          <w:b/>
          <w:color w:val="000000"/>
          <w:sz w:val="20"/>
          <w:u w:val="single"/>
          <w:lang w:val="en-US" w:eastAsia="en-US" w:bidi="ar-SA"/>
        </w:rPr>
        <w:t>at least the number of children that is the total of lines 1, 2 and 5 of Dr. Landry's Table 2</w:t>
      </w:r>
      <w:r>
        <w:rPr>
          <w:rFonts w:ascii="arial" w:eastAsia="arial" w:hAnsi="arial" w:cs="arial"/>
          <w:color w:val="000000"/>
          <w:sz w:val="20"/>
          <w:lang w:val="en-US" w:eastAsia="en-US" w:bidi="ar-SA"/>
        </w:rPr>
        <w:t xml:space="preserve"> [children in the Mother Tongue and Regular Home Use categories.]</w:t>
      </w:r>
    </w:p>
    <w:p>
      <w:pPr>
        <w:numPr>
          <w:numId w:val="7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in fact, due to the non-transfer of French to children in British Columbia, and the difficulty of speaking French at least regularly at home in exogamous households, in the assimilatory context of British Columbia, </w:t>
      </w:r>
      <w:r>
        <w:rPr>
          <w:rFonts w:ascii="arial" w:eastAsia="arial" w:hAnsi="arial" w:cs="arial"/>
          <w:color w:val="000000"/>
          <w:sz w:val="20"/>
          <w:u w:val="single"/>
          <w:lang w:val="en-US" w:eastAsia="en-US" w:bidi="ar-SA"/>
        </w:rPr>
        <w:t xml:space="preserve">the number of children of rightsholders in a geographic area for which Dr. Landry reported numbers of children </w:t>
      </w:r>
      <w:r>
        <w:rPr>
          <w:rFonts w:ascii="arial" w:eastAsia="arial" w:hAnsi="arial" w:cs="arial"/>
          <w:b/>
          <w:color w:val="000000"/>
          <w:sz w:val="20"/>
          <w:u w:val="single"/>
          <w:lang w:val="en-US" w:eastAsia="en-US" w:bidi="ar-SA"/>
        </w:rPr>
        <w:t>must actually include a number of children that is between the total of lines 1, 2, and 5 of Dr. Landry's Table 2 and the total of lines 1, 2, and 5 of Dr. Landry's Table 1</w:t>
      </w:r>
      <w:r>
        <w:rPr>
          <w:rFonts w:ascii="arial" w:eastAsia="arial" w:hAnsi="arial" w:cs="arial"/>
          <w:color w:val="000000"/>
          <w:sz w:val="20"/>
          <w:lang w:val="en-US" w:eastAsia="en-US" w:bidi="ar-SA"/>
        </w:rPr>
        <w:t>. The Plaintiffs recognize that not all children included in line 5 of Table 1 are children of rights-holders, but it is also clear that not all children of rightsholders are included in lines 1, 2, or 5 of Table 1, since not all children of rightsholders are able to carry on a conversation in French, and that French-language schools exist, among other reasons, to remedy that unfortunate situation; and</w:t>
      </w:r>
    </w:p>
    <w:p>
      <w:pPr>
        <w:numPr>
          <w:numId w:val="7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however, necessary to use extreme caution with the numbers in line 5 for the age category "0-4 years", as discussed above, since line 5 reports linguistic ability and behaviour, which many children in that category would not have developed, due to their age, and which many more will not have yet developed due to the sociolinguistic context in which they live. For these reasons, the numbers reported in line 5 of Tables 1 and 2 should be considered to allow an approximation of the total number of children of rightsholders starting with the age categories "5-12 years" or "5-13 years" (depending on which Schedule to Dr. Landry's expert report one is examining), but excluding the category "0-4 years". For that youngest age category, line 5 should be taken to be an extreme underestimation of the number of children of rightsholders who are not counted by the Census.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underline and bold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xml:space="preserve">  In the plaintiffs' submission, since the Province made no effort to present evidence of the potential demand for minority language schools, the Court should hold that "it is not possible for minority rightsholders to obtain more accurate and complete information with regard to enrolment projections than what was made available here, nor is it reasonable to impose more on them", citing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In the defendants' view, it is not reasonable to do as the plaintiffs suggest, by expanding the total universe to its farthest end to find as many potentially eligible students as could be found. In the defendants' submission, Dr. Landry's evidence provides no basis for including children in the Regular Home Use category, as the evidence shows that the number of persons with French as their FOLS is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In the defendants' submission, the numbers need not be as "complicated" or "unwieldy" as the plaintiffs would have it. In their view, the real legal test is who is likely to attend a CSF school. They submit that the Court can arrive at that number by looking to a more limited universe.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xml:space="preserve">  The defendants propose assigning a "participation rate" to the number of children born to Francophone parents as reflected in Dr. Landry's data, projected forward by Mr. McRae. The defendants' position is that since the number of children of s. 23(2) and s. 23(1)(b) rightsholders is unknown, it is reasonable to look as a proxy to only the children of s. 23(1)(a) rightsholders counted by the census. In their submission, so long as one arrives at the same number of children likely to participate in the programme, the size of the total universe is not important. They note this is the way that Statistics Canada went about calculating the participation rate in Statistics Canada, </w:t>
      </w:r>
      <w:r>
        <w:rPr>
          <w:rFonts w:ascii="arial" w:eastAsia="arial" w:hAnsi="arial" w:cs="arial"/>
          <w:i/>
          <w:color w:val="000000"/>
          <w:sz w:val="20"/>
          <w:lang w:val="en-US" w:eastAsia="en-US" w:bidi="ar-SA"/>
        </w:rPr>
        <w:t>Minorities Speak Up: Results of the Survey on the Vitality of the Official-Language Minorities</w:t>
      </w:r>
      <w:r>
        <w:rPr>
          <w:rFonts w:ascii="arial" w:eastAsia="arial" w:hAnsi="arial" w:cs="arial"/>
          <w:color w:val="000000"/>
          <w:sz w:val="20"/>
          <w:lang w:val="en-US" w:eastAsia="en-US" w:bidi="ar-SA"/>
        </w:rPr>
        <w:t xml:space="preserve"> by J-P. Corbeil, C. Grenier and S. Lafrenière (Ottawa: StatCan, 2006)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and the way that Mr. Stewart and Mr. Palmer went about calculating enrolment projections for the CSF in 2011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As I see it, the census data tabulated by Dr. Landry provides a reasonable estimate of the total universe of s. 23(1)(a) (Mother-Tongue) rightsholders in each community included in the claim. Of course, it is not completely accurate, and likely omits some Mother-Tongue Rightsholders' children, while inappropriately including some non-citizen rightsholders'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Dr. Landry's data likewise do not provide a reasonable estimate of the number of Education and Sibling Rightsholders that are not also Mother-Tongue Rightsholders. While there are certainly some such rightsholders in the Province, there is no way of knowing how many based on Dr. Landry's data. What evidence does exist suggests that the number is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xml:space="preserve">  Since the number of Education and Sibling Rightsholders in the province cannot be quantified, it is reasonable to do as the defendants suggest and use as a proxy the total number of Mother-Tongue Rightsholders calculated by Dr. Landry. This is how Statistics Canada calculated the participation rate in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Taking this approach avoids placing an undue burden on the plaintiffs to quantify the total number of Education and Sibling Rightsholders in the province, which would be unfair and impractical.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The plaintiffs' proposal goes too far. The plaintiffs would include as children of rightsholders all those in the Regular Home Use category and a proportion of children in the Knowledge category. The evidence establishes that only a small proportion of children in the Regular Home Use category might have parents with an FOLS of French and might be rightsholders. The vast majority of those in the Knowledge Category are not children of rightsholders. If I were to accept the plaintiffs' proposal, the total universe of rightsholders' children would be severely distorted, and lack a concrete, rational connection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As I see it, it is not necessary to capture every single child of a rightsholder in the universe of rightsholders' children. It would certainly impose too high a burden on the plaintiffs to require them to account for every such child. Moreover, the total universe of rightsholders' children is only one part of the analysis. The Court must also consider current enrolment and evidence of the broader context. Among those contextual factors, I will consider that the total universe reported by Dr. Landry underreports the number of rightsholders. Bearing that in mind, I can estimate the total number of children likely to participate in a minority language education programme.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The Uptake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After estimating the total population of students, the court's task is to determine the number of eligible children that could be reasonably expected to avail themselves of a minority language education: the uptake rate. The number of students will typically fall somewhere between the known demand or enrolment and the total universe of eligible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As the defendants suggest, the uptake rate will be highly fact and region specific. The uptake rate in a small community with a large Francophone presence and no competing French immersion programme will differ from that in a large community with a low concentration of Francophones and robust French immersion and other educational options on offer by majority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However, it is possible to make some findings about some common factors that ought to be taken into account when assessing the uptake rate for each community in the claim. These include cultural factors, and factors specific to the educational programme and facilities, including the impact of new schools on enrolment.</w:t>
      </w:r>
      <w:r>
        <w:rPr>
          <w:rFonts w:ascii="arial" w:eastAsia="arial" w:hAnsi="arial" w:cs="arial"/>
          <w:sz w:val="20"/>
          <w:lang w:val="en-US" w:eastAsia="en-US" w:bidi="ar-SA"/>
        </w:rPr>
        <w:cr/>
      </w:r>
    </w:p>
    <w:p>
      <w:pPr>
        <w:numPr>
          <w:numId w:val="7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Cultural Factors and the Uptake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Dr. Landry spoke to some of the cultural factors that influence the uptake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xml:space="preserve">  Dr. Landry acknowledged that there were a number of reasons why rightsholder parents may choose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to enrol their children in a minority language school. The strongest is the strength of the parent's Francophone identity. The uptake rate will also be influenced by parents' beliefs that a majority language education is required to prepare children to succeed at university in English, or that bilingualism is better achieved through French immersion. Dr. Landry's view is that both of those premises are pervasive, even though they are false. Additionally, Dr. Landry commented that the views and preferences of the child are important, as well as the greater variety of sports, and programme offerings at majority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Dr. Landry also acknowledged a correlation between participation rate and factors associated with linguistic Vitality. For example, there is a correlation between participation rates and subjective identification as a Francophone, geographic concentration of the French minority and Exogamy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In his cross-examination of Dr. Landry, Mr. Doust attempted to show that a myriad of factors other than school facilities operate in BC to ensure that the participation rate will always be very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xml:space="preserve">  Dr. Landry agreed that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shows that identification with Francophone culture is strongly correlated with school choice. He also agreed that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shows that a strong identification with Francophone culture is correlated with a high concentration of French-speakers. He conceded the concentration factors in BC are not very strong. Indeed, </w:t>
      </w:r>
      <w:r>
        <w:rPr>
          <w:rFonts w:ascii="arial" w:eastAsia="arial" w:hAnsi="arial" w:cs="arial"/>
          <w:i/>
          <w:color w:val="000000"/>
          <w:sz w:val="20"/>
          <w:lang w:val="en-US" w:eastAsia="en-US" w:bidi="ar-SA"/>
        </w:rPr>
        <w:t>Official-language Minorities in Canada</w:t>
      </w:r>
      <w:r>
        <w:rPr>
          <w:rFonts w:ascii="arial" w:eastAsia="arial" w:hAnsi="arial" w:cs="arial"/>
          <w:color w:val="000000"/>
          <w:sz w:val="20"/>
          <w:lang w:val="en-US" w:eastAsia="en-US" w:bidi="ar-SA"/>
        </w:rPr>
        <w:t xml:space="preserve"> demonstrates that 98% of the Franco-Columbian population is weakly concentrated, and 2% are averagely concentrated. 99.9% of Franco-Columbians live in a municipality where they form less than 10% of the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Mr. Doust also put to Dr. Landry a link between Francophone community participation and geographic proximity or concentration. Dr. Landry agreed that geographic proximity is the foundation of community participation. He also agreed that people who do not live the language and culture in their private lives will not normally actively participate in the institutions managed by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xml:space="preserve">  Dr. Landry also agreed on cross-examination that parents of children in Exogamous couples might find it difficult to have their children attend a French minority school. Mr. Doust put to Dr. Landry his statement in a new book (R. Landry, R. Allard and K. Deveau, </w:t>
      </w:r>
      <w:r>
        <w:rPr>
          <w:rFonts w:ascii="arial" w:eastAsia="arial" w:hAnsi="arial" w:cs="arial"/>
          <w:i/>
          <w:color w:val="000000"/>
          <w:sz w:val="20"/>
          <w:lang w:val="en-US" w:eastAsia="en-US" w:bidi="ar-SA"/>
        </w:rPr>
        <w:t>Schooling and Cultural Autonomy</w:t>
      </w:r>
      <w:r>
        <w:rPr>
          <w:rFonts w:ascii="arial" w:eastAsia="arial" w:hAnsi="arial" w:cs="arial"/>
          <w:color w:val="000000"/>
          <w:sz w:val="20"/>
          <w:lang w:val="en-US" w:eastAsia="en-US" w:bidi="ar-SA"/>
        </w:rPr>
        <w:t xml:space="preserve"> (Ottawa: Canadian Institute for Research on Linguistic Minorities, 2013) that "many couples labelled as exogamous are exogamous in name only", as the French-speaking parent may have been socialized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Mr. Doust suggested to Dr. Landry that the tendency to transmit a language is correlated with family structure, such that Exogamy is associated with low levels of minority language transmission. Dr. Landry agreed that the same four provinces with the highest levels of Exogamy (Newfoundland, British Columbia, Saskatchewan and Alberta) are the same four provinces with the lowest participation rates in minority language schools. Dr. Landry agreed that almost 90% of Endogamous couples already send their children to Francophone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In conclusion, Mr. Doust pointed Dr. Landry to low levels of Francophone identification in British Columbia relative to other provinces, the low concentration of the Francophone community, the high rate of Exogamy, the distance between British Columbia and provinces with large Francophone population, and the similarities in participation rates in British Columbia and provinces with similar demographics (Alberta and Saskatchewan). He put it to Dr. Landry that in light of those factors, it is unrealistic to expect participation rates in British Columbia will come close to matching those in provinces without the same demographic characteristics. Dr. Landry agreed that would be so unless there is an intervention such as a government-sponsored campaign promoting the merits of minority language education and the transmission of the French language to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I conclude that the nature of the French community in British Columbia is such that in most instances, the CSF should not expect significant enrolment increases over and above the current anticipated demand, even with the construction of new, homogeneous school facilities. Dr. Landry's evidence is that a lack of connection to the French language makes a parent less likely to enrol their children in a minority language school. The extremely high assimilation rate in British Columbia and the evidence that many Francophones do not identify with the French language and culture lead me to conclude that many Francophones in BC are losing this connection. This is compounded by the very high rate of Exogamy, low rate of transmission of the French language, and high dispersion of the Francophone population in British Columbia, all of which can be expected to have a depressive effect on enrolment in BC's minority language schools.</w:t>
      </w:r>
      <w:r>
        <w:rPr>
          <w:rFonts w:ascii="arial" w:eastAsia="arial" w:hAnsi="arial" w:cs="arial"/>
          <w:sz w:val="20"/>
          <w:lang w:val="en-US" w:eastAsia="en-US" w:bidi="ar-SA"/>
        </w:rPr>
        <w:cr/>
      </w:r>
    </w:p>
    <w:p>
      <w:pPr>
        <w:numPr>
          <w:numId w:val="7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Historic and Projected Uptake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The defendants suggest that it is reasonable to consider historic and projected uptake rates for minority language education in the Province: what proportion of students attend the programme today; what proportion could be reasonably expected to attend if the identified problem were fixed; and what proportion would be required to attend to justify the facilities sought in the claim. The court, in their view, should also take into account whether parents are actually being dissuaded from enrolling children in minority language schools based on the deficiencies in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There are a few sources of evidence concerning the CSF's historic enrolment patterns. Dr. Landry offered an option on what uptake rates the CSF could reasonably expect. The evidence also establishes what proxy participation rates the CSF has been able to achieve in the communities in the claim and at some newly-built homogeneous schools outside the claim. The Court also had the benefit of enrolment projections from Mr. Wood based on a computer programme, "Baragar". I also consider the evidence of how CSF programmes have historically grown based on enrolment statistics provided by Ms. Françoise Mathieu, the CSF's coordinator for the British Columbia enterprise Student Information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Dr. Landry offered an opinion on the participation rate that the CSF could reasonably expect. He agreed that a reasonable estimate of the participation rate that could be achieved in BC, assuming adequate facilities and distances, would be about 45% or 50% of all rightsholders' children (not only those of Mother-Tongue Rightsholders), or "somewhere" between 22% and 60% of all eligible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The Court received evidence on three aspects of education and facilities factors that could influence participation rate: the historical participation rates achieved by the CSF, and projected increases to the participation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The defendants prepared tables showing the current participation rate in areas inside and outside the claim. They base their calculation of the participation rate only on the proxy universe of children of s. 23(1)(a)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The defendants' tables show that in the communities included in the claim, the average proxy participation rate is about 70%. The proxy participation rates fall in a large range: from a low of 24% at École L'Anse-au-Sable (Kelowna), to a high of 179% of eligible Mother-Tongue Rightsholders at École Élémentaire de la Vallée de Pemberton (Pemberton). Enrolment in six of fourteen schools falls between 40% and 60%. Enrolment at three schools falls below 40%, while enrolment at five surpasses 60%. (At four of those five, the proxy participation rate is greater than 100%.) The defendants' view is that a number of non-rightsholders were likely admitted to CSF schools, causing the exceptionally high participation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The defendants also prepared evidence concerning the participation rates that have been achieved in CSF schools in communities that are not included in the claim. They base these tables on work performed by Dr. Castonguay. These show that the average proxy participation rate for four homogeneous schools outside the claim is 61%. The participation rates range from a low of 28% at École Gabrielle-Roy in Surrey to a high of 121% at École Élémentaire Mer et Montagne in Campbell River. Enrolment at École André-Piolat and École Au-coeur-de-l'ile in Comox is just below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Mr. Wood's evidence addresses the CSF's historic performance attracting and retaining secondary students. He noted that the CSF generally has low cohort retention in secondary grades. In his view, it is likely that the CSF will experience lower participation rates for secondary than elementary grades going forward. This perspective was echoed by some CSF educators and the historic enrolment data, which shows significant attrition as a cohort ages, and particularly once it reaches the secondary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In addition to the evidence concerning participation rates, the defendants also provided evidence of projected increases to participation rates based on a computer programme, Baragar, and calculations performed by Mr. Wood. Mr. Wood explained that Baragar provides computer-based tools for school boards to adjust forecasts based on local factors. The programme is used by many districts, including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Baragar projects that the CSF can expect a substantial increase to the participation rates of children of all ages between 2012 and 2027, resulting in an increase in enrolment of about 1,800 students, or 38%. Mr. Wood stated that Baragar assumes increasing participation rates based on the CSF's past performance, as well as speculation that there is considerable room for participation rates to increase, especially for secondary students. The data also assumes decreasing participation rates as grade levels increase, with consistently lower rates for secondary students than for elementary students. In Mr. Wood's view, Baragar has made a good first attempt to reflect the prospect of growth at CSF schools, although they may prove to be too low on further examination by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The plaintiffs prepared tables that compared Baragar's projections to actual enrolment increases in the CSF's new schools, which they put to Mr. Wood. That data show that Baragar projections have historically been lower than what the CSF has actually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In the defendants' view, the evidence of the CSF's historic participation rates, the Baragar projections and Dr. Landry's hypothesis together suggest that in many instances the CSF can expect to achieve about a 50% proxy participation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Overall, I find it difficult to draw many conclusions about the CSF's future performance across the system based on its historic system-wide performance and the Baragar projections. The CSF's historic participation rates vary considerably from community to community. Given the different programme structures and communities in the claim and the importance of context to the question of the number of children likely to take advantage of a programme, it would be dangerous to assume the CSF can expect a certain maximum participation rate in every community across the Province. The appropriate participation rate must be determined on a case-by-case basis for each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However, the evidence is clear that the CSF cannot expect to achieve the same participation rates for secondary programmes as it can for elementary programmes. The CSF has always experienced attrition as a given cohort ages and moves through the system. This is likely influenced by a belief among parents, even if it is a false one, that a majority-language education is necessary to prepare students for post-secondary education. It is likely also the product of the greater variety of programmes available at majority secondary schools, and students' own desires to move to a larger school. Given the low density of Francophones in British Columbia, CSF secondary programmes do not have the population to support the range of enrichment and extra-curricular programmes as the majority boards can offer at their regional secondary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I also find it relevant that enrolment at a CSF school-- and thus its participation rate-- tends to evolve along with a new programme. For example, the CSF's enrolment data show that when the CSF started École Élémentaire des Navigateurs (Richmond) in 2001/02, it had 10 students in Kindergarten through Grade 1. Its enrolment grew to 26 students in Kindergarten through Grade 2 in 2002/03, and to around 50 students in Kindergarten through Grade 4 in 2005/06. Enrolment had doubled and grown to 100 students in Kindergarten to Grade 6 by 2010/11. In 2014/15, École Élémentaire des Navigateurs had 127 students enrolled in Kindergarten through Grade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The CSF's Nelson programme showed a similar pattern. École Élémentaire des Sentiers-Alpins opened in 2006/07 with eight students in Kindergarten through Grade 2. The following year, it had 14 students and one additional grade level, and in 2009/10 it had 30 students in Kindergarten to Grade 4. In 2014/15, its enrolment had grown to 84 students in Kindergarten through Grade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This pattern is not surprising. Many parents would hesitate before switching their child's educational programme, particularly if that child was being educated in English and would be moving to a minority language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Thus, when the CSF starts new elementary programmes, it typically begins with a small programme with a few primary grade levels. As the cohorts age, the CSF adds new grade levels and begins enrolling larger cohorts. The CSF proposed this approach when it examined opening a programme in Burnaby in about 2012 and 2013. Similarly, when the CSF transitions secondary programmes from heterogeneous to homogeneous schools, it tends to add one grade level at a time to allow secondary students to graduate with their majority-school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The exception to this rule appears to be École Élémentaire de la Vallée de Pemberton (Pemberton), which the CSF opened in 2004/05. CSF students from Pemberton attended École Élémentaire La Passerelle (Whistler) before the CSF opened its new school. The CSF began its programme by immediately offering Kindergarten to Grade 7. Even still, its enrolment showed an increase over time, with enrolment growing to 48 students in 2014/15.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As I see it, the evidence concerning the CSF's historic enrolment patterns show that CSF programmes start small, then grow. Thus, the number of children- and the participation rate- tend to change with time. The number of children is lower in a CSF school's early years, then expands over the course of at least 5 to 10 years.</w:t>
      </w:r>
      <w:r>
        <w:rPr>
          <w:rFonts w:ascii="arial" w:eastAsia="arial" w:hAnsi="arial" w:cs="arial"/>
          <w:sz w:val="20"/>
          <w:lang w:val="en-US" w:eastAsia="en-US" w:bidi="ar-SA"/>
        </w:rPr>
        <w:cr/>
      </w:r>
    </w:p>
    <w:p>
      <w:pPr>
        <w:numPr>
          <w:numId w:val="7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Impact of New Schools on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Newly constructed schools may also have an impact on the uptake rate. The defendants concede that when a new school is built, enrolment can be expected to increase slightly, citing expert evidence from Mr. Wood. The plaintiffs want to go further, and tendered extensive expert evidence from Dr. Martel and supporting affidavits to attempt to quantify the impact that new schools will have on enrolment.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Mr. Wood took the view that the "aura" of a new school can result in some enrolment increases following its construction. However, he typically advises school boards that the impact is likely to be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Mr. Wood studied enrolment trends at five newly-built CSF schools with a view to assessing how a new school influences CSF enrolment. Those schools are: École Gabrielle-Roy (Surrey), École André-Piolat (North Vancouver), École Victor-Brodeur (Victoria), École Secondaire Jules-Verne (Vancouver), École Élémentaire Mer et Montagne (Campbell River) and École Au-coeur-de-l'ile (Comox).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Mr. Wood's analysis shows that enrolment at École Gabrielle-Roy increased in each of the initial three years after it was built, then stabilized for the next six years around fifty students below the capacity for which it was built. Mr. Wood suggested the plateau might suggest the CSF has neared the highest participation rate it could expect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École André-Piolat shows a similar trend. There, enrolment increased for the first few years after the new school opened, then plateaued. Enrolment there was about 50 to 100 students below capacity in 2012, leading Mr. Wood to suggest that CSF planners overestimated demand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The trend at École Victor-Brodeur is different. Mr. Wood observed that enrolment at École Victor-Brodeur began to increase well before the new school opened, and has continued to increase since. Enrolment surpassed capacity in about 2009 and was about 100 students above capacity as of 2012. Mr. Wood formed the view that CSF planners misjudged the potential demand. He suggested that enrolment would continue to increase, but may reach a plateau. In his view, the large number of students from families employed by Canadian Forces Base Esquimalt may be responsible for the increase in enrolment at École Victor-Brodeur.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Mr. Wood was less able to discern a clear pattern of enrolment growth for École Secondaire Jules-Verne in Vancouver. He observed that enrolment jumped the year the school opened, then stabilized before increasing for two years and stabilizing again for 2012. Mr. Wood also noted that the school was built to a capacity of 250 and had enrolment below 250 students in 2012, leading him to conclude that CSF planners might have overestimated demand at École Secondaire Jules-Verne. I note, however, that Mr. Wood did not mention that some of École Secondaire Jules-Verne is being used to relieve overcrowding at École Élémentaire Rose-des-Vents (Vancouver (West)) and how that might have influenced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With respect to École Élémentaire Mer et Montagne, Mr. Wood observed that enrolment increased once the school opened, and that the school "may be poised to achieve close to full utilization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For École Au-coeur-de-l'ile, however, the opening of the new school resulted in only modest enrolment increases. He also noted that the school was operating substantially under capacity: what appeared to be about 150 students below capacity in 2012. He observed that planners appeared to have substantially overestimated the demand at that school. However, he conceded that his analysis was based on only one year of data, so his analysis of enrolment at École Au-coeur-de-l'île is of limited utility.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 Professor Martel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The plaintiffs engaged Dr. Martel opine on the impact that newly built homogeneous schools have on enrolment at minority language schools across Canada. Dr. Martel collected and compiled data on enrolment at minority language schools across the country, and made some general observations about the impact new facilities have on enrolment and Vitality. She provided all of this evidence in an expert report (the "Martel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The defendants cross-examined Dr. Martel extensively. The effect of that cross-examination was to discredit the vast majority of her conclusions and opinions. The plaintiffs then attempted to remedy some of the deficiencies by tendering affidavit evidence to corroborate the Martel Report. Those affidavits did not have the desired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 Methodology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To answer the questions posed to her, Dr. Martel researched and compiled a list of the new, homogeneous school facilities built for a minority French-language community in Canadian provinces and territories (except Québec) since 1982 ("New Homogeneous Schools"). She defined New Homogeneous Schools as including new secondary pavilions constructed adjacent to existing French-language elementary school facilities and renovations and reconstructions where more than about 75% of the former facilities were demolished. She excluded reconstructions of former majority schools, schools built out of portable and modular buildings, and heterogeneous minority language schools. She found 132 such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On cross-examination, Dr. Martel acknowledged that because of her definition of New Homogeneous Schools, there are hundreds of minority language schools not included in her report. She admitted that in many communities, there are more minority language schools excluded from her report than there are schools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To prepare her report, Dr. Martel analyzed documentary evidence concerning the construction of New Homogeneous Schools, as well as information concerning school enrolment and community Vitality. Additionally, Dr. Martel applied her expertise in discourse analysis to extract facts from the messaging in the primary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Dr. Martel found most of her sources on the internet. She relied on a number of primary sources: scientific literature; documentation from government departments, school boards and individual schools; and documentation from French-language associations, clubs and organizations. From time to time, Dr. Martel also relied on data from secondary sources, but she sought to ensure it was corroborated by a primary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Dr. Martel also engaged the assistance of the Fédération Nationale des Conseils Scolaires Francophones ("Fédération Nationale") to provide a complete list of all French-language school boards and missing enrolment data from 28 of 29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 Overall Observations on New Construction by Community-Type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Dr. Martel suggested that more New Homogeneous Schools were built in provinces with more populous minority language communities. Seventy of the 132 schools were built in Ontario. She also observed that the construction of New Homogeneous Schools accelerated after 2000, with 96 of 132 schools being occupied since the year 2000. Dr. Martel also observed that of the 132 New Homogeneous Schools, 61 were elementary schools; 39 were secondary schools and 32 were elementary/secondary schools. About 82 of 132 school facilities (62%) were built to house existing schools. The remaining 50 were built to house newly created or amalgamated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Based on her research, Dr. Martel observed six reasons for building a new, homogeneous French-language school facility:</w:t>
      </w:r>
      <w:r>
        <w:rPr>
          <w:rFonts w:ascii="arial" w:eastAsia="arial" w:hAnsi="arial" w:cs="arial"/>
          <w:sz w:val="20"/>
          <w:lang w:val="en-US" w:eastAsia="en-US" w:bidi="ar-SA"/>
        </w:rPr>
        <w:cr/>
      </w:r>
    </w:p>
    <w:p>
      <w:pPr>
        <w:numPr>
          <w:numId w:val="7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revitalize a historic institution and/or French-language community;</w:t>
      </w:r>
    </w:p>
    <w:p>
      <w:pPr>
        <w:numPr>
          <w:numId w:val="7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accommodate a school that has never been located in an adequate facility;</w:t>
      </w:r>
    </w:p>
    <w:p>
      <w:pPr>
        <w:numPr>
          <w:numId w:val="7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homogeneous French-language school environment;</w:t>
      </w:r>
    </w:p>
    <w:p>
      <w:pPr>
        <w:numPr>
          <w:numId w:val="7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offer services where none existed, or to provide greater accessibility in an area where services existed by bringing these services to the area;</w:t>
      </w:r>
    </w:p>
    <w:p>
      <w:pPr>
        <w:numPr>
          <w:numId w:val="7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relieve overpopulation at an existing homogeneous, French-language school facility; and</w:t>
      </w:r>
    </w:p>
    <w:p>
      <w:pPr>
        <w:numPr>
          <w:numId w:val="7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relieve overcrowding in a newly-built school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Based on the data she collected, Dr. Martel discerned that New Homogeneous Schools grow differently in different communities. She created a model showing the different growth patterns in large urban population centres, medium population centres, small population centres and capital 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Dr. Martel stated that she generally applied Statistics Canada's definitions of large, medium and small population centres. Large urban population centres have a population of 100,000 or more; medium population centres have a population between 30,000 and 99,999; and small population centres have a population less than 29,999. Dr. Martel also added a separate category for capital 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Dr. Martel described the growth patterns in each of the four categories of communities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Dr. Martel noted than 39 (30%) of the New Homogeneous Schools in her report were built in capital cities, and that all capital cities except Regina have constructed such facilities. She opined that the construction of such facilities in capital cities "serves as landmarks of the importance the French-language minority is afforded" as "a capital city is, by definition, the leader and exemplar of administrative and political decision-making".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Turning to the other population centres, Prof Martel observed that 23 (17%) of the New Homogeneous Schools were located in 13 urban population centres. Sixteen (12%) of schools were built in 12 medium population centres. Fifty-four (41%) were built in 51 small population centres.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Based on her analysis of the enrolment trends in the four population centres, Dr. Martel observed that the trend of New Homogeneous Schools is the norm in all four categories of centres. She also observed that in all categories of cities, secondary facilities are eventually built, although in small and medium centres they tend to be smaller, in a secondary wing of a Kindergarten to Grade 12 school facility, or in a larger regional secondary facility. She also noted that in capital cities and large, urban population centres, distinct secondary school facilities are built to serve several homogeneous French-language feeder elementary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However, it was shown on cross-examination that Dr. Martel could not properly reach many of these conclusions. Dr. Martel's methodology only examined communities in which New Homogeneous Schools are built. Since she did not examine communities where no New Homogeneous Schools were built, she cannot extrapolate to show trends across all community types across Canada. The most she can say is that some New Homogeneous Schools of certain types were built in each of the four categories of communities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 Dr. Martel's Tables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Dr. Martel tabulated her research concerning growth patterns and community Vitality in tables appended to her report. In Table 1 to her report, "New, homogeneous French-language school facilities built for a minority community; Canadian provinces and territories (except Québec); 1982-2012", she sets out each school, its location, and enrolment data at three reference points: the date of the school's creation, the date of occupation, and the most recent available enrolment data. In Table 2, "Enrolment histories: New, homogeneous French-language school facilities; Canadian provinces and territories (except Québec), 1982-2012", Dr. Martel provides longitudinal enrolment data for every school in Table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Dr. Martel obtained enrolment data from various Ministry of Education and school board websites, and supplemented missing enrolment data for 28 of 29 school boards with information provided by the schools themselves through the Fédération Nationale as an intermediary. While Dr. Martel distinguished between enrolment data from primary and secondary sources, she did not indicate what data she found on school district websites, and what came from the Fédération Nationale or a government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Dr. Martel shifted her data source for all Ontario schools from 2007/08 forward. The years prior to 2007/08 use full-time equivalent ("FTE") data. After 2007/08, the data is headcount data. The data from before 2007/08 therefore counts students in junior and senior Kindergarten as half-time students, even though minority language schools offered full-day Kindergarten. Dr. Martel explained that the data therefore undercounted enrolment in New Homogeneous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As a result, the reported number of Kindergarten students in the data increased after 2007/08. Moreover, on cross-examination, Dr. Martel confirmed that children who are homeschooled and attend school part-time would also be counted differently, and show greater numbers, in the data from after 2007/08.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Notably, several schools in Ontario in Dr. Martel's report show an upward jump in enrolment in 2007/08. Dr. Martel was unable to say to what extent those jumps could be attributed to the change in her input data. She agreed that all Ontario schools-- a majority of schools in her data-- are subject to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In Table 1, Dr. Martel also provided a column setting out information about the school's early conditions, construction, current status and special features. Unfortunately, the information in this column is not properly cited to Dr. Martel's references. While Dr. Martel listed the documents she relied on for each school in Table 1, she did not indicate from what references the various data are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The problems with this became evident when Dr. Martel was being cross-examined. In the entry for School #41 (Welland, Ont.), Dr. Martel stated that enrolment quickly grew to more than 500 students. That information was not corroborated by the enrolment evidence in Dr. Martel's second table. Dr. Martel did not specify from where she drew that information. On her first day of cross-examination, Dr. Martel speculated that the data came from one of three sources. On the second day of cross-examination, it was shown that the information did not come from those sources. On the third day of cross-examination, after checking her research notes and references, Dr. Martel explained that the statement had been drawn from a secondary source listed for Welland, Ont., and corroborated by a primary source concerning a different school (which was a secondary source with respect to School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I acknowledge that, as Dr. Martel maintained, it would have been a large undertaking to cite every statement in her tables. I also acknowledge that Dr. Martel indicated that her references were consistent with the academic standards in her field of research. Nevertheless, the lack of citations makes it difficult to test and rely on Dr. Martel's descriptions of the school histories and events in Table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In any event, much of the information in the final column in Table 1 is too general and vague to be of much use. For example, Dr. Martel does not state and could not recall if a preschool located in School #7 (Calgary, Alta.) pre-dated the construction of the New Homogeneous School. For both that school and School #13 (Bellegarde, Sask.), she does not provide detail with respect to the cultural animator she said worked in the schools, including whether he or she worked in the area before the facility was constructed. For School #80 (Ottawa, Ont.), Dr. Martel referred to overpopulation, but did not state what caused the overpopulation and admitted that she inferred overpopulation based on the construction of new classrooms. There are similar problems with respect to School #124 (St. John's, Nfld.) and School #129 (Yellowknife, YK), and more likely than not with other schools in Table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 Impact of New Facilities on Enrolment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To discern enrolment trends, Dr. Martel looked at three points in time: the earliest school year for which enrolment data was available; the school year in which the school moved into the new facility; and the most recent school year for which enrolment data was available. Dr. Martel chose to focus on those three dates so she could see overall trends, rather than focus on the minutiae of year-to-year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Dr. Martel was careful to indicate that she could not draw inferences about causation; the most she could say is that there is a correlation between the enrolment trend and the new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With respect to the impact of a New Homogeneous School on enrolment, Dr. Martel observed that none of the schools in her report had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Dr. Martel related that 116 of the 132 facilities in her report showed growing or stable enrolment. She defined "growing enrolment" to include all those with constant enrolment increases (80 facilities), newly built schools (since 2010) that had either an increase in or stable enrolment (22 schools), schools with stable enrolment at each of her three reference points in time (8 schools), and schools with a decrease in enrolment where there is an overall increase in enrolment in the larger geographic area (6 schools). Dr. Martel counted among those schools with "stable" enrolment those that showed no change, or have a decrease between zero and twenty students, which she inferred to be the size of one classroom. Thus, a school only counted as having declining enrolment if it lost more than twenty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Dr. Martel was cross-examined with respect to the schools she classified as showing "growing or stable" enrolment. She confirmed that if a school's enrolment grew by even one student, she classified it as an enrolment increase. However, a school was only said to show declining enrolment if it lost more than 20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Dr. Martel also confirmed that she categorized enrolment based on the absolute number of students gained or lost rather than percentage. It was put to her that if a school of 40 students lost 19 or 20 students, it would nevertheless have been counted among the schools with stable enrolment. Dr. Martel maintained that no schools showed such large decreases in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There are also problems with Dr. Martel's point in time analysis. It was shown on cross-examination that some schools Dr. Martel defined as showing stable enrolment had experienced significant declines in enrolment. For example, School #14 (Gravelbourg, Sask.) had peak enrolment of 85 students in 2003/04, but only 25 students in 2012/13. Despite this decrease by approximately 70%, due to her point-in-time analysis, Dr. Martel reported that the school had stable enrolment. Dr. Martel maintained that the peak enrolment was anomalous and could be attributed to contextual factors. Dr. Martel likewise classified School #15 (Bellevue, Sask.) as having stable enrolment because of her point-in-time choices. However, this school, too, saw a substantial decrease in enrolment from its peak to the present day: from 156 in 2002/03 to 109 in 2012/13.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Similarly, some of the schools Dr. Martel classified as having growing enrolment have in fact shown declines in enrolment. School #48 (Carleton Place, Ont.) was said to have shown an overall growth in enrolment since the new facility was occupied in 1999/00. However, the data showed that enrolment in that school peaked at 205 in 2002/03, and had declined to 155 by 2012/13. While Dr. Martel indicated that it was misleading to look at peaks and valleys without understanding the overall context, she admitted that a trend line with respect to all the data would not show a constant increase in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There are also some errors in Dr. Martel's classifications. In particular, both School 19 (Zenon Park, Sask.) and School 20 (Winnipeg, Man.) showed enrolment declines prior to the occupation of the new schools. Dr. Martel admitted those schools should have been classified as having stable enrolment, but she did not include them in that category. She suggested the decreases in enrolment might have been attributable to some contextual factors, leading her to disregard those decreases. However, she did not say that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It also became clear on cross-examination that Dr. Martel stated that some schools show growing enrolment with very little longitudinal data. Dr. Martel classified three schools as having stable or growing enrolment despite having only one year of data. She stated that she did so because she had no basis to presume that enrolment would decrease. This shows that Dr. Martel operated from a presumption of growth and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Another 16 of the 132 schools showed decreases in enrolment for what Dr. Martel called "contextual reasons". Dr. Martel included in that category all schools that have shown a negative fluctuation of 20 or more students from their beginning, the first available enrolment data, or the time of construction, as compared to the most recent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xml:space="preserve">  Dr. Martel commented that all of these schools are found in New Brunswick and Ontario. She noted that New Brunswick had homogeneous French-language school facilities since before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primarily built new schools to replace existing facilities. Dr. Martel also observed that Ontario had four competing school systems, including both Catholic and secular French-language school districts operating in the same communities. Thus, in her opinion, enrolment in some Ontario minority language schools might be explained by the division of the population between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While being cross-examined, Dr. Martel confirmed that she did not take into account all of the schools within a region. She only considered New Homogeneous Schools. Accordingly, her methodology would not allow her to determine whether homogeneous minority language schools that were not new had increasing or decreasing enrolment. Thus, Dr. Martel could not say whether there was an overall increase or decrease in enrolment in homogeneous French-language schools in different regions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Dr. Martel went on to point to some contextual factors that she said could explain decreases in enrolment: a decrease in overall population, employment possibilities, natural disasters, migration fluxes, and industrial development. On cross-examination, Dr. Martel acknowledged those factors could also explain enrolment increases, but that she did not take them into account when analyzing enrolment increases. She also did not actually research the links between enrolment decreases and the contextual factors. She merely inferred contextual factors must be at play because the school saw decreasing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 Implications for Language Planning in British Columbia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Dr. Martel selected several schools with similar characteristics to the language planning situation in British Columbia for further study. Those schools were all built between 2000 and 2010, excluding those schools built to permit the amalgamation of existing French-language schools, to replace historic facilities, or those built as separate stand-alone French-language secondary schools, as she understood that those types of schools would not be built in BC. She identified 40 such facilities, which she called the "more relevant reference points for the purposes of French-language planning through education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Dr. Martel was cross-examined with respect to how she chose the most relevant reference points for British Columbia. It was shown that Dr. Martel had previously expressed views that French-language school districts should target a certain participation rate based on the proportion of Francophones in an area. Nevertheless, her choice of reference points did not take into account the vastly different proportions of Francophones in many of the communities chosen as reference points as compared to the communities in BC. For example, some of the reference communities were more than 60% and 70% Francophone; there is a much lower concentration of Francophones in all the communities in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Twenty-six of the reference points were built to accommodate existing French-language schools. Dr. Martel observed that all of them had enrolment that she defined as increasing or stable, with the sole exception of School #41 (Welland, Ont.). Dr. Martel opined that the decrease in enrolment in that school masked an overall increase in enrolment in the entire area, but she could not have reached that conclusion without data on all of the schools in that region. Dr. Martel also observed that the announcement of the construction of a New Homogeneous School was accompanied by an increase in enrolment in all but two cases. However, it was shown on cross-examination that Dr. Martel was not always aware of the date the new facility was built, and inferred the date of an announcement from the known date of the start of construction, and her observation of an increase in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The remaining 14 reference points were built to accommodate newly-created French-language schools. She noted that enrolment increased in all the areas with the sole exception of School #76 (Casselman, Ont.). Dr. Martel indicated that the decrease in enrolment in Casselman should be attributed to contextual factors, including a change to the school's catchment area. However, she did not specifically research the contextual factors to reach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Dr. Martel went on to state her view of the likely effects of construction of New Homogeneous Schools in the communities in this claim. For each community, she summarized the planned facilities and the reasons for the proposed construction. She went on to state that, based on her research (particularly the most relevant reference points), she anticipated increased enrolment and Vitality. She then set out what effect the new school would be likely to have on enrolment, accessibility, community partnerships, community pride, and community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Notably, Dr. Martel admitted that she could not predict with certainty whether the communities would in fact see similar results to what she observed in other provinces. She conceded that the result would depend on proper planning, and the demographics in each community, including the number of school aged children, migration, birth rate, existence of new residential developments and other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iii. Supplemental Martel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In an effort to respond to instances of hearsay in Dr. Martel's data and to improve its accuracy, the plaintiffs adduced a number of affidavits, supposedly from more direct sources, following the conclusion of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A number of the affidavits tendered by the plaintiffs sought to confirm the "opening date" of a new school as stated in the Martel Report. Some of those affidavits came from employees or elected officials of the relevant school board. However, it is not always clear how those individuals came to have firsthand knowledge of the opening date. For example, several of the officials were employed elsewhere in the school district, or employed at the relevant school in a different time period than the purported opening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Several of the affidavits identified a different opening date than the one suggested by Dr. Martel. Often, the difference is by just one year. However, a single year can have a significant impact. To take one example, Professor Martel stated that School #55 (Brampton, Ont.) opened in 2004/05, yielding an apparent enrolment increase of 142%. The affidavit evidence suggested the school opened in 2005/06, reducing the enrolment increase upon opening to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There were also many discrepancies between the enrolment data reported by Dr. Martel and those reported in the affidavits. Of the 132 schools described in the Martel Report, the enrolment data in the affidavits matched that of Dr. Martel for only 18 schools. In many instances, the discrepancies amounted to less than a 10% difference or otherwise did not impact on Dr. Martel's analysis. However, for some schools, correcting the discrepancies between the data in the affidavits and the Martel Report would change the classification of the schools' enrolment from "increasing" to "decreasing" or "stable". For at least nine schools, the affidavit evidence suggests that the rate of increase in enrolment reported by Dr. Martel would be reduced by more than 10%. For at least four schools, the affidavit data suggests that the rate of decrease in enrolment was even greater than was reported by Dr. Martel.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The plaintiffs rely extensively on the Martel Report for the general proposition that newly-built schools tend to attract increased enrolment and enhance Vitality. The plaintiffs repeatedly urged the Court to infer, based on the Martel Report, that the CSF should expect increases in enrolment and improvements to Vitality if the new schools the CSF seeks were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In the defendants' view, the Martel Report was discredited in cross-examination and provides little, if any, assistance to the Court. In their submission, much of it rests on unreliable hearsay, while what is left was admitted to be subject to a proper planning analysis (such as that performed by Mr. Wood), an area in which Dr. Martel acknowledged she is not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The defendants suggest that Dr. Martel's analysis cannot be used to show that New Homogeneous Schools will result in increased enrolment. In their submission, Dr. Martel admitted that her methodology does not identify any causal relationship between the opening of a new school and the "indicators of vitality" that her report purports to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The defendants also submit that even if Dr. Martel had not herself qualified the value of her predictions, it would be dangerous to rely on them because of a number of methodological flaws. Finally, the defendants say that Dr. Martel's conclusions rest on unreliable hearsay. In the defendants' view, the affidavits do not succeed in filling the hearsay gap and tended to present inconsistent, not confirming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The plaintiffs responded to the defendants' submission on their affidavits by preparing charts showing that for many schools, the enrolment data prepared by Dr. Martel only differs marginally from the data provided by the affiants. In some, however, the differences are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Dr. Martel acknowledged while under cross-examination that if there were errors in her data, it would be unsafe to rely on some of her conclusions. Unfortunately, her expert report is rife with methodological problems. The data she used were not always reliable, and the reliability problems were not corrected by the plaintiffs' affidavit evidence. Her shift from using FTE counts for Ontario schools prior to 2007/08, and headcount data for the years thereafter, results in an inflation of enrolment counts over time for all Ontario schools: the majority of schools in her report. She only examined the trends at New Homogeneous Schools, making it impossible to generalize about construction trends outside the communities where those schools were built. She likewise did not control for the impact that the construction of the new school would have on other minority language schools in the same community. As a result, it would be unsafe for me to rely on many of Dr. Martel's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There are also reasons to question Dr. Martel's objectivity. The definitions Dr. Martel chose for schools with growing, stable and declining enrolment show an inclination to search for signs of enrolment growth, and reluctance to accept enrolment decline. It is particularly troubling that Dr. Martel was quick to point to context as an explanation for enrolment decline, but not for increases in enrolment. She pointed to context even though she did not research it to determine what could explain enrolment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Her analysis of the most relevant reference points is likewise unhelpful. Dr. Martel failed to take into account what she herself acknowledged to be a very important factor related to the uptake rate: the concentration of the French-language population. Dr. Martel drew inferences about possible outcomes in British Columbia based on the experiences in communities that are simply not comparable for language planning purposes. In truth, as Dr. Martel acknowledged on cross-examination, the precise effect that the new school would have on enrolment would depend on a wide range of factors, including detailed demographics in each community, the number of school-age children, migration, birth rates, the existence of new residential developments, and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As a result of these and other problems, I do not find Dr. Martel's opinion to be of any assistance to quantifying the extent to which enrolment could be expected to increase in British Columbia's schools. That question is highly fact and community specific. While the experience in other schools may be illuminating, in my view, it is far more useful to have reference to the experience in other British Columbia schools with similar demographic characteristics and in similar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 Conclusion: Calculating the Appropriate Uptake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To summarize, the calculation of the appropriate uptake rate will be highly fact and context specific for each community in the claim. It will depend on a number of factors, including but not limited to the size and concentration of the minority language community, other educational programmes available and the historic uptake rate, as well as the experience at schools with similar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After examining the expert evidence, I am not able to draw many conclusions about the uptake rate that the CSF can generally expect to achieve in most communities in the Province. Nor am I able to draw conclusions about the magnitude of any enrolment increases that the CSF could expect upon the construction of a New Homogeneous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However, it is possible to resolve several common issues that will be relevant to all communities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I am prepared to accept, as Mr. Wood did, that the CSF can generally expect some modest enrolment increases on construction of a New Homogeneous School. The extent of these enrolment increases will vary depending on the particular context of the community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However, due to the high rate of assimilation and Exogamy in British Columbia, compounded by the dispersion of BC's Francophone communities and the low rate of transmission of the French language to children, in most instances the CSF cannot expect significant enrolment increases over and above the current anticipated demand. Further, after taking into account the CSF's historic participation rates at the secondary level and the size of Francophone minority communities in British Columbia, I conclude that the CSF will always struggle to compete with the programmes offered at majority secondary schools, and will experience significant attrition as a cohort moves to the secondary school grades. I also find based on the CSF's historic enrolment patterns that its new educational programmes will usually start small and grow over the course of several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Admission of Children of Non-Rightsholders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The plaintiffs argue that in addition to admitting Mother-Tongue, Education and Sibling Rightsholders, s. 23 affords it a right to admit non-rightsholders to redress past wrongs and remedy assimilation. For several years, the CSF admitted non-rightsholders to its schools pursuant to an Expanded Admissions Policy. Below, I discuss the evidence concerning that policy, before outlining the policies used elsewhere in Canada and the Plaintiffs' argument that the children of non-rightsholders ought to be included in the calculation of eligible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 The School Act and the Integrity of Minority Schools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The integrity of minority schools is essential to their operation. Minority language education is meant to take place in the language of the minority. It is not intended to teach outsiders the language of the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Dr. Landry alluded to this issue in his evidence concerning Exogamy. He agreed that even the admission of children of Exogamous couples, whose language skills are underdeveloped, runs the risk of "watering down" minority language schools or turning them into French immersion schools. (Of course, many children living in Exogamous households have the right to attend Francophone schools no matter their proficiency in the French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xml:space="preserve">  The question whether non-rightsholders should nevertheless be admitted to minority language schools was considered in 1991 by the Minority Language Education Task Force, which recommended that some children who were not strictly eligible to attend minority language schools pursuant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should be allowed to attend CSF schools. The Task Force thought that minority language school boards should have the flexibility to allow such students through the use of an admissions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xml:space="preserve">  In particular, the Task Force Report identified the children of French-speaking immigrants as persons who might be admitted. The Province ultimately enacted Part 8.1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which contained provisions permitting the CSF to admit the children of Immigrant Rightsholders. As discussed previously, the effect of ss. 166.25, 166.24 and 1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is that only children of rightsholders, or the children of Immigrant Rightsholders, are eligible to attend CSF schools.</w:t>
      </w:r>
      <w:r>
        <w:rPr>
          <w:rFonts w:ascii="arial" w:eastAsia="arial" w:hAnsi="arial" w:cs="arial"/>
          <w:sz w:val="20"/>
          <w:lang w:val="en-US" w:eastAsia="en-US" w:bidi="ar-SA"/>
        </w:rPr>
        <w:cr/>
      </w:r>
    </w:p>
    <w:p>
      <w:pPr>
        <w:numPr>
          <w:numId w:val="7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CSF's Expanded Admissions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In April 2013, the CSF promulgated an admissions policy that would admit children of non-rightsholders above and beyond the children of Immigrant Rightsholders (the "Expanded Admissions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xml:space="preserve">  Pursuant to the Expanded Admission Policy, all school-age children with a parent that is a rightsholder under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could be automatically admitted to CSF schools (s. 1). Additionally, the CSF granted itself the discretion to admit children of non-rightsholder parents in three categories: if one of the parents was an Immigrant Rightsholder; one of the parents was a Canadian citizen or immigrant who understood and spoke French fluently ("Francophile Clause"); or one of the child's Canadian or Canadian-resident grandparents had French as a first language or received primary or secondary level instruction in Canada in French as a first language (the "Descendant Clause")(together, "Eligible Non-Rightsholders") (s.2).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xml:space="preserve">  Notably, the second category referenced Immigrant Rightsholders, and was consistent with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Children in the two other categories of Eligible Non-Rightsholders were not strictly admissible pursuant to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The Expanded Admissions Policy allowed admission of children of Eligible Non-Rightsholders provided it was consistent with the mission and vision of the CSF; the admission would promote the growth and development of the Francophone community serviced by the CSF; the admission would maintain the distinctive character of a French-language school; and the parent or student had demonstrated a commitment to integrating into the Francophone community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To determine whether the conditions for admission were met, the CSF relied on an admissions committee. The admissions committee for each school was made up of a member of the Board of Trustees, an executive from the CSF board office, and the principal, a teacher and a parent from the school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When deciding whether the conditions for enrolment were met, the admissions committee was required to take into account the best interests of the child, the school and the Francophone community (s. 5). The Expanded Admissions Policy set out a non-exhaustive list of factors relevant to the question whether the child should be admitted: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ability of the child and one of the child's parents to communicate in French;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well-being of the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impact on the child and on the child's siblings of not being able to attend the Conseil's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commitment of the parents and the child to the Francophone community and to French-language instruction;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growth and development of the Francophone community and the teaching of French as a first language;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the francization and cultural integration resources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linguistic and cultural challenges already confronting the class and the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space available in the class and in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The Expanded Admissions Policy did not apply to École Élémentaire Anne-Hébert (Vancouver (East)) or École Élémentaire Rose-des-Vents (Vancouver (West)) because those schools were overcrowded. In the summer of 2014, the policy likewise became inapplicable to École Victor-Brodeur (Victoria) due to overcrowding.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The CSF promulgated the Expanded Admissions Policy following a period of consultation with its educators and administrators, and the Francophone community. The FPFCB, for example, suggested adding the Descendant Clause. The FPFCB also suggested that the CSF consider whether there was sufficient space in the school to allow non-rightsholders.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xml:space="preserve">  On May 22, 2015, the CSF's Board of Trustees suspended the operation of ss. 2.2 and 2.3 of the admissions policy, bringing it back in line with s. 166.25(9)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However, in the 25 months that the Expanded Admissions Policy was in effect, a number of non-rightsholder were admitted to CSF schools.</w:t>
      </w:r>
      <w:r>
        <w:rPr>
          <w:rFonts w:ascii="arial" w:eastAsia="arial" w:hAnsi="arial" w:cs="arial"/>
          <w:sz w:val="20"/>
          <w:lang w:val="en-US" w:eastAsia="en-US" w:bidi="ar-SA"/>
        </w:rPr>
        <w:cr/>
      </w:r>
    </w:p>
    <w:p>
      <w:pPr>
        <w:numPr>
          <w:numId w:val="7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Admissions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The Court was provided with evidence of the number of students who were admitted pursuant to s. 2 of the Expanded Admissions Policy, which allowed admission of Eligible Non-Rightsholders. In 25 months, the CSF admitted 83 students pursuant to the Francophile Clause, and a further 73 students pursuant to the Grandparent Clause. In the same period, the CSF rejected 73 requests for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The Expanded Admissions Policy has not been without its critics. Mr. Gignac's view was that by admitting non-rightsholders, the CSF would jeopardize the culture of CSF schools. He was concerned that the Vitality of CSF schools was already very weak. Ms. Nicole Chagnon, the current principal of École Élémentaire Rose-des-Vents (Vancouver (West)) received feedback that parents were strongly opposed to the policy, particularly as it impacted space requirements and could dilute the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Most educators who gave evidence at trial spoke about their experiences implementing the Expanded Admissions Policy and sitting on Admissions Committees.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Mr. Allison explained that he sat on admissions committees for the CSF's Vancouver Island schools. In that capacity, he sat on about 30 Admissions Committees and deliberated on about 50 cases. For Mr. Allison, the most important concerns were whether the CSF had sufficient space in the school and the quality of French spoken by the student and the student's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Mr. Réjean Gosselin, the current principal at École Élémentaire des Navigateurs (Richmond), testified that the one student admitted to his school pursuant to the Descendant Clause spoke French well, as though it was her first language. A second student was rejected. In 2013/14, he recalled that four students were admitted, ranging from one student with a Francophone grandparent, to a student with a parent who taught and lived in French, but was not a rightsholder.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Ms. Pascale Bernier, the current principal at École Victor-Brodeur (Victoria), participated in admissions committees as a teacher, vice principal (as a substitute) and now a principal. At those committee meetings, the most important consideration to her was whether there was enough room in a given division to admit the children of non-rightsholders, while leaving some room for rightsholders to join a cohort mid-year if necessary. In the summer of 2014, Ms. Bernier refused some non-rightsholders admission because there was insufficient space in the Grade 6 divisions at École Victor-Brodeur.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Ms. Bernier also considered it important that the student speak French to ensure that both the student and the community would benefit. She administered a reading and writing comprehension examination to non-rightsholders' children, and met with parents to ensure they were invested in French life and culture. Ms. Bernier refused to admit some students who did not pass the French competency exam. On the other hand, two children of non-rightsholders were accepted where the students and parents clearly spoke French and it was believed that their presence would enrich the level of French at the school. Even then, those students were admitted on the understanding that their admission would be re-evaluated in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Mr. Michel Tardif sat on admissions committees for both École Élémentaire La Passerelle (Whistler) and École Élémentaire de la Vallée de Pemberton (Pemberton), where he is currently the principal. To his recollection, some children were accepted: the Francophone child of a family of trilingual immigrants, and a child who spoke some French and whose parent was active in the Francophone community. Other children were not admitted, typically because the parent spoke very little or no French. Further, Mr. Tardif advised that he dissuaded some parents from formally applying when it was clear to him that the parents would not meet the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Ms. Catherine Drapeau sat as a member of the École Élémentaire Les Aiglons (Squamish) admissions committee, where she is principal. Children from two families were admitted where parents were often seen at Francophone community events, and spoke French with the children. Some students were admitted pursuant to the Descendant Clause. On the other hand, one family with four children was not admitted because the parents did not speak French with the children, and the parents were not proven to be active in the Francophone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Mr. Daniel Blais, the principal for École L'Anse-au-Sable (Kelowna), recalled sitting on two admission committees. One student was admitted because it was evident to Mr. Blais that the student's parent spoke French, and the child had attended Francophone preschool.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Several children of non-rightsholders have been admitted to École Élémentaire du Pacifique (Sechelt). Ms. Caroline Picard, that school's principal, testified that one child was admitted pursuant to the Descendant Clause, as her step-grandmother and father were Francophone, the child had attended Francophone preschool in Vancouver and the child's mother was committed to participating in the Francophone community. It appears that this child might have actually been the child of a rightsholder. Another child was admitted where the parent's mother was a Francophile who had taught courses on Quebecois culture. On the other hand, one child was not accepted where the parent spoke no French and little English, and only wanted her child to be educated in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Ms. Marie-Christine Bellerose gave evidence about several students who were admitted to École Élémentaire des Sentiers-Alpins (Nelson), where she is vice principal, through an admissions committee. One student admitted in 2013/14 spoke French better than many of his peers by the end of the school year. Other children of non-rightsholders were speaking French at about the same level as their peers despite speaking no French whatsoever when starting Kindergarten.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 Admissions Policies and Practices across Canada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The CSF is not alone in its admission of non-rightsholders. The plaintiffs tendered as evidence the admissions policies from 25 Canadian minority language school boards by way of the third affidavit of Ms. Anne-Marie Dessureault. Ms. Dessureault is the Executive Assistant to the Executive Director of the Fédération Nationale. There was no objection to these policies being tendered through Ms. Dessureault.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Almost all policies make an explicit reference to expediting or otherwise admitting immigrants that would otherwise be rightsholders, and in many cases Allophones that want to assimilate into the French language and culture. In most of the few that do not, there is a broader discretion that might otherwise allow those children to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Similarly, almost all policies make explicit reference to expediting or otherwise facilitating the admission of non-rightsholders that have some Francophone heritage, such as a grandparent.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Almost all give some discretion to admit non-rightsholders that do not fall in the immigrant or ancestry provisions. Sometimes that discretion is very limited. For instance, La Commission Scolaire Nord-Ouest (Alta.) and the Conseil Scolaire Centre-Est (Alta.) only allow admission outside the rightsholder, immigrant and descendant categories for children that were registered in an immersion programme that is no longer offered in the community of the school. I note that British Columbia previously allowed admission of that category of student to the Programme Cadre-- something Dr. Ardanaz and Ms. Galibois-Barss both complained about. The Commission Scolaire Acadien Provincial (NS) limits the discretion to admitting children of a biological parent living with a rightsholder (tantamount to a step-parent clause), and Francophone students participating in an international student exchange programme. For the Commission Scolaire Francophone Territoires de Nord-Ouest (NWT), while there is discretion to admit Anglophones that choose to integrate into the Francophone community, the number of students admitted pursuant to that category must not exceed 10% of the total school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Many policies contain a discussion of the factors to be considered when deciding whether to admit non-rightsholders. The factors noted in the CSF's policy are generally consistent with the factors noted in the extra-provincial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For example, the policy for the Conseil Scolaire Fransaskois (Sask.) allows admission of non-rightsholders for the following reasons:</w:t>
      </w:r>
      <w:r>
        <w:rPr>
          <w:rFonts w:ascii="arial" w:eastAsia="arial" w:hAnsi="arial" w:cs="arial"/>
          <w:sz w:val="20"/>
          <w:lang w:val="en-US" w:eastAsia="en-US" w:bidi="ar-SA"/>
        </w:rPr>
        <w:cr/>
      </w:r>
    </w:p>
    <w:p>
      <w:pPr>
        <w:numPr>
          <w:numId w:val="7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admission supports the mission of </w:t>
      </w:r>
      <w:r>
        <w:rPr>
          <w:rFonts w:ascii="arial" w:eastAsia="arial" w:hAnsi="arial" w:cs="arial"/>
          <w:i/>
          <w:color w:val="000000"/>
          <w:sz w:val="20"/>
          <w:lang w:val="en-US" w:eastAsia="en-US" w:bidi="ar-SA"/>
        </w:rPr>
        <w:t>fransaskoise</w:t>
      </w:r>
      <w:r>
        <w:rPr>
          <w:rFonts w:ascii="arial" w:eastAsia="arial" w:hAnsi="arial" w:cs="arial"/>
          <w:color w:val="000000"/>
          <w:sz w:val="20"/>
          <w:lang w:val="en-US" w:eastAsia="en-US" w:bidi="ar-SA"/>
        </w:rPr>
        <w:t xml:space="preserve"> schools (French-language schools in Saskatchewan);</w:t>
      </w:r>
    </w:p>
    <w:p>
      <w:pPr>
        <w:numPr>
          <w:numId w:val="7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admission supports the vitality and growth of the Francophone community and the parent's commitment to the Francophone community;</w:t>
      </w:r>
    </w:p>
    <w:p>
      <w:pPr>
        <w:numPr>
          <w:numId w:val="7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admission does not threaten the survival of the province's linguistic majority; and</w:t>
      </w:r>
    </w:p>
    <w:p>
      <w:pPr>
        <w:numPr>
          <w:numId w:val="7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admission serves the best interests of the family and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The Conseil scolaire public du Nord-Est de l'Ontario (Ont.) provides that the following criteria are to be considered and given equal weight in processing an application for admission: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student's level of competence in French;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student's interest in learning French;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extent of the use of French and/or the presence of aspects of French culture in the family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level of importance that the student's parent(s) attribute to the French-speaking community's language and culture;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commitment of the parent(s) to supporting the student's academic development in French within a board and a school where the language of operation and administration is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Additionally, the policy requires consideration of the number of students and level of French in the classroom in which the student is to be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The Policy for the Commission Scolaire Francophone du Yukon (YK), as it stood in 2010, required consideration of a number of factors before granting permission for admission to those falling under the immigrant, ancestor or Francophile categories:</w:t>
      </w:r>
      <w:r>
        <w:rPr>
          <w:rFonts w:ascii="arial" w:eastAsia="arial" w:hAnsi="arial" w:cs="arial"/>
          <w:sz w:val="20"/>
          <w:lang w:val="en-US" w:eastAsia="en-US" w:bidi="ar-SA"/>
        </w:rPr>
        <w:cr/>
      </w:r>
    </w:p>
    <w:p>
      <w:pPr>
        <w:numPr>
          <w:numId w:val="7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well-being;</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His/her residential status in Canada;</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His/her proficiency in French-language communication;</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parents' proficiency in French-language communication;</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on the child and his siblings if they cannot attend the French-language school;</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support for linguistic and cultural education;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engagement of the parents toward French-language education;</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engagement of the parents and child toward the Francophone community;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pedagogical, cultural and linguistic impact on the class and the school;</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growth and development of the Francophone community;</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advancement of French-language education;</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available resources for </w:t>
      </w:r>
      <w:r>
        <w:rPr>
          <w:rFonts w:ascii="arial" w:eastAsia="arial" w:hAnsi="arial" w:cs="arial"/>
          <w:i/>
          <w:color w:val="000000"/>
          <w:sz w:val="20"/>
          <w:lang w:val="en-US" w:eastAsia="en-US" w:bidi="ar-SA"/>
        </w:rPr>
        <w:t>francisation</w:t>
      </w:r>
      <w:r>
        <w:rPr>
          <w:rFonts w:ascii="arial" w:eastAsia="arial" w:hAnsi="arial" w:cs="arial"/>
          <w:color w:val="000000"/>
          <w:sz w:val="20"/>
          <w:lang w:val="en-US" w:eastAsia="en-US" w:bidi="ar-SA"/>
        </w:rPr>
        <w:t xml:space="preserve"> and cultural integration;</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linguistic and cultural challenges already present in the class and school;</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percentage of exogamous couples whose children already attend the school;</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historical issues linked to obtaining a French-language school in the community;</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demographics of the Francophone community;</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Principles of equity, transparency and objectivity.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xml:space="preserve">  Of course, these policies were set by the pertinent school boards. They may or may not be consistent with the school board's enabling legislation. I have not considered the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xml:space="preserve"> of any of the policies. For example, the policy of the for Commission Scolaire Francophone du Yukon, as it stood in 2010, may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in light of </w:t>
      </w:r>
      <w:r>
        <w:rPr>
          <w:rFonts w:ascii="arial" w:eastAsia="arial" w:hAnsi="arial" w:cs="arial"/>
          <w:i/>
          <w:color w:val="000000"/>
          <w:sz w:val="20"/>
          <w:lang w:val="en-US" w:eastAsia="en-US" w:bidi="ar-SA"/>
        </w:rPr>
        <w:t>Yukon Francophone School Board, Education Area #23 v. Yukon (Attorney General),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2015 SCC 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Yukon-SCC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Ms. Dessureault also provided evidence about the proportion of students admitted to minority schools across Canada that are non-rightsholders. She was responsible for contacting minority school districts to collect that data starting in March 2013, and collected data that was backdated to the 2010/11 school year. While there was no objection to this data, I note that it is all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The data in Ms. Dessureault's affidavit reveal that, generally, a low proportion (about 6%) of the students that are admitted to the first two years of minority school programmes do not have rightsholder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In many districts, in many years, zero or very few children of non-rightsholders were admitted pursuant to expanded admission policies. However, some districts are anomalous, and routinely admit many non-rightsholders. The Commission scolaire Francophone des Territoires du Nord-Ouest (NWT), for example, admitted 38% to 52% of its students pursuant to its exceptional admissions categories. The Conseil Scolaire de District des Écoles Catholiques du Sud-Ouest (Ont.) also routinely admitted more than 20% of its students as non-rightsholders.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e) Does Section 23 Protect an Expanded Admissions Policy?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xml:space="preserve">  The defendants argue that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validly restricts admission to rightsholders and Immigrant Rightsholders. Pointing to </w:t>
      </w:r>
      <w:r>
        <w:rPr>
          <w:rFonts w:ascii="arial" w:eastAsia="arial" w:hAnsi="arial" w:cs="arial"/>
          <w:i/>
          <w:color w:val="000000"/>
          <w:sz w:val="20"/>
          <w:lang w:val="en-US" w:eastAsia="en-US" w:bidi="ar-SA"/>
        </w:rPr>
        <w:t>Yukon- SCC</w:t>
      </w:r>
      <w:r>
        <w:rPr>
          <w:rFonts w:ascii="arial" w:eastAsia="arial" w:hAnsi="arial" w:cs="arial"/>
          <w:color w:val="000000"/>
          <w:sz w:val="20"/>
          <w:lang w:val="en-US" w:eastAsia="en-US" w:bidi="ar-SA"/>
        </w:rPr>
        <w:t xml:space="preserve">, the defendants say that the plaintiffs are required to comply with that provision. In the defendants' submission, the CSF took the law into its own hands and promulgated a policy that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while the issue was contested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xml:space="preserve">  The plaintiffs take the position that the Province violated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by failing to explicitly authorize and sanction the CSF's policy of admitting, on a case-by-case basis, students who are not children of s. 23 rightsholders or Immigrant Rightsholders. They say that the Province's approach to admissions has insufficiently ensured compliance with s. 23, and prevented the realization of s. 23's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The plaintiffs say that the ability to admit students on a case-by-case basis is necessary to achieve s. 23's purpose. They point to Dr. Castonguay's conclusion that the Francophone minority is totally dependent on immigration to keep its numbers up. Given that conclusion, they say the CSF must be able to admit children of non-rightsholders with a strong connection to French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xml:space="preserve">  In support of its argument, the plaintiffs point to the adage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at para. 26 that requires provincial governments do whatever is practically possible to preserve and promote minority language education. They say such a mandate "plainly encompasses allowing the Conseil to admit appropriate students on a case-by-case basis, while applying the Conseil's judgment as to what is required to best preserve and promote minority language education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xml:space="preserve">  The plaintiffs also cite </w:t>
      </w:r>
      <w:r>
        <w:rPr>
          <w:rFonts w:ascii="arial" w:eastAsia="arial" w:hAnsi="arial" w:cs="arial"/>
          <w:i/>
          <w:color w:val="000000"/>
          <w:sz w:val="20"/>
          <w:lang w:val="en-US" w:eastAsia="en-US" w:bidi="ar-SA"/>
        </w:rPr>
        <w:t>Manitoba Schools Reference</w:t>
      </w:r>
      <w:r>
        <w:rPr>
          <w:rFonts w:ascii="arial" w:eastAsia="arial" w:hAnsi="arial" w:cs="arial"/>
          <w:color w:val="000000"/>
          <w:sz w:val="20"/>
          <w:lang w:val="en-US" w:eastAsia="en-US" w:bidi="ar-SA"/>
        </w:rPr>
        <w:t xml:space="preserve">, where the Court held that s. 23 should be construed remedially, in recognition of previous injustices that have gone unredressed. They also point to </w:t>
      </w:r>
      <w:r>
        <w:rPr>
          <w:rFonts w:ascii="arial" w:eastAsia="arial" w:hAnsi="arial" w:cs="arial"/>
          <w:i/>
          <w:color w:val="000000"/>
          <w:sz w:val="20"/>
          <w:lang w:val="en-US" w:eastAsia="en-US" w:bidi="ar-SA"/>
        </w:rPr>
        <w:t>Solski,</w:t>
      </w:r>
      <w:r>
        <w:rPr>
          <w:rFonts w:ascii="arial" w:eastAsia="arial" w:hAnsi="arial" w:cs="arial"/>
          <w:color w:val="000000"/>
          <w:sz w:val="20"/>
          <w:lang w:val="en-US" w:eastAsia="en-US" w:bidi="ar-SA"/>
        </w:rPr>
        <w:t xml:space="preserve"> where it was noted that "in previous cases, this Court has insisted that s. 23 must be interpreted so as to facilitate the reintegration of children who have been isolated from the cultural community the minority school is designed to protect and develop" (at para. 33). The plaintiffs suggest these principles militate in favour of a broader provision allowing the admission of non-rightsholders as a means of repairing the damage caused by the forces of assimilation.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Additionally, the plaintiffs suggest that an Expanded Admissions Policy is incidental to the CSF's right to management and control. They say the CSF has superior knowledge of the needs and concerns of the minority French-language community, and has concluded that some flexibility to admissions is required to counter assimilative pressures. They say the Province should defer to the flexible, case-by-case approach to admissions that the CSF prefers.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The defendants disagree. They emphasize that the purpose of s. 23 and the rights it confers are two different things. In the defendants' submission, the Court cannot extend the reach of s. 23 beyond the clearly delineated categories of rightsholders in the guise of interpreting what s. 23 means. They take the position that the interpretation proposed by the plaintiffs would gut s. 23 of its meaning and skew the balance it strikes between competing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The defendants urge that allowing the CSF to admit non-rightsholder is particularly problematic because children admitted pursuant to an expanded policy would be counted among the numbers warranting particular programmes or facilities. The defendants press the additional cost associated with minority language education, and stress the legitimate interest governments have in controlling enrolment. They also note the evidence showing that some educators feared the potential dilutive impact of expanded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xml:space="preserve">  In the defendants' submission,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expressly enumerates the three categories of rightsholders whose children are eligible to attend minority schools. The Province relies on </w:t>
      </w:r>
      <w:r>
        <w:rPr>
          <w:rFonts w:ascii="arial" w:eastAsia="arial" w:hAnsi="arial" w:cs="arial"/>
          <w:i/>
          <w:color w:val="000000"/>
          <w:sz w:val="20"/>
          <w:lang w:val="en-US" w:eastAsia="en-US" w:bidi="ar-SA"/>
        </w:rPr>
        <w:t>Commission scolaire Francophone du Yukon no. 23 v. Yukon (Procureure générale),</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2014 YKCA 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Yukon- CA</w:t>
      </w:r>
      <w:r>
        <w:rPr>
          <w:rFonts w:ascii="arial" w:eastAsia="arial" w:hAnsi="arial" w:cs="arial"/>
          <w:color w:val="000000"/>
          <w:sz w:val="20"/>
          <w:lang w:val="en-US" w:eastAsia="en-US" w:bidi="ar-SA"/>
        </w:rPr>
        <w:t xml:space="preserve">] at para. 221, where Mr. Justice Groberman concluded that the specificity of the language in s. 23 "indicates a deliberate drawing of the line between constitutionally protected rights and continuing Provincial legislative jurisdiction" over education. They also point to </w:t>
      </w:r>
      <w:r>
        <w:rPr>
          <w:rFonts w:ascii="arial" w:eastAsia="arial" w:hAnsi="arial" w:cs="arial"/>
          <w:i/>
          <w:color w:val="000000"/>
          <w:sz w:val="20"/>
          <w:lang w:val="en-US" w:eastAsia="en-US" w:bidi="ar-SA"/>
        </w:rPr>
        <w:t>Gosselin (Tutor of) v Quebec (Attorney General)</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2005 SCC 15</w:t>
        </w:r>
      </w:hyperlink>
      <w:r>
        <w:rPr>
          <w:rFonts w:ascii="arial" w:eastAsia="arial" w:hAnsi="arial" w:cs="arial"/>
          <w:color w:val="000000"/>
          <w:sz w:val="20"/>
          <w:lang w:val="en-US" w:eastAsia="en-US" w:bidi="ar-SA"/>
        </w:rPr>
        <w:t>, at para. 2, where the Court rejected an equality argument by non-rightsholders looking to enrol their children in a minority school on the basis that their admission would impermissibly "read out of the Constitution the carefully crafted compromise contained in s.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xml:space="preserve">  There is no doubt that the CSF acted in breach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by admitting children to its programmes whose parents were not rightsholders or Immigrant Rightsholders. The plaintiffs do not appear to contest that this is the case. While many other provinces have enacted legislation that explicitly allows minority school boards to admit the children of non-rightsholders, British Columbia has done so in a limited way, allowing only the admission of children of Immigrant Rightsholders. By admitting children pursuant to the Descendant and Francophile Clauses, the CSF acted in breach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The evidence establishes that the CSF admitted at least 83 students pursuant to the Francophile clause and 73 students pursuant to the Descendant Clause of its Expanded Admissions Policy. The CSF was not shy about rejecting admissions requests where members of an admissions committee were not persuaded the admission would be appropriate for the school or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The evidence shows that expanded admissions policies are common, but controversial. Dr. Landry acknowledged a risk to admitting children without adequate French skills to minority language schools. The CSF's community of rightsholder parents also expressed concern about the possible effects of an Expanded Admissions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On the other hand, none of the educators pointed to any negative impact of admitting children of Eligible Non-Rightsholders. Several educators, like Ms. Picard and Mr. Gosselin, testified that the admission of non-rightsholders had a positive impact on the school community and the level of French spoken in the school. The only evidence on the subject suggests that children admitted pursuant to Admissions Committees did not fall behind their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In my view, there is no evidence that admitting non-rightsholders to CSF schools pursuant to the Expanded Admissions Policy harmed CSF schools. However, it also falls short of establishing that admitting non-rightsholders had a positive impact on the level of French spoken and the Francophone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xml:space="preserve">  The primary issue to be decided is whether the remedial nature of s. 23 requires the Province to enact legislation allowing the CSF the discretion to admit non-rightsholders. I conclude that this question was decided in the negative in </w:t>
      </w:r>
      <w:r>
        <w:rPr>
          <w:rFonts w:ascii="arial" w:eastAsia="arial" w:hAnsi="arial" w:cs="arial"/>
          <w:i/>
          <w:color w:val="000000"/>
          <w:sz w:val="20"/>
          <w:lang w:val="en-US" w:eastAsia="en-US" w:bidi="ar-SA"/>
        </w:rPr>
        <w:t>Yukon- SCC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Yukon- SCC</w:t>
      </w:r>
      <w:r>
        <w:rPr>
          <w:rFonts w:ascii="arial" w:eastAsia="arial" w:hAnsi="arial" w:cs="arial"/>
          <w:color w:val="000000"/>
          <w:sz w:val="20"/>
          <w:lang w:val="en-US" w:eastAsia="en-US" w:bidi="ar-SA"/>
        </w:rPr>
        <w:t>, the Court considered an appeal to a claim by the Yukon Francophone School Board (the "Yukon School Board") against the Yukon government in connection with what it said were deficiencies in minority language education. By the time the matter reached the SCC, the primary issue was whether there was a reasonable apprehension of bias on the part of the trial judge. A secondary issue concerned whether the Yukon School Board could unilaterally decide to admit the children of non-rightsholders.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 Commission Scolaire Francophone du Yukon No. 23 c. Procureure Générale du Territoire du Yukon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2011 YKSC 57</w:t>
        </w:r>
      </w:hyperlink>
      <w:r>
        <w:rPr>
          <w:rFonts w:ascii="arial" w:eastAsia="arial" w:hAnsi="arial" w:cs="arial"/>
          <w:color w:val="000000"/>
          <w:sz w:val="20"/>
          <w:lang w:val="en-US" w:eastAsia="en-US" w:bidi="ar-SA"/>
        </w:rPr>
        <w:t xml:space="preserve">, the trial judge considered whether the right to manage admissions to minority schools flows from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 particularly the minority's right to control matters that impact the culture and language of a school. He explained that the Yukon School Board had been delegated the authority to admit only the children of rightsholders and Immigrant Rightsholders (at paras. 741-743). The Yukon School Board implemented a policy that allowed admission of students with a Francophone ancestor, those with an Immigrant Rightsholder parent or a parent that speaks neither French nor English, and Francophiles (at para. 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The trial judge considered that s. 23 modified the Territory's jurisdiction over education, making ministerial power subordinate to the decision-making power of a Francophone school board (at para. 759). He determined that the three categories of rightsholders noted in s. 23 were not meant to be exhaustive (at para. 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xml:space="preserve">  Given the minority's right to management and control over matters going to language and culture, and the remedial purpose of s. 23, the trial judge held "that the control and management of admission of rightsholders and non rightsholders falls to the [Yukon School Board]" (at para. 762). He concluded that the Yukon government was only able to intervene where the official minority threatened to assimilate the majority, or where the minority school no longer fulfilled its mandate under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763). He therefore found that any limitation to the Yukon School Board's right to manage and control admissions was unconstitutional (at para. 764).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xml:space="preserve">  The issue was considered on appeal, in </w:t>
      </w:r>
      <w:r>
        <w:rPr>
          <w:rFonts w:ascii="arial" w:eastAsia="arial" w:hAnsi="arial" w:cs="arial"/>
          <w:i/>
          <w:color w:val="000000"/>
          <w:sz w:val="20"/>
          <w:lang w:val="en-US" w:eastAsia="en-US" w:bidi="ar-SA"/>
        </w:rPr>
        <w:t>Yukon-CA</w:t>
      </w:r>
      <w:r>
        <w:rPr>
          <w:rFonts w:ascii="arial" w:eastAsia="arial" w:hAnsi="arial" w:cs="arial"/>
          <w:color w:val="000000"/>
          <w:sz w:val="20"/>
          <w:lang w:val="en-US" w:eastAsia="en-US" w:bidi="ar-SA"/>
        </w:rPr>
        <w:t xml:space="preserve">. There, Mr. Justice Groberman, writing for the Court, rejected the conclusion that s. 23 gives the minority a right to recruit non-rightsholders into their schools. The Court considered that the Territory's jurisdiction over education extended to imposing the language of instruction upon non-rightsholders attending publicly-funded schools (at para. 218). While he acknowledged that courts have moved away from the position that language rights must be interpreted narrowly because they are the product of political compromise (at para. 220), he observed that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the Court concluded that the specificity in s. 23 drew a firm line between the rights of the minority and the Province's jurisdiction over education (at para. 221):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language of s. 23 does not support the proposition that the linguistic minority is to have the right to admit whatever students it wishes. Section 23 sets out very specific categories of students who are entitled to education in minority language schools. On its face, the specificity indicates a deliberate drawing of the line between constitutionally protected rights and continuing Provincial legislative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Mr. Justice Groberman went on to observe that a purposive interpretation of s. 23 would not go so far as to allow the admission of non-rightsholders. He expressed the view that allowing non-rightsholders to attend minority language schools could jeopardize the language and culture of the minority (at para. 224-226), and concluded that s. 23 does not give the minority the right to unilaterally set admission criteria so as to accept children of non-rightsholders (at para. 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Despite this conclusion, Mr. Justice Groberman made it clear that he was focused on the question of whether s. 23 unconditionally granted the minority the right to manage and control the admission of non-rightsholders. He left it open to the minority to argue for a relaxed admissions policy to ensure the programme's ongoing viability as a school (at para. 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xml:space="preserve">  When the issue arose again in </w:t>
      </w:r>
      <w:r>
        <w:rPr>
          <w:rFonts w:ascii="arial" w:eastAsia="arial" w:hAnsi="arial" w:cs="arial"/>
          <w:i/>
          <w:color w:val="000000"/>
          <w:sz w:val="20"/>
          <w:lang w:val="en-US" w:eastAsia="en-US" w:bidi="ar-SA"/>
        </w:rPr>
        <w:t>Yukon- SCC</w:t>
      </w:r>
      <w:r>
        <w:rPr>
          <w:rFonts w:ascii="arial" w:eastAsia="arial" w:hAnsi="arial" w:cs="arial"/>
          <w:color w:val="000000"/>
          <w:sz w:val="20"/>
          <w:lang w:val="en-US" w:eastAsia="en-US" w:bidi="ar-SA"/>
        </w:rPr>
        <w:t>, the Court framed the issue as "whether s. 23 grants the [Yukon School Board] the unilateral power to admit students other than those who are 'eligible' ... This raises questions about the allocation of constitutional powers."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The Court considered that s. 23 establishes the general framework for the provision of minority language education, and, where the numbers warrant, gives certain Canadian citizens the right to have their children receive a minority language education (at para. 67). They also noted that language rights must be balanced against the constitutional powers of the provinces, including the power over education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xml:space="preserve">  The Court noted that provinces and territories have the power to delegate the function of setting admission criteria to school boards, including the discretion to admit non-rightsholders (at para. 69). The provinces also have the authority to offer a higher level of rights protection than is envisioned by s. 23 (at para. 70). Madam Justice Abella, for the Court, reviewed the extent to which Canada's provinces and territories had done so (at paras. 71-73). Ultimately, the Court concluded that since the Yukon government had not delegated the authority to set admission criteria to the Yukon School Board, it did not have the authority to unilaterally set admission criteria. The Court left it open to the Yukon School Board to claim "that the Yukon has insufficiently ensured compliance with s. 23, and nothing stops the Board from arguing that the Yukon's approach to admissions prevents the realization of s. 23's purpose: see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at pp. 362-65"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xml:space="preserve">  On first look, </w:t>
      </w:r>
      <w:r>
        <w:rPr>
          <w:rFonts w:ascii="arial" w:eastAsia="arial" w:hAnsi="arial" w:cs="arial"/>
          <w:i/>
          <w:color w:val="000000"/>
          <w:sz w:val="20"/>
          <w:lang w:val="en-US" w:eastAsia="en-US" w:bidi="ar-SA"/>
        </w:rPr>
        <w:t>Yukon- SCC</w:t>
      </w:r>
      <w:r>
        <w:rPr>
          <w:rFonts w:ascii="arial" w:eastAsia="arial" w:hAnsi="arial" w:cs="arial"/>
          <w:color w:val="000000"/>
          <w:sz w:val="20"/>
          <w:lang w:val="en-US" w:eastAsia="en-US" w:bidi="ar-SA"/>
        </w:rPr>
        <w:t xml:space="preserve"> appears at odds with the decisions below. Both of the decisions below considered the extent to which the right to management and control includes the right to set admissions policies. The trial judge held that the right to management and control necessarily includes all matters concerning language and culture, including admissions policy. The Yukon Court of Appeal took the view that the classes of rightsholders noted in s. 23 demarcate the line between the linguistic minority and the territory's respective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The decision of the Supreme Court of Canada coincides with that of the Yukon Court of Appeal. Madam Justice Abella made it clear that the Court was deciding the extent to which s. 23 gives school boards the unilateral power to admit non-rightsholders. That, she said, was a matter of the respective jurisdiction of the minority school board and the territorial government (at para. 66). In reaching the conclusion that the Yukon School Board had no jurisdiction to admit non-rightsholders absent delegation, the SCC implicitly held that the question of admissions fell within the territory's jurisdiction over education, and was not overtaken by the minority's rights pursuant to s. 23 unless it was delegated to the linguistic minority. This is consistent with the decision by the Yukon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Confusion seems to arise out of the fact that the SCC left it open for the Yukon School Board to challenge the regulation on the basis that "the Yukon has insufficiently ensured compliance with s. 23", or "prevents the realization of s. 23's purpose" (at para. 74). I do not take this to mean that the Court did not resolve the s. 23 issue that was before it. Rather, in that case, there was a real issue that low enrolment might threaten the viability of Yukon's only minority language school. Thus, the Court was likely doing as the Yukon Court of Appeal did, and leaving it open to the Board to argue that non-rightsholders ought to be admitted to ensure that the school continues to exist going forward, lest the objects of s. 23 not be achieved in the Yukon.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xml:space="preserve">  Thus, in my view, the question whether a minority school board has the unilateral ability to admit non-rightsholders was decided in </w:t>
      </w:r>
      <w:r>
        <w:rPr>
          <w:rFonts w:ascii="arial" w:eastAsia="arial" w:hAnsi="arial" w:cs="arial"/>
          <w:i/>
          <w:color w:val="000000"/>
          <w:sz w:val="20"/>
          <w:lang w:val="en-US" w:eastAsia="en-US" w:bidi="ar-SA"/>
        </w:rPr>
        <w:t>Yukon-SCC</w:t>
      </w:r>
      <w:r>
        <w:rPr>
          <w:rFonts w:ascii="arial" w:eastAsia="arial" w:hAnsi="arial" w:cs="arial"/>
          <w:color w:val="000000"/>
          <w:sz w:val="20"/>
          <w:lang w:val="en-US" w:eastAsia="en-US" w:bidi="ar-SA"/>
        </w:rPr>
        <w:t>. The line between the minority's rights to management and control and the Province's jurisdiction over education is demarcated by the three classes of rightsholders noted in s. 23. Unless the Province delegates greater authority to the minority to admit non-rightsholders, the question of who is admissible to those schools remains in the Province's jurisdiction. Since the Province only allows the admission of rightsholders and Immigrant Rightsholders, the CSF is not entitled to admit students falling into the Francophile and Grandparent categories unless they would otherwise be the children of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I acknowledge that the plaintiffs argued that an Expanded Admissions Policy is vital to ensuring the continued success and viability of British Columbia's minority schools. This is inconsistent with their argument in the rest of the case, where they urge that the CSF can expect great increases in enrolment. In my view, based on the totality of the evidence in this case, there is no threat to the continued viability of any CSF programmes that would require the admission of non-rightsholders to CSF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xml:space="preserve">  Although the defendants plead an injunction in connection with the admission of non-rightsholders, they agree that given that the CSF has discontinued its Expanded Admission Policy, an injunction is no longer necessary. A declaration that the legislative provision is valid would suffice as a remedy from the defendants' perspective. I therefore declare that s. 166.25(9)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is a valid exercise of the Province's constitutional jurisdiction over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 The Effect of the CSF's Having Admitted Non-Rightsholders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xml:space="preserve">  The final question is what should be done about the non-rightsholders that have already been admitted to CSF programmes. The defendants argue that the Province should not be required to build facilities on the basis of students who were admitted in contravention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They say that non-rightsholders ought to be excluded from the calculation of the number of students likely to enrol in a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The evidence establishes that about 150 children of non-rightsholders were admitted to CSF programmes. There is a higher incremental cost to educating them in a minority rather than a majority school. In my view, given that the non-rightsholders were improperly admitted, when I calculate the current enrolment at CSF schools, I will take into account any non-rightsholders that were admitted. Sometimes the number of non-rightsholders admitted to the programme is insignificant. However, in those instances where non-rightsholders make up a significant proportion of the current enrolment, I will take that into account when determining how many children of rightsholders are likely to attend the programme going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As well, the children of non-rightsholders attending CSF schools could become rightsholders themselves for their children, and could also create sibling rights within their families. There is a multiplying effect to their improper admission. It exceeds the role of the Court to decide whether those persons should have their rights limited into the future. I leave it to the legislature to decide whether it is worthwhile to enact legislation to restrict the admission of these persons and their children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 Summary of Conclusions on the Approach to Calculating the Number of Students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Based on the foregoing, it is possible to arrive at an overall approach to calculating the number of children that can be expected to enrol in a CSF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To summarize, three categories of rightsholders are entitled to have their children attend minority language schools: those who are rightsholders because of their mother tongue, their education or their children's education. The relevant number for s. 23 is the number of children of rightsholders who could reasonably be expected to take advantage of a service, which will fall somewhere between the known demand and the total number of rightsholders in an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The known demand is simple to calculate. It can be taken from the evidence of enrolment at the CSF school. From that total I will deduct any non-rightsholders admitted pursuant to the CSF's Expanded Admissions Policy where such children make up a significant proportion of students enrolled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The total population of students eligible for the service is more challenging to estimate. The 2011 census only counted the number of Mother-Tongue Rightsholders' children. That number includes non-citizens that would be rightsholders; their children should not be included in the universe of eligible children. It also likely undercounts the number of Mother-Tongue Rightsholders' children to a limited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The census provides no insight into the number of Education and Sibling Rightsholders' children in the Province. The Knowledge and Regular Home Use categories are not a reliable proxy for the children of Education and Sibling Rightsholders. Overall, I conclude that it is impossible to quantify the number of children of Sibling and Education Rightsholders in the province, although the evidence suggests that number is quite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However, since the Court is concerned with calculating the number of children that are likely to attend a programme, the outer boundaries of the range need not be established with precision; they may be estimated based on the best available evidence. To require the plaintiffs to attempt to quantify the entire universe of rightsholders would impose an undue burden on them. Instead, the appropriate approach is to take into account the total universe of s. 23(1)(a) (Mother-Tongue) rightsholders in each community based on the census data, while bearing in mind the limitations to that universe.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From there, the Court can attempt to calculate a proxy participation or uptake rate. The number likely to take advantage of the service should be estimated based on all the contextual evidence, which may include drawing inferences based on the experiences in communities with similar characteristics, demographic and community-specific information like the density and distribution of the population in the school's catchment area. A court should also ensure that schools are built for whatever growth is reasonably foreseeable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The CSF will usually see some modest enrolment increases upon the construction of a new, homogeneous French-language school. The extent of those enrolment increases will vary based on the context of the given community. However, since British Columbia has very high rates of Exogamy and assimilation, low rates of transmission of the French language to children and because Francophones in British Columbia are highly dispersed, in most instances the increases in enrolment will not be significant. Further, the evidence is clear that the CSF can always expect much lower participation rate in secondary grades as compared to elementary grades, and will see some attrition as a cohort moves through their school years. Its programmes will also tend to start small, and grow with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VIII.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xml:space="preserve">  Once a court determines the appropriate number of children, the analysis shifts to what the programmes and services the minority language group is entitled to based on those numbers.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it was established that what services the numbers will warrant falls along a sliding scale. The court must situate the number of children on the sliding scale to determine to what facilities and services that number is entitled. Then, the question becomes whether those children are receiving appropriate facilities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I begin this chapter by explaining the approach that I will take to the law on the sliding scale of entitlement. Then, I consider the evidence concerning the importance of physical facilities to enrolment decisions and the role that they should play in the entitlement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The Sliding Scale of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the Court held that s. 23(3)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invokes a sliding scale of rights. Chief Justice Dickson explained the sliding scale as follows (at 365 to 368):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 way of interpreting s. 23, in my opinion, is to view the section as providing a general right to minority language instruction. Paragraphs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and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of subs. (3) qualify this general right: para.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adds that the right to instruction is only guaranteed where the "number of children" warrants, while para.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further qualifies the general right to instruction by adding that where numbers warrant it includes a right to "minority language educational facilities". In my view, subs. (3)(</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is included in order to indicate the upper range of possible institutional requirements which may be mandated by s. 23 (the government may, of course, provide more than the minimum required by s.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Another way of expressing the above interpretation of s. 23 is to say that s. 23 should be viewed as encompassing a "sliding scale" of requirement, with subs. (3)(</w:t>
      </w:r>
      <w:r>
        <w:rPr>
          <w:rFonts w:ascii="arial" w:eastAsia="arial" w:hAnsi="arial" w:cs="arial"/>
          <w:i/>
          <w:color w:val="000000"/>
          <w:sz w:val="20"/>
          <w:u w:val="single"/>
          <w:lang w:val="en-US" w:eastAsia="en-US" w:bidi="ar-SA"/>
        </w:rPr>
        <w:t>b</w:t>
      </w:r>
      <w:r>
        <w:rPr>
          <w:rFonts w:ascii="arial" w:eastAsia="arial" w:hAnsi="arial" w:cs="arial"/>
          <w:color w:val="000000"/>
          <w:sz w:val="20"/>
          <w:u w:val="single"/>
          <w:lang w:val="en-US" w:eastAsia="en-US" w:bidi="ar-SA"/>
        </w:rPr>
        <w:t>) indicating the upper level of this range and the term "instruction" in subs. (3)(</w:t>
      </w:r>
      <w:r>
        <w:rPr>
          <w:rFonts w:ascii="arial" w:eastAsia="arial" w:hAnsi="arial" w:cs="arial"/>
          <w:i/>
          <w:color w:val="000000"/>
          <w:sz w:val="20"/>
          <w:u w:val="single"/>
          <w:lang w:val="en-US" w:eastAsia="en-US" w:bidi="ar-SA"/>
        </w:rPr>
        <w:t>a</w:t>
      </w:r>
      <w:r>
        <w:rPr>
          <w:rFonts w:ascii="arial" w:eastAsia="arial" w:hAnsi="arial" w:cs="arial"/>
          <w:color w:val="000000"/>
          <w:sz w:val="20"/>
          <w:u w:val="single"/>
          <w:lang w:val="en-US" w:eastAsia="en-US" w:bidi="ar-SA"/>
        </w:rPr>
        <w:t>) indicating the lower level. The idea of a sliding scale is simply that s. 23 guarantees whatever type and level of rights and services is appropriate in order to provide minority language instruction for the particular number of students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only way to avoid the weaknesses of the separate rights approach would be to lower the numbers requirement -- with the result that it would be impractical to require governments to provide more than the minimum level of minority language educational services. </w:t>
      </w:r>
      <w:r>
        <w:rPr>
          <w:rFonts w:ascii="arial" w:eastAsia="arial" w:hAnsi="arial" w:cs="arial"/>
          <w:color w:val="000000"/>
          <w:sz w:val="20"/>
          <w:u w:val="single"/>
          <w:lang w:val="en-US" w:eastAsia="en-US" w:bidi="ar-SA"/>
        </w:rPr>
        <w:t>In my view, it is more sensible, and consistent with the purpose of s. 23, to interpret s. 23 as requiring whatever minority language educational protection the number of students in any particular case warrants. Section 23 simply mandates that governments do whatever is practical in the situation to preserve and promote minority language education.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outer limits to the sliding scale of s. 23. In general, s. 23 may not require that anything be done in situations where there are a small number of minority language students. There is little that governments can be required to do, for instance, in the case of a solitary, isolated minority language student. </w:t>
      </w:r>
      <w:r>
        <w:rPr>
          <w:rFonts w:ascii="arial" w:eastAsia="arial" w:hAnsi="arial" w:cs="arial"/>
          <w:color w:val="000000"/>
          <w:sz w:val="20"/>
          <w:u w:val="single"/>
          <w:lang w:val="en-US" w:eastAsia="en-US" w:bidi="ar-SA"/>
        </w:rPr>
        <w:t>Section 23 requires, at a minimum, that "instruction" take place in the minority language: if there are too few students to justify a programme which qualifies as "minority language instruction", then s. 23 will not require any programmes be put in place</w:t>
      </w:r>
      <w:r>
        <w:rPr>
          <w:rFonts w:ascii="arial" w:eastAsia="arial" w:hAnsi="arial" w:cs="arial"/>
          <w:color w:val="000000"/>
          <w:sz w:val="20"/>
          <w:lang w:val="en-US" w:eastAsia="en-US" w:bidi="ar-SA"/>
        </w:rPr>
        <w:t>. However, the question of what is the "minimum" programme which could constitute "instruction", and the further question of how many students might be required in order to warrant such a programme, are not at issue in this appeal and I will not be addressing them. The question at issue here concerns only the "upper level" of the possible range of requirements under s. 23 -- that is, the requirements where there are a relatively large number of s. 23 students.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xml:space="preserve">  According to Dickson C.J.C.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s. 23 generally affords a right to instruction that varies depending on the number of students in a given region. At the low end, numbers may justify only instruction. At the upper end, the numbers may warrant instruction in minority language educational facilities provided out of public funds. The sliding scale guarantees whatever type and level of services is appropriate for the particular number of students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Chief Justice Dickson also made reference to the outer limits of s. 23 (at 366). He explained that, at the lower end, where there is a small number of minority language students (such as an isolated minority language student), there is little that governments can be required to do. If there are too few students to justify a programme, then s. 23 will not require any programmes. However, since it was not before him, he did not go on to consider how many students might be required to justify instruction at the lower end of the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At the upper end, the Chief Justice explained, the quality of education provided to the minority should in principle be on a basis of equality to the majority (at 378).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Against that backdrop, I turn to how the numbers should be situated on the sliding scale, before addressing the threshold for warranting instruction, the high-end right to substantively equivalent facilities, and the service warranted in between those two extremities.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Situating the Numbers on the Sliding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xml:space="preserve">  Once a court has estimated the number of children likely to attend a proposed programme, the court must place the number of children on the sliding scale. When deciding where along the sliding scale a group should fall, the Court should be concerned with two factors: the services appropriate for the numbers of students involved, and the cost of the contemplated services: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384-385.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xml:space="preserve">  The parties agree that these two considerations should not be given equal weight. Pedagogical considerations are given more weight than cost. In relation to pedagogical concerns, the plaintiffs urge that the requirements must be tailored to the needs of minority students to recognize that pedagogical standards established for the majority should not trump the cultural and linguistic concerns of the minority: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xml:space="preserve">  The defendants agree that pedagogical concerns are given the most weight, but they emphasize the importance of cost considerations. They argue citing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384 that cost considerations are important to s. 23 because the right is not absolute, and it will be financially impractical to give all minority students the same services given to a large majority group. They also stress the importance of context, and that the analysis must consider what is appropriate given the particular community and situation, citing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xml:space="preserve">  As the parties stated, the Court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explained that the numbers must be situated on the sliding scale with reference to two factors: first, the services appropriate, in pedagogical terms, for the number of students involved; and second, the cost of the contemplated services. The pedagogical factor relates to student welfare, and does not require governments to provide programmes and facilities inappropriate for the number of students. The cost factor recognizes that it is impractical to afford to every group of minority language students the same services that a large group of s. 23 students is afforded. Since the pedagogical factor will usually prevent the imposition of unrealistic financial demands on the state, the pedagogical factor is given more weight than the cost factor. This also protects the remediation goals of s. 23 (at 384-385).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xml:space="preserve">  Chief Justice Dickson's focus on pedagogy and costs suggests that the analysis must be a practical one. The same concern is reflected in his comment that the question is "whatever type and level of rights and services is appropriate in order to provide minority language instruction for the particular number of students involved" (at 366). Similarly, when discussing why a sliding scale is preferable to a separate rights approach, Dickson C.J.C. emphasized that s. 23 "simply mandates that governments do </w:t>
      </w:r>
      <w:r>
        <w:rPr>
          <w:rFonts w:ascii="arial" w:eastAsia="arial" w:hAnsi="arial" w:cs="arial"/>
          <w:color w:val="000000"/>
          <w:sz w:val="20"/>
          <w:u w:val="single"/>
          <w:lang w:val="en-US" w:eastAsia="en-US" w:bidi="ar-SA"/>
        </w:rPr>
        <w:t>whatever is practical in the situation</w:t>
      </w:r>
      <w:r>
        <w:rPr>
          <w:rFonts w:ascii="arial" w:eastAsia="arial" w:hAnsi="arial" w:cs="arial"/>
          <w:color w:val="000000"/>
          <w:sz w:val="20"/>
          <w:lang w:val="en-US" w:eastAsia="en-US" w:bidi="ar-SA"/>
        </w:rPr>
        <w:t xml:space="preserve"> to preserve and promote minority language education" [Emphasis added] (at 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To determine what is practical for governments to provide in terms of pedagogy and cost, it makes sense to look to what government would provide for a similar number of majority students in the same community. The minority language community should, however, be given some leeway in deciding what is pedagogically appropriate because it is most in tune with what is pedagogically appropriate according to the minority's linguistic and cultural context. Within reason, it may be pedagogically appropriate for the minority to operate smaller schools than the majority would in the same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To pass the low-end threshold such that the numbers warrant instruction, the CSF must show that it would be practical, pedagogically and in terms of cost, to instruct that number of students. Given its right to management and control over matters going to language and culture, it falls within the CSF's jurisdiction to decide when it is pedagogically appropriate and cost-effective to instruct that number of children. It is entitled to some deference in its assessment. It makes sense that instruction is warranted wherever the CSF determines that it is pedagogically and cost-appropriate to instruct that number of students in a class, even a split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The entitlement passes the upper threshold when the programme has numbers that are comparable to the number of students in typical majority-language programme in the same geographic area. If school populations are comparable, and schools in that area are typically built to a similar capacity as the proposed minority programmes, there is no question that it is pedagogically appropriate and cost-effective for minority language schools to offer equivalent spaces and facilities to those offered at majority language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That leaves the middle of the sliding scale, where the numbers are sufficient to form a class, and thus warrant instruction, but insufficient to form a school of a comparable size to other schools in the community, such that fully equivalent facilities are not warranted. In those circumstances, the minority is entitled to something greater than instruction, but less than fully equivalent homogeneous school facilities. What exactly the minority is entitled to will fall to be determined based on considerations of pedagogy and cost, and the particular context surrounding the community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I also note that there is a temporal aspect to the question of where the numbers fall on the sliding scale. The numbers will warrant different facilities at different times. When a CSF programme begins, it may have only 10 to 20 students. In that instance, the numbers will fall toward the lower end of the sliding scale, warranting instruction. As the programme grows, it may come to warrant more. As its enrolment approaches that of comparable majority schools in the same area, the numbers may come to warrant homogeneous facilities equivalent to those provided to the majority.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S. 23(3)(a): The Instruction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xml:space="preserve">  The plaintiffs acknowledge that there is a minimum threshold to trigger the lower-extremity right to instruction. In their submission, though, that threshold is very low. They note that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the Court suggested (at 367) that a solitary, isolated minority language student might not warrant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xml:space="preserve">  I do not take the defendants to argue that any of the programmes in the claim fall below the threshold for warranting basic instruction in the minority language. Further, the CSF has the jurisdiction to determine whether the numbers are sufficient to establish a programme at first instance, as envisioned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S. 23(3)(b): The Equivalence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xml:space="preserve">  There is a second threshold at the upper extremity of s. 23. Where the numbers surpass that threshold, rightsholders are entitled to full educational facilities distinct from, and equivalent to, those found in majority schools.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Dickson C.J.C. explained that at the upper end of the sliding scale, s. 23 includes a right to minority language education facilities (at 365). Madam Justice Karatatsanis elaborated on what is warranted at the upper end of the sliding scale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29. Citing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Manitoba Schools Reference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she explained that the upper limit of the sliding scale entitles the community to "full educational facilities that are distinct from, and equivalent to, those found in the schools of the majority language group", which are "accessible and, where possible, located in the community where the children reside".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When determining whether minority facilities are equivalent to those found in the schools of the majority, the question is "[w]ould reasonable rights-holder parents be deterred from sending their children to a minority language school because it is meaningfully inferior to an available majority language school?"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xml:space="preserve"> at para. 35, see also para. 77). As the plaintiffs suggest, the test looks at substantive equivalence, from the perspective of a reasonable rightsholder, based on a local comparison, with a view to the global educational experience. I discuss each element in turn.</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Substantive Equivalence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xml:space="preserve">  The plaintiffs and defendants both emphasize the importance of substantive rather than formal equivalence. The plaintiffs also urge that courts should avoid undue focus on markers of formal equivalence, such as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funding, which they say would distort rather than enlighten the inquiry. They emphasize the importance of treating the CSF differently to achieve true equivalence.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xml:space="preserve">  Section 23 does not specifically refer to the quality of education the provinces must provide for s. 23 students. However, from the earliest s. 23 jurisprudence, courts have stated that the quality of education should be provided on the basis of equality with the majority.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Chief Justice Dickson opined that where a minority language community has a right to management and control at the upper extremity of the sliding scale, "the quality of education provided to the minority should in principle be on a basis of equality with the majority". He went on to observe that this does not require identical education systems, as "the demands of minority language education itself, make such a requirement impractical and undesirable." Thus, the Court required that funds allocated for minority language schools be at least equivalent to the funds allocated to majority schools on a per student basis, while noting that special circumstances may warrant allocation of funds exceeding the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allocation to the majority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the Court opined that s. 23 is premised on substantive equality, which "requires that official language minorities be treated differently, if necessary, according to their particular circumstances and needs, in order to provide them with a standard of education equivalent to that of the official language majority." The Court opined that because of the importance of substantive equality, the Minister and the Court of Appeal had inappropriately emphasized the impact of three elements of equality between the two linguistic groups: size of schools, duration of bus rides and quality of education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xml:space="preserve">  Most recently, Madam Justice Karakatsanis addressed the meaning of substantive equality at the upper end of the sliding scale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33. After citing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she confirmed that when giving effect to s. 23 rights, the focus should be on substantive equivalence. What is paramount, she wrote, "is that the educational experience of the children of s. 23 rights holders at the upper end of the sliding scale be of meaningfully similar quality to the educational experience of majority language students"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xml:space="preserve">  Madam Justice Karakatsanis's comments also confirm the importance of context to the substantive equivalence analysis. She explained that, given economies of scale, it should not be unexpected that a minority board may experience higher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She advised that there would be no particular amount that would satisfy the requirements of s. 23 in any given instance. Thus, she cautioned against focusing on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and other markers of formal equivalence, as official language minorities might need to be treated differently to ensure that the education they provide is equivalent to that of the official language community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xml:space="preserve">  I note that Karakatsanis J. stated that, in giving effect to s. 23 rights, the courts should not focus on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as a marker of formal equivalence. I do not take her as saying that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and funding are irrelevant to the equivalence analysis. Read in its entire context, the comments must be understood as suggesting that governments are not likely to meet their duty by providing the same amount of funding,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to minority boards as those of the majority. To ensure substantive equivalence,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funding may need to be higher for minority boards. What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funding a government provides to the majority and the minority, and what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a minority board incurs to provide minority language education, are relevant factors that are important to the overall contextual analysis of whether a minority board has adequate resources to offer a meaningfully similar educational experience and address the remedial objectives of s. 23. Indeed,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allotments can also serve as a marker of substantive equality as well.</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Reasonable Rightsholder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The plaintiffs urge that courts must assess substantive equivalence from the perspective of rightsholder parents. Given that perspective, the plaintiffs submit that the actual perspectives of parents of CSF students are critically important. They say that the Court should give particular weight to the testimony of parents living in the communities at issue about how the facilities and accessibility of minority language schools have affected their evaluation of the educational experience at CSF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The defendants agree that the perspective is that of a rightsholder parent. But, they say that perspective has an objective element. The reasonable rightsholder, they say, should be a reasonably well-informed parent with knowledge of the full spectrum of issues that ought to govern the decision about where to enroll a student. The perspective must not, they say, be that of a parent looking to gather evidence helpful for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Karakatsanis J. explained that the purposive approach to interpreting s. 23 requires courts to approach their analysis from the perspective of a rightsholder. The test is formulated from the perspective of a "reasonable rights-holder" (at par. 35). Indeed,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the Court frequently averts to the "reasonable rights-holder parent" and "reasonable rights holders" (at paras. 35, 40 and 77) and reasonable parents (at para. 38,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The question then becomes whether the perspective of a reasonable rightsholder is an objective or a subjective standard. By urging the Court to give particular weight to the views of rightsholder parents, the plaintiffs suggest a subjective standard. The defendants propose an objective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xml:space="preserve">  The "reasonable rightsholder parent" standard invokes the language and perspective of the "reasonable person" standard that informs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standard was discussed in </w:t>
      </w:r>
      <w:r>
        <w:rPr>
          <w:rFonts w:ascii="arial" w:eastAsia="arial" w:hAnsi="arial" w:cs="arial"/>
          <w:i/>
          <w:color w:val="000000"/>
          <w:sz w:val="20"/>
          <w:lang w:val="en-US" w:eastAsia="en-US" w:bidi="ar-SA"/>
        </w:rPr>
        <w:t>Arland and Arland v. Taylor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[1955] O.R. 131</w:t>
      </w:r>
      <w:r>
        <w:rPr>
          <w:rFonts w:ascii="arial" w:eastAsia="arial" w:hAnsi="arial" w:cs="arial"/>
          <w:color w:val="000000"/>
          <w:sz w:val="20"/>
          <w:lang w:val="en-US" w:eastAsia="en-US" w:bidi="ar-SA"/>
        </w:rPr>
        <w:t xml:space="preserve"> (Ont. C.A.), where Laidlaw J.A., for the court, presented the following, admittedly not comprehensive, definition of the reasonable person (at 141-143):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was in error in those instructions to the jury, and this manner of leaving the case to the jury was the subject of disapproval in </w:t>
      </w:r>
      <w:r>
        <w:rPr>
          <w:rFonts w:ascii="arial" w:eastAsia="arial" w:hAnsi="arial" w:cs="arial"/>
          <w:i/>
          <w:color w:val="000000"/>
          <w:sz w:val="20"/>
          <w:lang w:val="en-US" w:eastAsia="en-US" w:bidi="ar-SA"/>
        </w:rPr>
        <w:t>Kralj v. Murray,</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[1954] O.W.N. 58</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[1954] 1 D.L.R. 781</w:t>
        </w:r>
      </w:hyperlink>
      <w:r>
        <w:rPr>
          <w:rFonts w:ascii="arial" w:eastAsia="arial" w:hAnsi="arial" w:cs="arial"/>
          <w:color w:val="000000"/>
          <w:sz w:val="20"/>
          <w:lang w:val="en-US" w:eastAsia="en-US" w:bidi="ar-SA"/>
        </w:rPr>
        <w:t xml:space="preserve">]. The standard of care by which a jury is to judge the conduct of parties in a case of the kind under consideration is the care that would have been taken in the circumstances by "a reasonable and prudent man". I shall not attempt to formulate a comprehensive definition of "a reasonable man" of whom we speak so frequently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t>
      </w:r>
      <w:r>
        <w:rPr>
          <w:rFonts w:ascii="arial" w:eastAsia="arial" w:hAnsi="arial" w:cs="arial"/>
          <w:color w:val="000000"/>
          <w:sz w:val="20"/>
          <w:u w:val="single"/>
          <w:lang w:val="en-US" w:eastAsia="en-US" w:bidi="ar-SA"/>
        </w:rPr>
        <w:t>I simply say he is a mythical creature of the law whose conduct is the standard by which the Courts measure the conduct of all other persons and find it to be proper or improper in particular circumstances as they may exist from time to time. He is not an extraordinary or unusual creature; he is not superhuman; he is not required to display the highest skill of which anyone is capable; he is not a genius who can perform uncommon feats, nor is he possessed of unusual powers of foresight. He is a person of normal intelligence who makes prudence a guide to his conduct. He does nothing that a prudent man would not do and does not omit to do anything a prudent man would do. He acts in accord with general and approved practice. His conduct is guided by considerations which ordinarily regulate the conduct of human affairs. His conduct is the standard "adopted in the community by persons of ordinary intelligence and prudence."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Blyth v. Birmingham Waterworks Co.</w:t>
      </w:r>
      <w:r>
        <w:rPr>
          <w:rFonts w:ascii="arial" w:eastAsia="arial" w:hAnsi="arial" w:cs="arial"/>
          <w:color w:val="000000"/>
          <w:sz w:val="20"/>
          <w:lang w:val="en-US" w:eastAsia="en-US" w:bidi="ar-SA"/>
        </w:rPr>
        <w:t xml:space="preserve"> (1856), 11 Exch. 781, 156 E.R. 1047, and Mazengarb,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Highway, 2nd ed. 1952, p.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Glasgow Corporation v. Muir et al.</w:t>
      </w:r>
      <w:r>
        <w:rPr>
          <w:rFonts w:ascii="arial" w:eastAsia="arial" w:hAnsi="arial" w:cs="arial"/>
          <w:color w:val="000000"/>
          <w:sz w:val="20"/>
          <w:lang w:val="en-US" w:eastAsia="en-US" w:bidi="ar-SA"/>
        </w:rPr>
        <w:t xml:space="preserve">, [1943] A.C. 448, [1943] 2 All E.R. 414, Lord Macmillan at p. 457 said: "The standard of foresight of the reasonable man is, in one sense, an impersonal test. It eliminates the personal equation and is independent of the idiosyncrasies of the particular person whose conduct is in question. Some persons are by nature unduly timorous and imagine every path beset with lions. Others, of more robust temperament, fail to foresee or nonchalantly disregard even the most obvious dangers. </w:t>
      </w:r>
      <w:r>
        <w:rPr>
          <w:rFonts w:ascii="arial" w:eastAsia="arial" w:hAnsi="arial" w:cs="arial"/>
          <w:color w:val="000000"/>
          <w:sz w:val="20"/>
          <w:u w:val="single"/>
          <w:lang w:val="en-US" w:eastAsia="en-US" w:bidi="ar-SA"/>
        </w:rPr>
        <w:t>The reasonable man is presumed to be free both from over-apprehension and from over-confidence, but there is a sense in which the standard of care of the reasonable man involves in its application a subjective element. It is still left to the judge to decide what, in the circumstances of the particular case, the reasonable man would have had in contemplation, and what, accordingly, the party sought to be made liable ought to have foreseen.</w:t>
      </w:r>
      <w:r>
        <w:rPr>
          <w:rFonts w:ascii="arial" w:eastAsia="arial" w:hAnsi="arial" w:cs="arial"/>
          <w:color w:val="000000"/>
          <w:sz w:val="20"/>
          <w:lang w:val="en-US" w:eastAsia="en-US" w:bidi="ar-SA"/>
        </w:rPr>
        <w:t xml:space="preserve"> Here there is room for diversity of view . . . What to one judge may seem far-fetched may seem to another both natural and probable."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xml:space="preserve">  From </w:t>
      </w:r>
      <w:r>
        <w:rPr>
          <w:rFonts w:ascii="arial" w:eastAsia="arial" w:hAnsi="arial" w:cs="arial"/>
          <w:i/>
          <w:color w:val="000000"/>
          <w:sz w:val="20"/>
          <w:lang w:val="en-US" w:eastAsia="en-US" w:bidi="ar-SA"/>
        </w:rPr>
        <w:t>Arland</w:t>
      </w:r>
      <w:r>
        <w:rPr>
          <w:rFonts w:ascii="arial" w:eastAsia="arial" w:hAnsi="arial" w:cs="arial"/>
          <w:color w:val="000000"/>
          <w:sz w:val="20"/>
          <w:lang w:val="en-US" w:eastAsia="en-US" w:bidi="ar-SA"/>
        </w:rPr>
        <w:t>, I draw several observations about the nature of a reasonable person that, in my view, should apply equally to the reasonable rightsholder parent. The reasonable rightsholder parent must be considered to be a parent of normal intelligence, who makes prudent decisions concerning where to enrol his or her child in school. He or she makes the decisions based on considerations that ordinarily regulate decisions concerning one's children. In the case of school enrolment decisions, concepts like the best interests of one's child, and pragmatic and cultural considerations concerning one's family are likely to be paramount.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Like the reasonable person standard, the reasonable rightsholder parent standard must be considered to have both objective and subjective elements. The analysis must be an impersonal test, such that the reasonable rightsholder parent is presumed to be "free from both over-apprehension and from over-confidence". At the same time, the test must be subjective in the sense that the court must decide what, in the circumstances, a reasonable rightsholder might have considered and foreseen when making school choices for their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xml:space="preserve">  Since the reasonable person test is partly objective, courts must be cautious not to place undue weight on the personal views of any individuals. As alluded to in </w:t>
      </w:r>
      <w:r>
        <w:rPr>
          <w:rFonts w:ascii="arial" w:eastAsia="arial" w:hAnsi="arial" w:cs="arial"/>
          <w:i/>
          <w:color w:val="000000"/>
          <w:sz w:val="20"/>
          <w:lang w:val="en-US" w:eastAsia="en-US" w:bidi="ar-SA"/>
        </w:rPr>
        <w:t>Arland</w:t>
      </w:r>
      <w:r>
        <w:rPr>
          <w:rFonts w:ascii="arial" w:eastAsia="arial" w:hAnsi="arial" w:cs="arial"/>
          <w:color w:val="000000"/>
          <w:sz w:val="20"/>
          <w:lang w:val="en-US" w:eastAsia="en-US" w:bidi="ar-SA"/>
        </w:rPr>
        <w:t xml:space="preserve">, the purpose of the reasonable person test is to do away with individual idiosyncrasies and judge conduct based on an objective standard. In A. Linden and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10th ed. (Toronto: LexisNexis, 2015), the authors explain that the process is designed to remove from the equation the personal judgments of judge and jury to reach a value judgment based on community standards rather than personal biases and whims (at ss. 5.53-5.54):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Trial judges are in error if they ask juries to answer the question, "Did he do what you would have done?" or "What would I have done?", because the standard is not that of "any individual juryman" but of what a "reasonable and prudent man would do or refrain from doing in the circumstances of the particular case" [</w:t>
      </w:r>
      <w:r>
        <w:rPr>
          <w:rFonts w:ascii="arial" w:eastAsia="arial" w:hAnsi="arial" w:cs="arial"/>
          <w:i/>
          <w:color w:val="000000"/>
          <w:sz w:val="20"/>
          <w:lang w:val="en-US" w:eastAsia="en-US" w:bidi="ar-SA"/>
        </w:rPr>
        <w:t>Kralj v. Murray,</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[1954] O.W.N. 58</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[1954] 1 D.L.R. 781</w:t>
        </w:r>
      </w:hyperlink>
      <w:r>
        <w:rPr>
          <w:rFonts w:ascii="arial" w:eastAsia="arial" w:hAnsi="arial" w:cs="arial"/>
          <w:color w:val="000000"/>
          <w:sz w:val="20"/>
          <w:lang w:val="en-US" w:eastAsia="en-US" w:bidi="ar-SA"/>
        </w:rPr>
        <w:t xml:space="preserve"> at 58-59]. So, too, it is not permissible for trial judges to suggest that jurors put themselves in the driver's seat of a defendant's car and ask "Would I have done that?", for "it is improper for juryman to judge the conduct of a person in given circumstances by considering, after the event, what he would or would not have done in the circumstances" [</w:t>
      </w:r>
      <w:r>
        <w:rPr>
          <w:rFonts w:ascii="arial" w:eastAsia="arial" w:hAnsi="arial" w:cs="arial"/>
          <w:i/>
          <w:color w:val="000000"/>
          <w:sz w:val="20"/>
          <w:lang w:val="en-US" w:eastAsia="en-US" w:bidi="ar-SA"/>
        </w:rPr>
        <w:t>Arland</w:t>
      </w:r>
      <w:r>
        <w:rPr>
          <w:rFonts w:ascii="arial" w:eastAsia="arial" w:hAnsi="arial" w:cs="arial"/>
          <w:color w:val="000000"/>
          <w:sz w:val="20"/>
          <w:lang w:val="en-US" w:eastAsia="en-US" w:bidi="ar-SA"/>
        </w:rPr>
        <w:t xml:space="preserve"> at 143].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reasonable person test is employed by our courts to evaluate the conduct of the actors that come before them. The exercise is a unique process in which a value judgment based on community standards is reached. In such pursuits it is imperative to control as much as possible the personal biases and whims of the judge and the jury. The reasonable person test is meant to assist in this task. ... [I]t does inject an aura of objectivity into the deliberations of the tribunal. At the same time it permits a large degree of individualized judgment. It provides us with both certainty and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Following from that, evidence concerning the actual views of rightsholder parents must be treated with some care, particularly when those parents have become involved in assisting one side in litigation. Asking individual rightsholder parents for their views on whether schools meet the appropriate standard is similar to asking a jury or judge for their views on what ought to have been done. Thus, where a rightsholder parent provides evidence about her own views of the quality of school facilities, it gives rise to a concern that the individual idiosyncrasies of the individual could taint the evidence, running afoul of the purpose of adopting an objective standard. The reasonable rightsholder parent analysis must not be based on personal biases and whims; to fulfill the purpose of the reasonable parent standard it must be based on community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On the other hand, in many instances judges will not form part of the minority group and might not be well suited to understanding if facilities deter parents from sending their children to a minority language school. Certainly, then, the views of rightsholder parents could assist the court to understand the particular needs and views of the linguistic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Given the purpose of the reasonable parent standard, though, it is essential that evidence from rightsholder parents displays some hallmarks of reasonableness. The views of rightsholder parents lose value when a parent does not display the characteristics of a reasonably prudent parent, or where the evidence suggests a level of bias or lack of objectivity on the part of the parent.</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Local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The question of equivalence evokes the idea of comparison. The plaintiffs say that the comparison should be local, and compare the minority school to the neighbouring majority schools that represent realistic alternatives for rightsholder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xml:space="preserve">  The defendants agree that, as a general rule, the appropriate comparator group is the neighbouring schools that are a realistic alternative for rightsholders. However, they note that the precise geographic scope and the usefulness of the comparison will tend to vary with the circumstances. The defendants point to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xml:space="preserve"> at para. 72 in support of the proposition that sometimes it may not be appropriate to look exclusively to local comparator schools. The defendants acknowledge that in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xml:space="preserve">, the Court suggested that local comparators are generally appropriate. However, they note that the reference to a local comparison was qualified by the word "generally", which they say admits of other circumstances and allows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xml:space="preserve">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the Court held that because s. 23 speaks "wherever in the province" the numbers warrant services, "it is necessary to think locally, as the linguistic and cultural benefits of minority language education accrue to the local community" (at para. 36). In light of that, Karakatsanis J. stressed that the question of equivalence must be determined with reference to local comparator schools, as those are the ones that members of the minority community are likely to examine as realistic alternatives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rights holders consider which school their child should attend, or whether to withdraw their child from a minority language school, they will look to nearby majority language schools as alternatives. It follows that the comparator group that will generally be appropriate for the assessment of substantive equivalence of a minority language school will be the neighbouring majority language schools that represent a realistic alternative for rights holders. To compare the facilities of a minority language school to facilities outside the area would not realistically capture the choice available to rights holders, who cannot send their children to a school located across the province. Of course, the precise geographic scope of the comparator group, and the relative usefulness of this sort of comparison, will vary with the circumstances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xml:space="preserve"> is at odds with this decision. There, the Court concluded that the local schools considered by the trial judge were too large to be meaningful comparators, while the smaller schools were too far away to be realistic options for parents. Thus, the Court held that there were no comparators that served as a helpful point of reference. In the appellate court's view, "the sliding scale test had to be applied without over-emphasizing the 'comparatives', although they were still a part of the body of evidence"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In my view, the lack of meaningful comparatives in a local community does not mean that the Court should consider schools elsewhere in the province. The focus should still be a local one, as rightsholder parents do not have the option of sending their children to other, smaller schools elsewhere in the province. The relevant comparators are still those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However, the fact that there is no meaningful comparison likely means that rightsholder parents cannot reasonably expect equivalent facilities. More likely than not, the numbers do not fall at the upper extremity of the sliding scale. As I develop in the next subsection, the question should be whether the minority facilities are proportionate to what the majority has in the same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Because of the local focus of the analysis, as a general rule, the appropriate comparator schools will be schools within the catchment area of the minority language school. Those are the schools that are reasonable alternatives for rightsholder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However, in some instances, a deeper analysis will be required. For example, where a minority language school's catchment area is so large as to encompass a number of communities, the distances may be so great that no reasonable rightsholder parent would enrol their children in the schools in those communities. In those cases, it is appropriate to consider a more limited subset of comparator schools: one that corresponds with the areas in which rightsholder parents actually reside.</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Global Focus and Weighing of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The question then becomes what, exactly, must be equivalent. What should the court assess when determining whether the majority and minority have equivalent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The plaintiffs' view is that the comparison looks at the global educational experience. In their submission, the perspective must be a holistic one that takes into account the full range of educational factors that reasonable parents use to assess equivalence. This, they say, includes the quality of instruction and facilities, in addition to travel times, extracurricular activities and other factors. The plaintiffs say that the global assessment must not place undue focus on factors like academic outcomes, which is not a proxy for overall substantive equivalence of the educational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The plaintiffs say that schools offer an equivalent experience where "there is no meaningful difference between the overall appeal" of the majority and minority schools. Thus, the appeal of the facilities would no longer be a factor relevant to the reasonable parent's choice between the majority and minority school. They say that "facilities are equivalent" if a reasonable parent would not be influenced by the overall physical condition, appearance, functionality, amenities and accessibility of the available school facilities, but rather only by a preference for homogeneous French-language instruction or for English-language instruction. In the plaintiffs' submission, factors like accessibility and facility condition cease to be equivalent when they tip the balance of a parent's assessment of the overall appeal of the minority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xml:space="preserve">  The defendants also emphasize overall educational experience. However, they point to comments by Karakatsanis J.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to the effect that there is no expectation that the minority should have the very best of all aspects of the educational experience. The defendants disagree with the plaintiffs' suggestion that meaningfully similar educational experience requires that the quality of facilities has no impact on the reasonable parent's analysis. They suggest that the quality of instruction and facilities ought properly be considered together, because they are both important elements of comparison. The defendants also suggest the plaintiffs must show that any lack of equivalence is not trivial or insubstantial, citing </w:t>
      </w:r>
      <w:r>
        <w:rPr>
          <w:rFonts w:ascii="arial" w:eastAsia="arial" w:hAnsi="arial" w:cs="arial"/>
          <w:i/>
          <w:color w:val="000000"/>
          <w:sz w:val="20"/>
          <w:lang w:val="en-US" w:eastAsia="en-US" w:bidi="ar-SA"/>
        </w:rPr>
        <w:t>R. v. Edwards Books and Art Ltd.</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[1986] 2 S.C.R. 713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Books</w:t>
      </w:r>
      <w:r>
        <w:rPr>
          <w:rFonts w:ascii="arial" w:eastAsia="arial" w:hAnsi="arial" w:cs="arial"/>
          <w:color w:val="000000"/>
          <w:sz w:val="20"/>
          <w:lang w:val="en-US" w:eastAsia="en-US" w:bidi="ar-SA"/>
        </w:rPr>
        <w:t>] at 759.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As the parties agree, when a court is considering whether minority education facilities are equivalent to those of the majority, the focus is on the global educational experience. The comparative exercise is intended to be "contextual and holistic, accounting for not only physical facilities, but also quality of instruction, educational outcomes, extracurricular activities, and travel times," as well as other factors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xml:space="preserve"> at para. 39). Parents might also take into account other compelling considerations: "the quality of the teachers, the curriculum, and the cultural opportunities offered by a minority language school are all relevant"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40). The analysis will be contextual, and the extent to which any given factor is a live issue will depend on the circumstances of the case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As a comparative and holistic exercise, the intent is to ensure substantive equivalence, not that the minority has "the 'very best' of every aspect of the educational experience"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40). I agree with the Court in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xml:space="preserve"> which emphasized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create a right to perfect schools, only equality" (at para. 77). I hasten to add that even equality is only guaranteed as the numbers approach the upper end of the sliding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xml:space="preserve">  As suggested in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all factors must be weighed together, the positive and the negative, to determine whether there is a meaningful difference in the overall educational experience that would deter reasonable rightsholders from sending their children to the minority language school. In that way, the standard requires that any lack of equivalence not be trivial or insubstantial-- the difference must be a meaningful one (at paras. 35 and 77). The differences in the educational experience must be sufficiently significant that, taken together, all the factors have an impact on parents' enrolment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xml:space="preserve">  Although they pay heed to the global perspective established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the plaintiffs suggest an approach that would consider physical facilities in its own silo. The plaintiffs propose that if a parent's decision is animated by factors concerning the physical amenities of a school, then facilities are not equivalent. To them, equivalence means that those factors must be neutral such that the only animating factor in a parent's decision would be preference for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xml:space="preserve">  The plaintiffs' approach is flawed because it does not take the global approach urged by the SCC. They ask the Court to assess physical amenities separately from other factors, while removing from the equation the benefits of attending a minority language school. Those factors must be considered together, and as against all other factors, when determining whether the overall educational experience is equivalent: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39.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the Court was explicit that the quality of a school's physical facilities are just one factor among many, and will not normally deter a parent from enrolling in the school, particularly if other aspects of the educational programme are strong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the fact that a minority language school is older than nearby majority language schools is not, when viewed in isolation, enough to ground a finding of lack of equivalence. Schools can last for a long time, and older schools may have facilities that are inferior to those of newer schools. </w:t>
      </w:r>
      <w:r>
        <w:rPr>
          <w:rFonts w:ascii="arial" w:eastAsia="arial" w:hAnsi="arial" w:cs="arial"/>
          <w:color w:val="000000"/>
          <w:sz w:val="20"/>
          <w:u w:val="single"/>
          <w:lang w:val="en-US" w:eastAsia="en-US" w:bidi="ar-SA"/>
        </w:rPr>
        <w:t>The fact that a minority language school is in the older range would not normally drive a reasonable rights-holder parent to withdraw her child from the school, particularly where other aspects of the educational experience are strong. Fundamentally, the age of a school and the quality of its physical facilities are but two factors among many.</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xml:space="preserve">  In support of their theory, the plaintiffs cite </w:t>
      </w:r>
      <w:r>
        <w:rPr>
          <w:rFonts w:ascii="arial" w:eastAsia="arial" w:hAnsi="arial" w:cs="arial"/>
          <w:i/>
          <w:color w:val="000000"/>
          <w:sz w:val="20"/>
          <w:lang w:val="en-US" w:eastAsia="en-US" w:bidi="ar-SA"/>
        </w:rPr>
        <w:t>Association des Parents- BCSC</w:t>
      </w:r>
      <w:r>
        <w:rPr>
          <w:rFonts w:ascii="arial" w:eastAsia="arial" w:hAnsi="arial" w:cs="arial"/>
          <w:color w:val="000000"/>
          <w:sz w:val="20"/>
          <w:lang w:val="en-US" w:eastAsia="en-US" w:bidi="ar-SA"/>
        </w:rPr>
        <w:t xml:space="preserve"> at para. 157. There, Mr. Justice Willcock concluded that long travel times were not offset by beneficial aspects of a minority language education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prepared . . . given the evidence with respect to the facilities afforded to students at Rose-des-vents, to say that long travel times in this case are clearly not offset by superior facilities or programs, and that together with inadequate facilities, long travel times act as a disincentive to enrolment, preserve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and defeat the purposes of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 . . What can be said on the evidence is that, collectively, the facilities, including transportation facilities, afforded to the children of rights-holders in the City of Vancouver west of Main Street are presently inadequate to meet the standard of equivalence required to satisfy the constitutional guarantee established by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xml:space="preserve">  This conclusion was expressly upheld by the Court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which concluded at para. 57 that they could see no error in the trial judge's approach, as he "comprehensively and holistically assessed the 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xml:space="preserve">  In my view, nothing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Association des Parents- BCSC</w:t>
      </w:r>
      <w:r>
        <w:rPr>
          <w:rFonts w:ascii="arial" w:eastAsia="arial" w:hAnsi="arial" w:cs="arial"/>
          <w:color w:val="000000"/>
          <w:sz w:val="20"/>
          <w:lang w:val="en-US" w:eastAsia="en-US" w:bidi="ar-SA"/>
        </w:rPr>
        <w:t xml:space="preserve"> suggests that the Court approved an approach that would consider physical amenities separately from other aspects of the educational experience. Nor did the Court uphold a conclusion that physical amenities ought to play no deterrent role whatsoever. Rather, the Supreme Court of Canada concluded that the trial judge had appropriately weighed the positive aspects of École Élémentaire Rose-des-Vents (Vancouver (West)) (high quality instruction and positive academic outcomes) against the negatives (overcrowding, inadequate physical amenities and travel times), and reached an appropriate conclusion based on all of the factors. If the negative factors had related to the quality of instruction, and the positives to physical amenities, the Court might well have reached the same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xml:space="preserve">  What is important is that the Court be alive to all the factors that reasonable parents use to make school choice decisions. This will include both deficiencies and advantages of a given school. As the Court observed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38, "[t]he fact that a given school is deficient in one area does not mean that it lacks equivalence in an overall sense." Those factors must be considered together, as "[t]he quality of instruction and the quality of facilities may both be strong indicators of equivalence, and are properly considered together"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4. The Middle Range of the Sliding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While courts have commented on the thresholds at the lower extremity of the sliding scale (beyond which no instruction is warranted) and the higher extremity of the scale (past which rightsholders are entitled to distinct, homogeneous, facilities that offer a global educational experience equivalent to that in minority schools), there are few decisions concerning what a given community is entitled to between the two thresholds. In many ways, this is a case of first impression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The parties made minimal submissions about what is warranted in the middle of the sliding scale. That is problematic given that many of the programmes and facilities in the claim fall in this mid-range, warranting at least instruction, but something less than distinct homogeneous facilities equivalent to those of the majority. When is it practical for a programme to warrant more than instruction in a single classroom? And what are rightsholders entitled to when their numbers are not comparable to those in majority schools in the same geographic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Given the importance of context to the s. 23 analysis, the answer to these questions must be found with reference to the particular situation of the group of students, as well as pedagogical and cost considerations. The CSF must be entitled to some deference concerning what is pedagogically appropriate for that group of children given the linguistic and cultural background of the community. However, the deference does not go so far as to place an impractical obligation on government to incur disproportionate costs to provide extravagant services for a relatively small number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As I conceive the range, immediately past the instruction threshold, the number of children may be entitled to instruction in a classroom or through electronic services. What is pedagogically appropriate falls to be determined based on what is linguistically and culturally appropriate in the view of the minority school board, as well as what is cost-effective. From there, as the number of children grows, the services can expand to a series of classrooms, and then to a stand-alone school, depending on what is practical, both in terms of pedagogy and cost, for that number of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842</w:t>
      </w:r>
      <w:r>
        <w:rPr>
          <w:rFonts w:ascii="arial" w:eastAsia="arial" w:hAnsi="arial" w:cs="arial"/>
          <w:color w:val="000000"/>
          <w:sz w:val="20"/>
          <w:lang w:val="en-US" w:eastAsia="en-US" w:bidi="ar-SA"/>
        </w:rPr>
        <w:t>  There are many factors that might prove relevant to the assessment of what is practical in terms of pedagogy and cost. For example, the size of small schools elsewhere in the province might provide some evidence of when it is practical and cost-effective to operate a stand-alone school. To give effect to the remedial purpose of s. 23, the Court must also take into account the specific background and needs of the minority language community at issue. What facilities are already available in the community for the linguistic minority's use might also prove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843</w:t>
      </w:r>
      <w:r>
        <w:rPr>
          <w:rFonts w:ascii="arial" w:eastAsia="arial" w:hAnsi="arial" w:cs="arial"/>
          <w:color w:val="000000"/>
          <w:sz w:val="20"/>
          <w:lang w:val="en-US" w:eastAsia="en-US" w:bidi="ar-SA"/>
        </w:rPr>
        <w:t>  The plaintiffs take issue with this approach, and suggest that the CSF should not have to start its programmes in leased or heterogeneous space. In my view, that overlooks the temporal aspect of the sliding scale. Few of the CSF's programmes have immediately warranted homogeneous facilities distinct from, and equivalent to those afforded to the majority. When CSF schools first begin, they may warrant something less than homogeneous schools. In my view, it is logical and practical that the number of children be provided with growing levels of services as the numbers move higher on the sliding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844</w:t>
      </w:r>
      <w:r>
        <w:rPr>
          <w:rFonts w:ascii="arial" w:eastAsia="arial" w:hAnsi="arial" w:cs="arial"/>
          <w:color w:val="000000"/>
          <w:sz w:val="20"/>
          <w:lang w:val="en-US" w:eastAsia="en-US" w:bidi="ar-SA"/>
        </w:rPr>
        <w:t xml:space="preserve">  The plaintiffs suggest that in the middle of the sliding scale, instruction must be provided on the basis of equivalence to the majority. In that connection, they cite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 29. There, Karakatsanis J. wrote that at the upper end of the sliding scale, "rights holders are entitled to full educational facilities that are distinct from, and equivalent to, those found in the schools of the majority language group". I do not take her comments to say that equivalent, homogeneous facilities are also warranted where the number has not passed the equivalence threshold at the upper end of the sliding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845</w:t>
      </w:r>
      <w:r>
        <w:rPr>
          <w:rFonts w:ascii="arial" w:eastAsia="arial" w:hAnsi="arial" w:cs="arial"/>
          <w:color w:val="000000"/>
          <w:sz w:val="20"/>
          <w:lang w:val="en-US" w:eastAsia="en-US" w:bidi="ar-SA"/>
        </w:rPr>
        <w:t xml:space="preserve">  The plaintiffs also cite </w:t>
      </w:r>
      <w:r>
        <w:rPr>
          <w:rFonts w:ascii="arial" w:eastAsia="arial" w:hAnsi="arial" w:cs="arial"/>
          <w:i/>
          <w:color w:val="000000"/>
          <w:sz w:val="20"/>
          <w:lang w:val="en-US" w:eastAsia="en-US" w:bidi="ar-SA"/>
        </w:rPr>
        <w:t>DesRochers v. Canada (Industry),</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2009 SCC 8</w:t>
        </w:r>
      </w:hyperlink>
      <w:r>
        <w:rPr>
          <w:rFonts w:ascii="arial" w:eastAsia="arial" w:hAnsi="arial" w:cs="arial"/>
          <w:color w:val="000000"/>
          <w:sz w:val="20"/>
          <w:lang w:val="en-US" w:eastAsia="en-US" w:bidi="ar-SA"/>
        </w:rPr>
        <w:t xml:space="preserve">, a case concerning the content of s. 20(1)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which places on governments a duty to provide services in both official languages. In the course of discussing that right, Madam Justice Charron made some general observations about the importance of substantive equality to language rights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considering the provisions at issue in the case at bar, it will be helpful to review the principles that govern the interpretation of language rights provisions. Courts are required to give language rights a liberal and purposive interpretation. This means that the relevant provisions must be construed in a manner that is consistent with the preservation and development of official language communities in Canada (</w:t>
      </w:r>
      <w:r>
        <w:rPr>
          <w:rFonts w:ascii="arial" w:eastAsia="arial" w:hAnsi="arial" w:cs="arial"/>
          <w:i/>
          <w:color w:val="000000"/>
          <w:sz w:val="20"/>
          <w:lang w:val="en-US" w:eastAsia="en-US" w:bidi="ar-SA"/>
        </w:rPr>
        <w:t>R. v. Beaulac</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[1999] 1 S.C.R. 768</w:t>
        </w:r>
      </w:hyperlink>
      <w:r>
        <w:rPr>
          <w:rFonts w:ascii="arial" w:eastAsia="arial" w:hAnsi="arial" w:cs="arial"/>
          <w:color w:val="000000"/>
          <w:sz w:val="20"/>
          <w:lang w:val="en-US" w:eastAsia="en-US" w:bidi="ar-SA"/>
        </w:rPr>
        <w:t xml:space="preserve">, at para. 25). Indeed, on several occasions this Court has reaffirmed that the concept of equality in language rights matters must be given true meaning (see, for example, </w:t>
      </w:r>
      <w:r>
        <w:rPr>
          <w:rFonts w:ascii="arial" w:eastAsia="arial" w:hAnsi="arial" w:cs="arial"/>
          <w:i/>
          <w:color w:val="000000"/>
          <w:sz w:val="20"/>
          <w:lang w:val="en-US" w:eastAsia="en-US" w:bidi="ar-SA"/>
        </w:rPr>
        <w:t>Beaulac</w:t>
      </w:r>
      <w:r>
        <w:rPr>
          <w:rFonts w:ascii="arial" w:eastAsia="arial" w:hAnsi="arial" w:cs="arial"/>
          <w:color w:val="000000"/>
          <w:sz w:val="20"/>
          <w:lang w:val="en-US" w:eastAsia="en-US" w:bidi="ar-SA"/>
        </w:rPr>
        <w:t>, at paras. 22, 24 and 25;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at para. 31). Substantive equality, as opposed to formal equality, is to be the norm, and the exercise of language rights is not to be considered a request for accommodation.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846</w:t>
      </w:r>
      <w:r>
        <w:rPr>
          <w:rFonts w:ascii="arial" w:eastAsia="arial" w:hAnsi="arial" w:cs="arial"/>
          <w:color w:val="000000"/>
          <w:sz w:val="20"/>
          <w:lang w:val="en-US" w:eastAsia="en-US" w:bidi="ar-SA"/>
        </w:rPr>
        <w:t xml:space="preserve">  There is no doubt that, as stated in </w:t>
      </w:r>
      <w:r>
        <w:rPr>
          <w:rFonts w:ascii="arial" w:eastAsia="arial" w:hAnsi="arial" w:cs="arial"/>
          <w:i/>
          <w:color w:val="000000"/>
          <w:sz w:val="20"/>
          <w:lang w:val="en-US" w:eastAsia="en-US" w:bidi="ar-SA"/>
        </w:rPr>
        <w:t>DesRochers</w:t>
      </w:r>
      <w:r>
        <w:rPr>
          <w:rFonts w:ascii="arial" w:eastAsia="arial" w:hAnsi="arial" w:cs="arial"/>
          <w:color w:val="000000"/>
          <w:sz w:val="20"/>
          <w:lang w:val="en-US" w:eastAsia="en-US" w:bidi="ar-SA"/>
        </w:rPr>
        <w:t>, the concept of equality in language rights matters must be given its true meaning, and that the relevant standard is substantive equality.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847</w:t>
      </w:r>
      <w:r>
        <w:rPr>
          <w:rFonts w:ascii="arial" w:eastAsia="arial" w:hAnsi="arial" w:cs="arial"/>
          <w:color w:val="000000"/>
          <w:sz w:val="20"/>
          <w:lang w:val="en-US" w:eastAsia="en-US" w:bidi="ar-SA"/>
        </w:rPr>
        <w:t xml:space="preserve">  However, it would be impractical to conclude that where a number of children is only entitled to instruction, it must be equivalent to the instruction provided to the majority. Where the numbers of children are small, the numbers may have to be accommodated in split classes. There may be insufficient students to provide the full extent of course offerings available in majority schools. Requiring that the minimum level of instruction provided to the minimum number of minority students be equivalent to what is provided to the majority would run counter to Dickson C.J.C.'s comment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that it is not practical to afford to a small minority the same services that would be provided to a large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848</w:t>
      </w:r>
      <w:r>
        <w:rPr>
          <w:rFonts w:ascii="arial" w:eastAsia="arial" w:hAnsi="arial" w:cs="arial"/>
          <w:color w:val="000000"/>
          <w:sz w:val="20"/>
          <w:lang w:val="en-US" w:eastAsia="en-US" w:bidi="ar-SA"/>
        </w:rPr>
        <w:t>  Further, in my view, it is not practical to assume that every instructional facility that the CSF operates must be equivalent to that of the majority in the community where it operates. CSF programmes in the middle of the range should certainly have sufficient facilities to offer a core programme and meet students' needs. However, it is simply not practical or cost-effective to expect that a school of 100 students will have equivalent facilities and instructional programmes to nearby majority-language schools that are double or triple its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849</w:t>
      </w:r>
      <w:r>
        <w:rPr>
          <w:rFonts w:ascii="arial" w:eastAsia="arial" w:hAnsi="arial" w:cs="arial"/>
          <w:color w:val="000000"/>
          <w:sz w:val="20"/>
          <w:lang w:val="en-US" w:eastAsia="en-US" w:bidi="ar-SA"/>
        </w:rPr>
        <w:t xml:space="preserve">  Rather, I take the view that along the sliding scale, it is practical for the CSF's facilities and programmes to be </w:t>
      </w:r>
      <w:r>
        <w:rPr>
          <w:rFonts w:ascii="arial" w:eastAsia="arial" w:hAnsi="arial" w:cs="arial"/>
          <w:color w:val="000000"/>
          <w:sz w:val="20"/>
          <w:u w:val="single"/>
          <w:lang w:val="en-US" w:eastAsia="en-US" w:bidi="ar-SA"/>
        </w:rPr>
        <w:t>proportionate</w:t>
      </w:r>
      <w:r>
        <w:rPr>
          <w:rFonts w:ascii="arial" w:eastAsia="arial" w:hAnsi="arial" w:cs="arial"/>
          <w:color w:val="000000"/>
          <w:sz w:val="20"/>
          <w:lang w:val="en-US" w:eastAsia="en-US" w:bidi="ar-SA"/>
        </w:rPr>
        <w:t xml:space="preserve"> to the facilities and programmes offered at majority schools in the same area. The CSF must have spaces to offer a core programme. It may also be relevant to consider whether the CSF has sufficient space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to offer those programmes, while exercising caution not to stray into a formal equivalence analysis. Of course, the analysis must also take into account whether there are other factors related to the facility-- its age, level of repair, location, class sizes, and control by the CSF, for example-- that, regardless of the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allotment of space, make the facility less than proportionate to what the majority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850</w:t>
      </w:r>
      <w:r>
        <w:rPr>
          <w:rFonts w:ascii="arial" w:eastAsia="arial" w:hAnsi="arial" w:cs="arial"/>
          <w:color w:val="000000"/>
          <w:sz w:val="20"/>
          <w:lang w:val="en-US" w:eastAsia="en-US" w:bidi="ar-SA"/>
        </w:rPr>
        <w:t>  In all other ways, though, in my view it is appropriate for the proportionality analysis to assume the same perspective as the equivalence analysis: it should adopt a substantive equivalence analysis, from the perspective of the reasonable rightsholder parent, while making a local comparison of the global educational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851</w:t>
      </w:r>
      <w:r>
        <w:rPr>
          <w:rFonts w:ascii="arial" w:eastAsia="arial" w:hAnsi="arial" w:cs="arial"/>
          <w:color w:val="000000"/>
          <w:sz w:val="20"/>
          <w:lang w:val="en-US" w:eastAsia="en-US" w:bidi="ar-SA"/>
        </w:rPr>
        <w:t xml:space="preserve">  I acknowledge that the test for proportionality is not entirely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with the concept of substantive equality. With the shift to analyzing proportionality, the question is no longer whether facilities are substantively equal. However, the substantive equality perspective is of great value when comparing minority facilities to the majority. Thus, the proportionality analysis must be approached with a view to recognizing that the minority will need special consideration and resources to achieve a standard that is proportionate to the facilities provided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852</w:t>
      </w:r>
      <w:r>
        <w:rPr>
          <w:rFonts w:ascii="arial" w:eastAsia="arial" w:hAnsi="arial" w:cs="arial"/>
          <w:color w:val="000000"/>
          <w:sz w:val="20"/>
          <w:lang w:val="en-US" w:eastAsia="en-US" w:bidi="ar-SA"/>
        </w:rPr>
        <w:t>  Similarly, the question of proportionality does not square perfectly with the question of whether a reasonable rightsholder would be deterred by meaningful differences between majority and minority schools. A reasonable rightsholder parent would undoubtedly look at a small minority school and see meaningful differences from large majority schools. Those differences might well deter the parent from choosing the minority school. Where the numbers are small, though, the fact that a parent will be deterred would not make it practical in terms of pedagogy and cost to provide equivalent facilities to prevent those rightsholders from being deterred.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w:t>
      </w:r>
      <w:r>
        <w:rPr>
          <w:rFonts w:ascii="arial" w:eastAsia="arial" w:hAnsi="arial" w:cs="arial"/>
          <w:color w:val="000000"/>
          <w:sz w:val="20"/>
          <w:lang w:val="en-US" w:eastAsia="en-US" w:bidi="ar-SA"/>
        </w:rPr>
        <w:t>  However, the perspective of the reasonable rightsholder parent is a valuable one, too. Taking that perspective ensures that the Court is focused on the global educational experience as it would appeal to the persons that will eventually take advantage of the service. As such, in my view, when examining the question of proportionality, the question is whether a reasonable rightsholder would find a minority school to be meaningfully disproportionate to the facilities offered to the majority, based on a local comparison of the global educational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5.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854</w:t>
      </w:r>
      <w:r>
        <w:rPr>
          <w:rFonts w:ascii="arial" w:eastAsia="arial" w:hAnsi="arial" w:cs="arial"/>
          <w:color w:val="000000"/>
          <w:sz w:val="20"/>
          <w:lang w:val="en-US" w:eastAsia="en-US" w:bidi="ar-SA"/>
        </w:rPr>
        <w:t>  When situating the numbers on the sliding scale, the concern is what is appropriate and practical to provide to the number of students given considerations of pedagogy and cost. This can be discerned with reference to what government provides in other circumstances, and what the minority believes to be appropriate based on the linguistic and cultural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855</w:t>
      </w:r>
      <w:r>
        <w:rPr>
          <w:rFonts w:ascii="arial" w:eastAsia="arial" w:hAnsi="arial" w:cs="arial"/>
          <w:color w:val="000000"/>
          <w:sz w:val="20"/>
          <w:lang w:val="en-US" w:eastAsia="en-US" w:bidi="ar-SA"/>
        </w:rPr>
        <w:t>  As I see it, the sliding scale begins with a threshold, below which no minority language education services are warranted. For the numbers to warrant the minimum level of instruction, the CSF must show that it is practical to instruct that number of students in terms of both pedagogy and cost, such as when that group can form a class. It is entitled to some deference when making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856</w:t>
      </w:r>
      <w:r>
        <w:rPr>
          <w:rFonts w:ascii="arial" w:eastAsia="arial" w:hAnsi="arial" w:cs="arial"/>
          <w:color w:val="000000"/>
          <w:sz w:val="20"/>
          <w:lang w:val="en-US" w:eastAsia="en-US" w:bidi="ar-SA"/>
        </w:rPr>
        <w:t>  The numbers pass the upper threshold and require equivalence when the number of students is comparable to the number of students in majority programmes in the same geographic area. Without comparable populations, it is not practical or cost-effective for the minority programme to offer equivalent spaces and facilities. At the upper end, the minority is entitled to full educational facilities distinct from, and equivalent to, majority schools. Thus, enrolment at comparator schools is a useful measure for assessing whether it is pedagogically appropriate and cost-effective to operate a distinct, equivalent homogeneous school. The operating capacity of comparator schools also gives insight into the number of children for which it is financially appropriate to build a new school in a given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857</w:t>
      </w:r>
      <w:r>
        <w:rPr>
          <w:rFonts w:ascii="arial" w:eastAsia="arial" w:hAnsi="arial" w:cs="arial"/>
          <w:color w:val="000000"/>
          <w:sz w:val="20"/>
          <w:lang w:val="en-US" w:eastAsia="en-US" w:bidi="ar-SA"/>
        </w:rPr>
        <w:t>  At the upper extremity of the sliding scale, rightsholders are entitled to "full educational facilities that are distinct from, and equivalent to, those found in the schools of the majority language group", which are "accessible, and, where possible, located in the community where the children reside"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xml:space="preserve"> at para. 29). When determining whether minority facilities are equivalent to those found in the schools of the majority, the question is "would reasonable rights holders be deterred from sending their children to a minority language school because it is meaningfully inferior to an available majority school?"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at paras. 35 and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858</w:t>
      </w:r>
      <w:r>
        <w:rPr>
          <w:rFonts w:ascii="arial" w:eastAsia="arial" w:hAnsi="arial" w:cs="arial"/>
          <w:color w:val="000000"/>
          <w:sz w:val="20"/>
          <w:lang w:val="en-US" w:eastAsia="en-US" w:bidi="ar-SA"/>
        </w:rPr>
        <w:t>  The test looks at substantive equivalence, which may require that the minority is treated differently from the majority. It takes the perspective of a reasonable rightsholder, an objective standard with subjective elements. This requires that the views of actual rightsholder parents be treated with some caution, particularly where they have special knowledge or experience going beyond what a reasonable rightsholder parent would have. The comparison is a local one, which considers how the minority system compares to the other schools that rightsholder parents would consider when making enrolment decisions. Finally, it compares the global educational experience, which requires the Court to weigh and balance all the factors that a reasonable parent might have in mind when making enrolment decisions for their children. The question is whether there is a meaningful difference between the global educational experience at majority and minority schools that would deter reasonable rightsholders from enrolling their children in the minority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859</w:t>
      </w:r>
      <w:r>
        <w:rPr>
          <w:rFonts w:ascii="arial" w:eastAsia="arial" w:hAnsi="arial" w:cs="arial"/>
          <w:color w:val="000000"/>
          <w:sz w:val="20"/>
          <w:lang w:val="en-US" w:eastAsia="en-US" w:bidi="ar-SA"/>
        </w:rPr>
        <w:t>  In the middle of the range, what exactly the minority is entitled to will fall to be determined based on whatever is practical given considerations of pedagogy and cost. The numbers are entitled to instruction, at the least. As the number of children grows, the entitlement grows, too, to include progressively more elements of the programmes and services offered in majority schools. What, exactly, the group is entitled to depends entirely on what is practical in terms of pedagogy and cost, with some deference owed to the CSF in its assessment of what is pedagogically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860</w:t>
      </w:r>
      <w:r>
        <w:rPr>
          <w:rFonts w:ascii="arial" w:eastAsia="arial" w:hAnsi="arial" w:cs="arial"/>
          <w:color w:val="000000"/>
          <w:sz w:val="20"/>
          <w:lang w:val="en-US" w:eastAsia="en-US" w:bidi="ar-SA"/>
        </w:rPr>
        <w:t>  Before the minority reaches the equivalence threshold, the minority is not entitled to fully equivalent programmes, amenities and services. That would not be practical. Instead, the minority is entitled to proportionate programmes, amenities and services. The proportionality analysis should mirror the perspective used in the equivalence analysis: it should adopt a substantive equivalence analysis, from the perspective of the reasonable rightsholder, while making a local comparison of the global educational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Costs and Practicalities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861</w:t>
      </w:r>
      <w:r>
        <w:rPr>
          <w:rFonts w:ascii="arial" w:eastAsia="arial" w:hAnsi="arial" w:cs="arial"/>
          <w:color w:val="000000"/>
          <w:sz w:val="20"/>
          <w:lang w:val="en-US" w:eastAsia="en-US" w:bidi="ar-SA"/>
        </w:rPr>
        <w:t>  The parties agree that once the court situates a group of students on the sliding scale, considerations of pedagogy and cost are no longer relevant. However, the defendants take the position that costs and practicalities are relevant when determining what amenities the numbers warrant, and again when assessing s. 1 justifications and remedies. In the defendants' submission, the sliding scale is "ever speaking". They suggest the sliding scale applies not only to the threshold question of whether the numbers warrant a programme or facility, but also to the question of whether the particular facilities sought in the case are warranted. The plaintiffs reject the defendants'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862</w:t>
      </w:r>
      <w:r>
        <w:rPr>
          <w:rFonts w:ascii="arial" w:eastAsia="arial" w:hAnsi="arial" w:cs="arial"/>
          <w:color w:val="000000"/>
          <w:sz w:val="20"/>
          <w:lang w:val="en-US" w:eastAsia="en-US" w:bidi="ar-SA"/>
        </w:rPr>
        <w:t xml:space="preserve">  The question arises out of some tension between what was said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NWT- CA</w:t>
      </w:r>
      <w:r>
        <w:rPr>
          <w:rFonts w:ascii="arial" w:eastAsia="arial" w:hAnsi="arial" w:cs="arial"/>
          <w:color w:val="000000"/>
          <w:sz w:val="20"/>
          <w:lang w:val="en-US" w:eastAsia="en-US" w:bidi="ar-SA"/>
        </w:rPr>
        <w:t>, the Court suggested that the "numbers warrant" standard is not merely a threshold test. Rather, the Court suggested that the standard "is ever-speaking, and it must be applied at every level in determining if particular facilities or programs are 'warranted'"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the Court considered what role costs and practicalities ought to play within the equivalence test at the upper end of the sliding scale (at paras. 46, 49-50):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view, costs and practicalities are relevant to the determination of the level of services a group of rights holders is entitled to on the sliding scale.</w:t>
      </w:r>
      <w:r>
        <w:rPr>
          <w:rFonts w:ascii="arial" w:eastAsia="arial" w:hAnsi="arial" w:cs="arial"/>
          <w:color w:val="000000"/>
          <w:sz w:val="20"/>
          <w:lang w:val="en-US" w:eastAsia="en-US" w:bidi="ar-SA"/>
        </w:rPr>
        <w:t xml:space="preserve"> The Province's position misconceives the nature of the equivalence analysis, and conflates entitlement and equivalence. The entitlement is to equivalent educational services. The equivalence analysis is thus a factual inquiry, not an entitlement-related decision. </w:t>
      </w:r>
      <w:r>
        <w:rPr>
          <w:rFonts w:ascii="arial" w:eastAsia="arial" w:hAnsi="arial" w:cs="arial"/>
          <w:color w:val="000000"/>
          <w:sz w:val="20"/>
          <w:u w:val="single"/>
          <w:lang w:val="en-US" w:eastAsia="en-US" w:bidi="ar-SA"/>
        </w:rPr>
        <w:t xml:space="preserve">The "numbers warrant" analysis will have already considered costs and practicalities in determining the scope of the s. 23 rights to be afforded to the minority language group. It would undermine that analysis to consider costs and practicalities </w:t>
      </w:r>
      <w:r>
        <w:rPr>
          <w:rFonts w:ascii="arial" w:eastAsia="arial" w:hAnsi="arial" w:cs="arial"/>
          <w:i/>
          <w:color w:val="000000"/>
          <w:sz w:val="20"/>
          <w:u w:val="single"/>
          <w:lang w:val="en-US" w:eastAsia="en-US" w:bidi="ar-SA"/>
        </w:rPr>
        <w:t>again</w:t>
      </w:r>
      <w:r>
        <w:rPr>
          <w:rFonts w:ascii="arial" w:eastAsia="arial" w:hAnsi="arial" w:cs="arial"/>
          <w:color w:val="000000"/>
          <w:sz w:val="20"/>
          <w:u w:val="single"/>
          <w:lang w:val="en-US" w:eastAsia="en-US" w:bidi="ar-SA"/>
        </w:rPr>
        <w:t>, after the appropriate level of educational services has already been determined. Such an approach is neither logical nor principled. Thus, it is not appropriate for provincial or territorial governments to invoke issues of practicality or cost as part of the inquiry into the factual equivalence of minority language and majority language schools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It may be that costs and practicalities again become relevant if a responsible party seeks to justify a violation of s. 23 under s. 1 of the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As well, costs and practicalities may be relevant where a court seeks to fashion a remedy that is "appropriate and just" in the circumstances, pursuant to s. 24(1) of the </w:t>
      </w:r>
      <w:r>
        <w:rPr>
          <w:rFonts w:ascii="arial" w:eastAsia="arial" w:hAnsi="arial" w:cs="arial"/>
          <w:i/>
          <w:color w:val="000000"/>
          <w:sz w:val="20"/>
          <w:u w:val="single"/>
          <w:lang w:val="en-US" w:eastAsia="en-US" w:bidi="ar-SA"/>
        </w:rPr>
        <w:t>Charter</w:t>
      </w:r>
      <w:r>
        <w:rPr>
          <w:rFonts w:ascii="arial" w:eastAsia="arial" w:hAnsi="arial" w:cs="arial"/>
          <w:color w:val="000000"/>
          <w:sz w:val="20"/>
          <w:lang w:val="en-US" w:eastAsia="en-US" w:bidi="ar-SA"/>
        </w:rPr>
        <w:t>. Thus, it does not automatically follow from a finding of a s. 23 breach that rights holders will receive a new school. There is a perpetual tension in balancing competing priorities; between the availability of financial resources and the demands on the public purse. In fashioning a remedy, the court will take into account the costs and practicalities that form part of the provision of all educational services for both majority and minority language schools. However, this issue is not before us on this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summarize, issues of costs and practicalities are considered in determining where a minority language community falls on the sliding scale of rights guaranteed under s. 23. Where the community is entitled to the highest level of educational services, on an equal footing with the majority language community, costs and practicalities will not be relevant to a determination of whether the rights holders are receiving the services to which they are entitled. It may be, however, that costs and practicalities will be relevant in attempts to justify a breach of s. 23, and in attempts to fashion an appropriate and just remedy for a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864</w:t>
      </w:r>
      <w:r>
        <w:rPr>
          <w:rFonts w:ascii="arial" w:eastAsia="arial" w:hAnsi="arial" w:cs="arial"/>
          <w:color w:val="000000"/>
          <w:sz w:val="20"/>
          <w:lang w:val="en-US" w:eastAsia="en-US" w:bidi="ar-SA"/>
        </w:rPr>
        <w:t xml:space="preserve">  I take from these comments a number of principles: Once considerations of cost and pedagogy or decisions in prior litigation establish entitlement to the highest level of services -- equivalence-- costs and practicalities are irrelevant to the equivalence analysis. Costs and practicalities are relevant to determining what services a given number of students is entitled to; in other words, they are relevant when the Court is situating the number on the sliding scale. They may also be relevant if a party seeks to justify a violation of s. 23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They may prove relevant again when a court seeks to fashion an "appropriate and just" remedy, as "it does not automatically follow from a finding of a s. 23 breach that rights holders will receive a new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865</w:t>
      </w:r>
      <w:r>
        <w:rPr>
          <w:rFonts w:ascii="arial" w:eastAsia="arial" w:hAnsi="arial" w:cs="arial"/>
          <w:color w:val="000000"/>
          <w:sz w:val="20"/>
          <w:lang w:val="en-US" w:eastAsia="en-US" w:bidi="ar-SA"/>
        </w:rPr>
        <w:t xml:space="preserve">  However, the defendants note that the Court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was dealing with École Élémentaire Rose-des-Vents (Vancouver (West)), a school where the defendants concede the numbers pass the equivalence threshold of the sliding scale. In the defendants' view, in communities that do not pass that threshold, the sliding scale ought to be thought of as speaking at least when deciding what comparator schools are appropriate. In the alternative, they say the sliding scale and the question of costs and practicalities ought to be taken into account at the s. 1 stage. The defendants caution that if the sliding scale no longer applies, the references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to doing whatever is practical and reasonable will have no application past the minimum threshold of a minimum number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did not address to what extent costs and practicalities are relevant at the middle of the sliding scale. In my view, costs and practicalities might well prove relevant to the questions of what are essential to the question of what services a group in the middle of the sliding scale is entitled to. Beyond that, though, they could also prove relevant to the proportionality analysis. Unlike entitlement at the high end of the sliding scale, it is impossible to delineate with precision what a small number of rightsholders' children is entitled to. The government could meet the appropriate standard of entitlement by funding any range of amenities and services. Thus, the overall context of what is pedagogically and financially realistic for a given group will inform the question whether the amenities and services the minority is receiving are proportionate. In that way, it differs from a group at the high end of the sliding scale, where the only question is whether facilities are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 The Importance of Facilities to Rightsholder Enrolment Decisions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867</w:t>
      </w:r>
      <w:r>
        <w:rPr>
          <w:rFonts w:ascii="arial" w:eastAsia="arial" w:hAnsi="arial" w:cs="arial"/>
          <w:color w:val="000000"/>
          <w:sz w:val="20"/>
          <w:lang w:val="en-US" w:eastAsia="en-US" w:bidi="ar-SA"/>
        </w:rPr>
        <w:t>  The parties put expert evidence before the Court concerning the extent to which the quality of educational facilities is important to rightsholder parents' enrolment decisions. Dr. Landry offered one such opinion. The defendants relied on the expert evidence of Mr. Benoît Gauthier, who conducted original survey research to determine the factors most likely to inform school choice decisions. The plaintiffs tendered three expert reports in reply: from Dr. Landry, Dr. George Spears and Dr. David Marker.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Mr. Benoît Gauthier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868</w:t>
      </w:r>
      <w:r>
        <w:rPr>
          <w:rFonts w:ascii="arial" w:eastAsia="arial" w:hAnsi="arial" w:cs="arial"/>
          <w:color w:val="000000"/>
          <w:sz w:val="20"/>
          <w:lang w:val="en-US" w:eastAsia="en-US" w:bidi="ar-SA"/>
        </w:rPr>
        <w:t>  Mr. Gauthier is a specialist in social research generally, and survey research in particular. He holds bachelor's and master's degrees in political science from Université Laval, and a master's degree in public administration and a master's diploma in public sector management, both from the École Nationale D'administration Publique. He has also completed the course work and comprehensive exams toward a Ph.D. in political science at Carleton University. He is a designated Certified Marketing Research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869</w:t>
      </w:r>
      <w:r>
        <w:rPr>
          <w:rFonts w:ascii="arial" w:eastAsia="arial" w:hAnsi="arial" w:cs="arial"/>
          <w:color w:val="000000"/>
          <w:sz w:val="20"/>
          <w:lang w:val="en-US" w:eastAsia="en-US" w:bidi="ar-SA"/>
        </w:rPr>
        <w:t>  Mr. Gauthier was qualitied as an expert in social research, including the design, implementation and conduct of survey research, and the analysis of survey and other data. He has 30 years' experience in survey research, having held a number of positions related to applied social research, and survey research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870</w:t>
      </w:r>
      <w:r>
        <w:rPr>
          <w:rFonts w:ascii="arial" w:eastAsia="arial" w:hAnsi="arial" w:cs="arial"/>
          <w:color w:val="000000"/>
          <w:sz w:val="20"/>
          <w:lang w:val="en-US" w:eastAsia="en-US" w:bidi="ar-SA"/>
        </w:rPr>
        <w:t>  Mr. Gauthier was asked to prepare an opinion on the relative importance of the quality of the physical facilities of minority schools among the factors motivating s. 23 rightsholders' enrolment choices in British Columbia and elsewhere in Canada. He was also asked to comment on Dr. Landry's conclusions about the relative importance of school facilities to enrolment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871</w:t>
      </w:r>
      <w:r>
        <w:rPr>
          <w:rFonts w:ascii="arial" w:eastAsia="arial" w:hAnsi="arial" w:cs="arial"/>
          <w:color w:val="000000"/>
          <w:sz w:val="20"/>
          <w:lang w:val="en-US" w:eastAsia="en-US" w:bidi="ar-SA"/>
        </w:rPr>
        <w:t>  At the outset of the trial, in December 2013, the plaintiffs challenged the relevance and necessity of Mr. Gauthier's opinion. I concluded that the Gauthier Report was at least relevant as a response to Dr. Landry's opinion, and to issues surrounding assimilation and remedy. After having heard all the evidence, I can now see that it is also relevant to the question of what factors are important to rightsholder parents when they make enrolment decisions for their children. I also determined that Mr. Gauthier's opinion was necessary. While the plaintiffs also challenged the report because of some of Mr. Gauthier's research methodologies, I concluded that those concerns would go to weight rather than threshold admissibility.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Gauthier's opinion is based on three data sources: Minorities Speak Up; data collected by the CSF consisting of responses to surveys concerning students leaving Conseil schools (the "CSF Exit Survey Data"); and survey data collected in support of the Gauthier Report (the "Gauthier Survey Data").</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Minorities Speak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is a Statistics Canada survey that targeted persons under age 18 in households where at least one parent belonged to the official language minority, and persons age 18 and over who themselves belong to the official language minority. The researchers drew a sample of approximately 52,000 respondents to the 2006 Canadian long-form census, all of whom identified as belonging to the official language minority. Those respondents completed a survey questionnaire directed at,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respondent and his or her household, children and parents' demographics, language and culture; and the respondent's language skills and linguistic trajectory from childhood to adulthood, sense of belonging to the community, and educational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873</w:t>
      </w:r>
      <w:r>
        <w:rPr>
          <w:rFonts w:ascii="arial" w:eastAsia="arial" w:hAnsi="arial" w:cs="arial"/>
          <w:color w:val="000000"/>
          <w:sz w:val="20"/>
          <w:lang w:val="en-US" w:eastAsia="en-US" w:bidi="ar-SA"/>
        </w:rPr>
        <w:t xml:space="preserve">  Mr. Gauthier observed that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does not concern itself with s. 23 rightsholders. The survey appears to also include Allophones whose FOLS is French or both French and English. He nevertheless went on to reach conclusions with respect to the interpretation of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concludes (at 54) that parents tended to choose a minority school for their children because French was the parent's mother tongue or main language (47% of children), or that French was the child's mother tongue (28%) or for the child to learn French (25%). For children registered in a regular English programme, the reasons most often cited by the parents were the proximity of the school (27%), the Anglo-dominance of the child (18%) or parent (17%) and the quality of the school or programme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875</w:t>
      </w:r>
      <w:r>
        <w:rPr>
          <w:rFonts w:ascii="arial" w:eastAsia="arial" w:hAnsi="arial" w:cs="arial"/>
          <w:color w:val="000000"/>
          <w:sz w:val="20"/>
          <w:lang w:val="en-US" w:eastAsia="en-US" w:bidi="ar-SA"/>
        </w:rPr>
        <w:t xml:space="preserve">  On reviewing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Mr. Gauthier concluded that in most cases, a majority school is chosen based on the existing language of the people at stake and the proximity of the school, which he classified as pragmatic considerations. In comparison, he noted that parents who elect to send their children to a minority school tended to do so because of the household's or the parent's mother tongue: cultural motivations fundamentally different from the pragmatic motivations of parents who took the opposite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876</w:t>
      </w:r>
      <w:r>
        <w:rPr>
          <w:rFonts w:ascii="arial" w:eastAsia="arial" w:hAnsi="arial" w:cs="arial"/>
          <w:color w:val="000000"/>
          <w:sz w:val="20"/>
          <w:lang w:val="en-US" w:eastAsia="en-US" w:bidi="ar-SA"/>
        </w:rPr>
        <w:t xml:space="preserve">  Based on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Mr. Gauthier observed that children from Endogamous households are 2.6 times more likely to attend a minority school than children from Exogamous families. Similarly, he noted that the study concluded that 66% of parents who have done both their primary and secondary schooling in French chose a minority language school for their children, whereas half as many who completed only their primary or secondary schooling in French made the same choice. Mr. Gauthier also noted a four-fold difference in likelihood of choosing a minority language school based on the main language spoken at home. Suggesting that he had no information to suggest that distance to the minority language school would be shorter for these groups, he postulated that the correlation must be related to cultural rather than pragmatic motivations.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877</w:t>
      </w:r>
      <w:r>
        <w:rPr>
          <w:rFonts w:ascii="arial" w:eastAsia="arial" w:hAnsi="arial" w:cs="arial"/>
          <w:color w:val="000000"/>
          <w:sz w:val="20"/>
          <w:lang w:val="en-US" w:eastAsia="en-US" w:bidi="ar-SA"/>
        </w:rPr>
        <w:t>  The plaintiffs challenged Mr. Gauthier's conclusion that persons with a stronger connection to the French language would not necessarily live closer to a minority language school. He agreed while under cross-examination that in some provinces, like New Brunswick and Ontario, there are some highly Francophone communities. He confirmed that persons in those communities would likely live closer to a Francophone school than those in communities where Francophones were only a small minority.</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CSF Exit Survey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878</w:t>
      </w:r>
      <w:r>
        <w:rPr>
          <w:rFonts w:ascii="arial" w:eastAsia="arial" w:hAnsi="arial" w:cs="arial"/>
          <w:color w:val="000000"/>
          <w:sz w:val="20"/>
          <w:lang w:val="en-US" w:eastAsia="en-US" w:bidi="ar-SA"/>
        </w:rPr>
        <w:t>  The CSF Exit Survey Data provides information with respect to the reasons that students have left CSF schools. The person completing the survey is asked to explain why the child will no longer attend a CSF school by selecting one of the following options: out of province move, within British Columbia move, move to another CSF school, enrolment in an immersion school, or enrolment in a majority-language school. Mr. Gauthier agreed on cross-examination that many of these options were "destinations" rather than reasons. If the respondent chooses any of the last three options, though, the form asks the respondent to provide further details about the reasons for the student's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879</w:t>
      </w:r>
      <w:r>
        <w:rPr>
          <w:rFonts w:ascii="arial" w:eastAsia="arial" w:hAnsi="arial" w:cs="arial"/>
          <w:color w:val="000000"/>
          <w:sz w:val="20"/>
          <w:lang w:val="en-US" w:eastAsia="en-US" w:bidi="ar-SA"/>
        </w:rPr>
        <w:t>  Mr. Gauthier studied the Exit Survey Data. He found that parents move their children out of CSF schools for a variety of reasons. He observed that: "No reference was made to the state of the school infrastructure in the reasons given by parents to take their child out of a [CSF] school and place them in a majority-language school or an immersion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880</w:t>
      </w:r>
      <w:r>
        <w:rPr>
          <w:rFonts w:ascii="arial" w:eastAsia="arial" w:hAnsi="arial" w:cs="arial"/>
          <w:color w:val="000000"/>
          <w:sz w:val="20"/>
          <w:lang w:val="en-US" w:eastAsia="en-US" w:bidi="ar-SA"/>
        </w:rPr>
        <w:t>  Mr. Gauthier acknowledged he has no knowledge of the processes in place to collect assemble and report on the information in the exit surveys. Therefore, he stated that he could not offer an opinion with respect to its value as empirical evidence. He therefore considered the information "illustrative of the underlying situation it pertains to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881</w:t>
      </w:r>
      <w:r>
        <w:rPr>
          <w:rFonts w:ascii="arial" w:eastAsia="arial" w:hAnsi="arial" w:cs="arial"/>
          <w:color w:val="000000"/>
          <w:sz w:val="20"/>
          <w:lang w:val="en-US" w:eastAsia="en-US" w:bidi="ar-SA"/>
        </w:rPr>
        <w:t>  While he was under cross-examination, Mr. Gauthier confirmed that the surveyor can have an impact on responses. Mr. Gauthier did not know for a fact how the surveys were administered. The evidence from CSF school educators confirms that they were most often completed by school administrators after speaking to parents. He agreed that a parent might give more polite answers to a senior administrator than they otherwise would. However, he also noted a countervailing factor: the tendency of parents to not be intimidated by and speak their minds to persons in authority. He could not say how those factors might have influenced the answers given by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882</w:t>
      </w:r>
      <w:r>
        <w:rPr>
          <w:rFonts w:ascii="arial" w:eastAsia="arial" w:hAnsi="arial" w:cs="arial"/>
          <w:color w:val="000000"/>
          <w:sz w:val="20"/>
          <w:lang w:val="en-US" w:eastAsia="en-US" w:bidi="ar-SA"/>
        </w:rPr>
        <w:t>  The dataset created by the exit surveys resulted in 600 responses between June 2008 and January 2012. Although he stated he would only use the responses as illustrative of the experiences therein, Mr. Gauthier performed a statistical analysis of the reasons given for departing CSF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883</w:t>
      </w:r>
      <w:r>
        <w:rPr>
          <w:rFonts w:ascii="arial" w:eastAsia="arial" w:hAnsi="arial" w:cs="arial"/>
          <w:color w:val="000000"/>
          <w:sz w:val="20"/>
          <w:lang w:val="en-US" w:eastAsia="en-US" w:bidi="ar-SA"/>
        </w:rPr>
        <w:t>  Mr. Gauthier concluded that the most frequent reason cited for leaving a CSF school is to enrol in a majority school (32%) or an immersion school (28%). Together, these two categories totalled 60% of departures, and were equally frequent among schools that were part of the claim and outside the claim. The most frequent reason given for moving to those facilities was a desire for children to move to a larger school for purposes of socialization. That reason was more frequent for schools outside this claim (16%) than for schools that form part of the claim (4%). Following that, frequent reasons given included to be with siblings (65%), the availability of more interesting programmes (6%), the distance to the school (6%) and insufficiency of parent language skills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884</w:t>
      </w:r>
      <w:r>
        <w:rPr>
          <w:rFonts w:ascii="arial" w:eastAsia="arial" w:hAnsi="arial" w:cs="arial"/>
          <w:color w:val="000000"/>
          <w:sz w:val="20"/>
          <w:lang w:val="en-US" w:eastAsia="en-US" w:bidi="ar-SA"/>
        </w:rPr>
        <w:t>  Mr. Gauthier filed a supplemental expert report that provided his opinions about a set of 519 further Exit Surveys that were provided to him after he completed his first expert report. In that data, he found a single reference to the state of school infrastructure as a reason given by a parent to move their child from a CSF school to an immersion school. The most frequent reasons were the distance to school, followed by school difficulties and insufficient language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885</w:t>
      </w:r>
      <w:r>
        <w:rPr>
          <w:rFonts w:ascii="arial" w:eastAsia="arial" w:hAnsi="arial" w:cs="arial"/>
          <w:color w:val="000000"/>
          <w:sz w:val="20"/>
          <w:lang w:val="en-US" w:eastAsia="en-US" w:bidi="ar-SA"/>
        </w:rPr>
        <w:t>  Mr. Gauthier observed that no reference was made to the state of school infrastructure in the reasons given by parents to take their children out of a CSF school and place them in an immersion or a majority school. He found two isolated references by the same parent to school transportation not being offered door-to-door. As a result, Mr. Gauthier concluded that the Exit Survey Data does not reveal school facilities to be a significant cause of children leaving CSF schools.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Gauthier Survey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886</w:t>
      </w:r>
      <w:r>
        <w:rPr>
          <w:rFonts w:ascii="arial" w:eastAsia="arial" w:hAnsi="arial" w:cs="arial"/>
          <w:color w:val="000000"/>
          <w:sz w:val="20"/>
          <w:lang w:val="en-US" w:eastAsia="en-US" w:bidi="ar-SA"/>
        </w:rPr>
        <w:t>  The Gauthier Survey Data contains the results of Mr. Gauthier's original survey of s. 23 rightsholders. As Mr. Gauthier did not have a complete list of s. 23 rightsholders, he elected to sample adult residents of Canada indiscriminately. The sample was drawn from a pre-recruited pan-Canadian panel, Probit, and complemented by automated calling in British Columbia. Respondents were submitted to four screening questions designed to identify s. 23 rightsholders. Where those questions identified a s. 23 rightsholder within the household, the respondent was invited to participate in a longer on-line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887</w:t>
      </w:r>
      <w:r>
        <w:rPr>
          <w:rFonts w:ascii="arial" w:eastAsia="arial" w:hAnsi="arial" w:cs="arial"/>
          <w:color w:val="000000"/>
          <w:sz w:val="20"/>
          <w:lang w:val="en-US" w:eastAsia="en-US" w:bidi="ar-SA"/>
        </w:rPr>
        <w:t>  Mr. Gauthier confirmed that his sample was not a pure random sample, which would require a complete list of the population to sample from. On cross-examination, Mr. Grant, counsel for the plaintiffs, put to Mr. Gauthier that sampling ought to be random, and can be biased by self-selection of respondents. He maintained that the approach to sampling that was put to him was a purist, or academic approach to representative sampling. In practice, he explained, different standards are appropriate due to the modern reality that few persons want to participate in survey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888</w:t>
      </w:r>
      <w:r>
        <w:rPr>
          <w:rFonts w:ascii="arial" w:eastAsia="arial" w:hAnsi="arial" w:cs="arial"/>
          <w:color w:val="000000"/>
          <w:sz w:val="20"/>
          <w:lang w:val="en-US" w:eastAsia="en-US" w:bidi="ar-SA"/>
        </w:rPr>
        <w:t>  Mr. Gauthier maintained that different sampling standards apply with respect to comparative and descriptive research. Selection bias-- which can occur, for example, when the sample omits some proportion of the target population-- poses more acute concerns with descriptive research than with comparative research. If there is selection bias in a sample being used for comparative research, the data may still say something of value about the differences between the groups. Mr. Gauthier characterized some of his questions as comparative.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889</w:t>
      </w:r>
      <w:r>
        <w:rPr>
          <w:rFonts w:ascii="arial" w:eastAsia="arial" w:hAnsi="arial" w:cs="arial"/>
          <w:color w:val="000000"/>
          <w:sz w:val="20"/>
          <w:lang w:val="en-US" w:eastAsia="en-US" w:bidi="ar-SA"/>
        </w:rPr>
        <w:t>  Mr. Gauthier performed a pre-test of his survey. As a result of the pre-test, Mr. Gauthier concluded that the questionnaire was sound, understandable and included relevant questions. Mr. Gauthier agreed on cross-examination that his form of pretest would not have captured instances where a person misinterpreted the study but did not struggle with it. He agreed that using a pretest like a focus group, or one that put different versions of a question to respondents, would have given him different information. However, he maintained that about 99% of surveys use his pretesting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890</w:t>
      </w:r>
      <w:r>
        <w:rPr>
          <w:rFonts w:ascii="arial" w:eastAsia="arial" w:hAnsi="arial" w:cs="arial"/>
          <w:color w:val="000000"/>
          <w:sz w:val="20"/>
          <w:lang w:val="en-US" w:eastAsia="en-US" w:bidi="ar-SA"/>
        </w:rPr>
        <w:t>  Mr. Gauthier explained that a total of 50,750 members of the pre-recruited panel, Probit, who lived outside Quebec were invited to participate in the study. A total of 9,323 persons completed the screening questions but were not s. 23 rightsholders. 1,095 were identified as rightsholders and continued on to complete the questionnaire.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891</w:t>
      </w:r>
      <w:r>
        <w:rPr>
          <w:rFonts w:ascii="arial" w:eastAsia="arial" w:hAnsi="arial" w:cs="arial"/>
          <w:color w:val="000000"/>
          <w:sz w:val="20"/>
          <w:lang w:val="en-US" w:eastAsia="en-US" w:bidi="ar-SA"/>
        </w:rPr>
        <w:t>  Mr. Gauthier did additional telephone sampling in BC. An automated caller dialed a total of 1,063,937 British Columbia land line numbers and 963,505 randomly generated BC telephone numbers. Some 9,805 numbers were on a do-not-call list, and 704,612 were not in service. 13,368 persons completed the screening questions. Of them, 1,388 were identified as possible rightsholders and were invited to complete the questionnaire. In total, 261 questionnaires were filled out by rightsholders identified through the automated calling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892</w:t>
      </w:r>
      <w:r>
        <w:rPr>
          <w:rFonts w:ascii="arial" w:eastAsia="arial" w:hAnsi="arial" w:cs="arial"/>
          <w:color w:val="000000"/>
          <w:sz w:val="20"/>
          <w:lang w:val="en-US" w:eastAsia="en-US" w:bidi="ar-SA"/>
        </w:rPr>
        <w:t>  Thus, in total, 1,356 rightsholder questionnaires were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893</w:t>
      </w:r>
      <w:r>
        <w:rPr>
          <w:rFonts w:ascii="arial" w:eastAsia="arial" w:hAnsi="arial" w:cs="arial"/>
          <w:color w:val="000000"/>
          <w:sz w:val="20"/>
          <w:lang w:val="en-US" w:eastAsia="en-US" w:bidi="ar-SA"/>
        </w:rPr>
        <w:t>  Mr. Gauthier agreed while under cross-examination that response rate is one measure of survey quality. He agreed that he did not report the response rate to his research in his study. He did, however, report that the level of participation in the study should be taken into consideration, as should the fact that the research is not based on a random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894</w:t>
      </w:r>
      <w:r>
        <w:rPr>
          <w:rFonts w:ascii="arial" w:eastAsia="arial" w:hAnsi="arial" w:cs="arial"/>
          <w:color w:val="000000"/>
          <w:sz w:val="20"/>
          <w:lang w:val="en-US" w:eastAsia="en-US" w:bidi="ar-SA"/>
        </w:rPr>
        <w:t>  It was also put to Mr. Gauthier that a high response rate is important to ensuring the researcher feels confident that the respondents would reasonably represent the target population. Mr. Gauthier agreed that was the case with very high response rates, such as responses of 90%-- a response rate so high that he had never seen one in a survey of this nature. He noted that it was unsettled whether there is an appreciable difference in the confidence a researcher could have at lower response rates-- such as between a 40% and a 5% response. He noted that research with much lower response rates have been successful in producing meaningful information. He also averted to research suggesting no significant differences in reliability of samples with very low response rates, in the 5%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895</w:t>
      </w:r>
      <w:r>
        <w:rPr>
          <w:rFonts w:ascii="arial" w:eastAsia="arial" w:hAnsi="arial" w:cs="arial"/>
          <w:color w:val="000000"/>
          <w:sz w:val="20"/>
          <w:lang w:val="en-US" w:eastAsia="en-US" w:bidi="ar-SA"/>
        </w:rPr>
        <w:t>  Mr. Gauthier was also questioned about his use of the Probit panel. He agreed that the Probit panel is composed of households that were contacted randomly and that had agreed to become members of the panel. Probit received about a 1-2% response rate when it constructed the sample. Then, Mr. Gauthier's survey was sent to the pre-recruited panel members. About 21% of the members of the Probit panel agreed to participate in the survey before they were screened to determine whether they were Canadian rightsholders living outside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896</w:t>
      </w:r>
      <w:r>
        <w:rPr>
          <w:rFonts w:ascii="arial" w:eastAsia="arial" w:hAnsi="arial" w:cs="arial"/>
          <w:color w:val="000000"/>
          <w:sz w:val="20"/>
          <w:lang w:val="en-US" w:eastAsia="en-US" w:bidi="ar-SA"/>
        </w:rPr>
        <w:t>  The evidence reveals that in July 2013, Mr. Gauthier emailed his contact at Probit to express concern about the participation rate. In August of that year, he expressed concern with the rate at which identified rightsholders from the BC telephone survey were going on to complete the on-line survey. Later, in a further email to Probit, he stated that the success of the project would be determined by the telephone calls. He explained that his goal in sending those emails was to urge his supplier, Probit, to take action to try to increase the number of responses to the survey. This suggests that participation rate was an important consideration for Mr. Gauthier.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897</w:t>
      </w:r>
      <w:r>
        <w:rPr>
          <w:rFonts w:ascii="arial" w:eastAsia="arial" w:hAnsi="arial" w:cs="arial"/>
          <w:color w:val="000000"/>
          <w:sz w:val="20"/>
          <w:lang w:val="en-US" w:eastAsia="en-US" w:bidi="ar-SA"/>
        </w:rPr>
        <w:t>  The respondents to Mr. Gauthier's survey ranged in age from youth to seniors, and answered with respect to the decisions they made for their children. The majority of respondents-- 68%-- had children age 19 or older. Sixty percent had children age 5 to 18. Mr. Gauthier agreed that a little more than 25% of respondents had children age 36 or more, meaning that their children were in secondary school at least 18 or more years ago. He agreed that his responses do not distinguish between what factors are important today as compared to what was important to parents many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898</w:t>
      </w:r>
      <w:r>
        <w:rPr>
          <w:rFonts w:ascii="arial" w:eastAsia="arial" w:hAnsi="arial" w:cs="arial"/>
          <w:color w:val="000000"/>
          <w:sz w:val="20"/>
          <w:lang w:val="en-US" w:eastAsia="en-US" w:bidi="ar-SA"/>
        </w:rPr>
        <w:t>  Mr. Gauthier used mathematical weighting to ensure the descriptive data were representative of the socio-demographic composition of the population being studied. He weighted the answers of the individuals who completed the screening questions to ensure that they conformed to the distribution of the population aged 18 or more by province and age group in the 2011 census.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899</w:t>
      </w:r>
      <w:r>
        <w:rPr>
          <w:rFonts w:ascii="arial" w:eastAsia="arial" w:hAnsi="arial" w:cs="arial"/>
          <w:color w:val="000000"/>
          <w:sz w:val="20"/>
          <w:lang w:val="en-US" w:eastAsia="en-US" w:bidi="ar-SA"/>
        </w:rPr>
        <w:t>  Mr. Gauthier's survey was designed to elicit data concerning the elementary and secondary school trajectories of children in the household. The available trajectories were designed to elucidate whether the child attended a majority-language school from start to finish, a minority language school from start to finish, a majority-language school and then a minority language school, or a minority language school and then a majority-language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900</w:t>
      </w:r>
      <w:r>
        <w:rPr>
          <w:rFonts w:ascii="arial" w:eastAsia="arial" w:hAnsi="arial" w:cs="arial"/>
          <w:color w:val="000000"/>
          <w:sz w:val="20"/>
          <w:lang w:val="en-US" w:eastAsia="en-US" w:bidi="ar-SA"/>
        </w:rPr>
        <w:t>  Participants were given the opportunity to answer an open-ended question addressing why they chose that trajectory. Later, participants were asked to indicate the strength of their identification with a battery of pre-selected school-specific reasons why a parent may choose a particular school for their child, and a battery of pre-selected non-school-specific reasons for school choices. Finally, participants answered closing questions concerning their socio-economic and cultural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901</w:t>
      </w:r>
      <w:r>
        <w:rPr>
          <w:rFonts w:ascii="arial" w:eastAsia="arial" w:hAnsi="arial" w:cs="arial"/>
          <w:color w:val="000000"/>
          <w:sz w:val="20"/>
          <w:lang w:val="en-US" w:eastAsia="en-US" w:bidi="ar-SA"/>
        </w:rPr>
        <w:t>  Mr. Gauthier's survey asked questions about the importance of a variety of factors to a parent's choice of a given school trajectory. Most of the time, the pre-selected battery of factors proposed positive attributes of a school. Then, parents were asked to rank the importance of those factors to the parent. (The propositions were phrased in the negative when asking why a given school trajectory was NOT chosen.) For example, parents were asked to rank the importance of the proposition that "[t]he school was close to home" to their decision to enrol their child in a given type of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902</w:t>
      </w:r>
      <w:r>
        <w:rPr>
          <w:rFonts w:ascii="arial" w:eastAsia="arial" w:hAnsi="arial" w:cs="arial"/>
          <w:color w:val="000000"/>
          <w:sz w:val="20"/>
          <w:lang w:val="en-US" w:eastAsia="en-US" w:bidi="ar-SA"/>
        </w:rPr>
        <w:t>  Mr. Gauthier noted that his original research showed that socio-cultural identification is paramount in school decisions. Households are more likely to choose a French-only elementary or secondary school trajectory where French is used most often at home, the parent has an above average cultural connection to the French community, the parent is below average in their level of pragmatism about school decisions, and/or if the parent has an above-average Francophone self-image.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903</w:t>
      </w:r>
      <w:r>
        <w:rPr>
          <w:rFonts w:ascii="arial" w:eastAsia="arial" w:hAnsi="arial" w:cs="arial"/>
          <w:color w:val="000000"/>
          <w:sz w:val="20"/>
          <w:lang w:val="en-US" w:eastAsia="en-US" w:bidi="ar-SA"/>
        </w:rPr>
        <w:t>  With reference to reasons that parents chose a minority elementary school for their children, Mr. Gauthier observed that parents emphasized the value of bilingualism, as well as the school environment and facilities. At the secondary level, the most important factors were cultural attachment and the value of bilingualism, as well as the quality of the school facilities and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904</w:t>
      </w:r>
      <w:r>
        <w:rPr>
          <w:rFonts w:ascii="arial" w:eastAsia="arial" w:hAnsi="arial" w:cs="arial"/>
          <w:color w:val="000000"/>
          <w:sz w:val="20"/>
          <w:lang w:val="en-US" w:eastAsia="en-US" w:bidi="ar-SA"/>
        </w:rPr>
        <w:t>  In response to questions about why a minority elementary school was NOT chosen, the distance to the minority language school was the only factor noted by parents to be moderately important. At the secondary level, a minority school was most often not chosen due to the child's preferences and the distance to school. Since parents were given the opportunity to signal other important reasons for not choosing a minority school, Mr. Gauthier concluded that other than distance from school, the reasons for NOT enrolling one's child in a French elementary or secondary school were not associated with the quality of the minority language school or the state of its infrastructure, but rather with socio-cultural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905</w:t>
      </w:r>
      <w:r>
        <w:rPr>
          <w:rFonts w:ascii="arial" w:eastAsia="arial" w:hAnsi="arial" w:cs="arial"/>
          <w:color w:val="000000"/>
          <w:sz w:val="20"/>
          <w:lang w:val="en-US" w:eastAsia="en-US" w:bidi="ar-SA"/>
        </w:rPr>
        <w:t>  Parents typically did not indicate that they had strong reasons for not choosing a Francophone education. There were also a number of non-responses to the question. Mr. Gauthier related this to the fact that many parents may not have made a decision not to send their children to a minority language school; it might never have been a consideration or an opportunity that the family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906</w:t>
      </w:r>
      <w:r>
        <w:rPr>
          <w:rFonts w:ascii="arial" w:eastAsia="arial" w:hAnsi="arial" w:cs="arial"/>
          <w:color w:val="000000"/>
          <w:sz w:val="20"/>
          <w:lang w:val="en-US" w:eastAsia="en-US" w:bidi="ar-SA"/>
        </w:rPr>
        <w:t>  Mr. Gauthier also reported on reasons given by parents for removing their children from minority language schools to enrol them in a majority school. At the elementary level, the main reasons included a desire for bilingualism, the ease of moving between cities, the distance to the school, and the unavailability of a minority elementary school in the region. There were too few responses with respect to the secondary level and English-to-French school trajectories for Mr. Gauthier to draw any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907</w:t>
      </w:r>
      <w:r>
        <w:rPr>
          <w:rFonts w:ascii="arial" w:eastAsia="arial" w:hAnsi="arial" w:cs="arial"/>
          <w:color w:val="000000"/>
          <w:sz w:val="20"/>
          <w:lang w:val="en-US" w:eastAsia="en-US" w:bidi="ar-SA"/>
        </w:rPr>
        <w:t>  Examining why parents chose a majority elementary education for their children, Mr. Gauthier observed that the location of the majority school, or a lack of a local minority language school, is likely to influence the decision. Factors including the quality of the teaching and school environment were also important to the choice of a majority school. At the secondary level, the English-only trajectory was most often preferred because the school was local, or because of the quality of teaching, and environment, and the child's preference.</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908</w:t>
      </w:r>
      <w:r>
        <w:rPr>
          <w:rFonts w:ascii="arial" w:eastAsia="arial" w:hAnsi="arial" w:cs="arial"/>
          <w:color w:val="000000"/>
          <w:sz w:val="20"/>
          <w:lang w:val="en-US" w:eastAsia="en-US" w:bidi="ar-SA"/>
        </w:rPr>
        <w:t>  In the final synthesis of his conclusions, Mr. Gauthier addressed the main factors that influence a decision to enrol one's child in majority or minority elementary or secondary schools. He ranked a number of factors as playing a role in school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909</w:t>
      </w:r>
      <w:r>
        <w:rPr>
          <w:rFonts w:ascii="arial" w:eastAsia="arial" w:hAnsi="arial" w:cs="arial"/>
          <w:color w:val="000000"/>
          <w:sz w:val="20"/>
          <w:lang w:val="en-US" w:eastAsia="en-US" w:bidi="ar-SA"/>
        </w:rPr>
        <w:t>  Mr. Gauthier observed that a parent's socio-cultural identification is the most important factors influencing the decision to enrol one's child in a majority elementary school. If parents have weak ties to the Francophone community and the French language, they are significantly more likely to choose a majority elementary school. The proximity of the school is also an important reason for choosing a majority elementary school. The quality of the teaching environment plays a lesser role in the decision. Other significant factors include the need for a school large enough to support socialization and the need to put siblings in the same school. He did not find that the appearance of the school and quality of the infrastructure played a role in the choice of a majority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910</w:t>
      </w:r>
      <w:r>
        <w:rPr>
          <w:rFonts w:ascii="arial" w:eastAsia="arial" w:hAnsi="arial" w:cs="arial"/>
          <w:color w:val="000000"/>
          <w:sz w:val="20"/>
          <w:lang w:val="en-US" w:eastAsia="en-US" w:bidi="ar-SA"/>
        </w:rPr>
        <w:t>  With respect to the decision to enrol one's child in majority secondary schools, socio-cultural identification continued to play a role, but to a lesser extent. Instead, factors such as location of the majority school or lack of a minority school were the most important. The school and teaching environments and student preferences were also important factors. Again, he found no support for the hypothesis that physical attributes of school buildings attract students to secondary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911</w:t>
      </w:r>
      <w:r>
        <w:rPr>
          <w:rFonts w:ascii="arial" w:eastAsia="arial" w:hAnsi="arial" w:cs="arial"/>
          <w:color w:val="000000"/>
          <w:sz w:val="20"/>
          <w:lang w:val="en-US" w:eastAsia="en-US" w:bidi="ar-SA"/>
        </w:rPr>
        <w:t>  Mr. Gauthier then synthesized the factors that influence a decision to enrol in a minority elementary school. The most important factor was again the socio-cultural identification of the parent as shown by their connection to the community and their personal schooling in French. Personal values placed on bilingualism also influenced the decision. Some physical factors of school infrastructure also factored into the decision in favour of attending the minority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912</w:t>
      </w:r>
      <w:r>
        <w:rPr>
          <w:rFonts w:ascii="arial" w:eastAsia="arial" w:hAnsi="arial" w:cs="arial"/>
          <w:color w:val="000000"/>
          <w:sz w:val="20"/>
          <w:lang w:val="en-US" w:eastAsia="en-US" w:bidi="ar-SA"/>
        </w:rPr>
        <w:t>  With respect to the decision to enrol in a minority secondary school, Mr. Gauthier observed that the key factor was again cultural attachment or socio-cultural identification, as well as the value placed on bilingualism. As with minority elementary schools, the school facilities also attracted children to minority secondary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913</w:t>
      </w:r>
      <w:r>
        <w:rPr>
          <w:rFonts w:ascii="arial" w:eastAsia="arial" w:hAnsi="arial" w:cs="arial"/>
          <w:color w:val="000000"/>
          <w:sz w:val="20"/>
          <w:lang w:val="en-US" w:eastAsia="en-US" w:bidi="ar-SA"/>
        </w:rPr>
        <w:t>  Mr. Gauthier concluded that he did not find that the physical attributes of school buildings factored into a decision to enrol a student in a majority school. He did, however, find that physical characteristics of school amenities might factor into a parent's decision in favour of a minority school.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Dr. Landry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914</w:t>
      </w:r>
      <w:r>
        <w:rPr>
          <w:rFonts w:ascii="arial" w:eastAsia="arial" w:hAnsi="arial" w:cs="arial"/>
          <w:color w:val="000000"/>
          <w:sz w:val="20"/>
          <w:lang w:val="en-US" w:eastAsia="en-US" w:bidi="ar-SA"/>
        </w:rPr>
        <w:t>  In his expert report, Dr. Landry gave his own view of how facilities influence a parent's decision to enrol their children in a minority school. He also responded to Mr. Gauthier's conclusions twice. He was cross-examined with respect to Mr. Gauthier's views while he was giving evidence concerning his expert report. Later, he prepared a report responding to Mr. Gauthier's report, and was cross-examined with respect to those conclusions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915</w:t>
      </w:r>
      <w:r>
        <w:rPr>
          <w:rFonts w:ascii="arial" w:eastAsia="arial" w:hAnsi="arial" w:cs="arial"/>
          <w:color w:val="000000"/>
          <w:sz w:val="20"/>
          <w:lang w:val="en-US" w:eastAsia="en-US" w:bidi="ar-SA"/>
        </w:rPr>
        <w:t xml:space="preserve">  Dr. Landry was asked to explain how the quality of minority school facilities affect the quality of education, and whether school facilities are a factor considered by parents when deciding whether to enrol their children in minority schools. He explained that adequate facilities and proper training are of the utmost importance to achieving actualization pedagogy and community-building pedagogy. He relied on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to explain that close to one-fifth of French-speaking parents outside Quebec chose a majority school because they judge them to be of higher quality or to have better programmes. He opined that equivalent facilities are therefore an essential element to fostering stronger attendance at minority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916</w:t>
      </w:r>
      <w:r>
        <w:rPr>
          <w:rFonts w:ascii="arial" w:eastAsia="arial" w:hAnsi="arial" w:cs="arial"/>
          <w:color w:val="000000"/>
          <w:sz w:val="20"/>
          <w:lang w:val="en-US" w:eastAsia="en-US" w:bidi="ar-SA"/>
        </w:rPr>
        <w:t xml:space="preserve">  Counsel for the defendants, Mr. Doust, put to Dr. Landry that his conclusion that equivalent facilities are "essential" to fostering better attendance at minority schools was based on the views of 17% of respondents to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Dr. Landry replied that the views of 17% of persons were sufficient to warrant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917</w:t>
      </w:r>
      <w:r>
        <w:rPr>
          <w:rFonts w:ascii="arial" w:eastAsia="arial" w:hAnsi="arial" w:cs="arial"/>
          <w:color w:val="000000"/>
          <w:sz w:val="20"/>
          <w:lang w:val="en-US" w:eastAsia="en-US" w:bidi="ar-SA"/>
        </w:rPr>
        <w:t xml:space="preserve">  In his report, Mr. Gauthier challenged Dr. Landry for relying on the data in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concerning the "quality of programmes and schools" to draw conclusions about the importance of "school facilities". In Mr. Gauthier's view, this demonstrates conceptual slippage. When Mr. Doust put this to Dr. Landry, Dr. Landry agreed "school facilities" and the "quality of programmes and schools" are not the same, and that the quality of programmes and schools includes more than just school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918</w:t>
      </w:r>
      <w:r>
        <w:rPr>
          <w:rFonts w:ascii="arial" w:eastAsia="arial" w:hAnsi="arial" w:cs="arial"/>
          <w:color w:val="000000"/>
          <w:sz w:val="20"/>
          <w:lang w:val="en-US" w:eastAsia="en-US" w:bidi="ar-SA"/>
        </w:rPr>
        <w:t>  While Dr. Landry was being cross-examined the first time, Dr. Landry took issue with many aspects of Mr. Gauthier's expert report. In his report, Mr. Gauthier discredits the importance of distance to school choices by pointing to Exogamy as a more powerful predictor. In support of this view, Mr. Gauthier stated that he had no reason to believe that schools are more distant for Exogamous households than for Endogamous households. Dr. Landry urged that the mere fact of a high concentration of Exogamy shows a low concentration of Francophones, and thus may result in a greater distance to minority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919</w:t>
      </w:r>
      <w:r>
        <w:rPr>
          <w:rFonts w:ascii="arial" w:eastAsia="arial" w:hAnsi="arial" w:cs="arial"/>
          <w:color w:val="000000"/>
          <w:sz w:val="20"/>
          <w:lang w:val="en-US" w:eastAsia="en-US" w:bidi="ar-SA"/>
        </w:rPr>
        <w:t>  Mr. Doust took Dr. Landry to Mr. Gauthier's conclusion that rightsholders choose minority language schools for cultural reasons and majority schools for pragmatic or practical reasons. Dr. Landry stated that he agreed with the distinction generally, but believed there were more nuances to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920</w:t>
      </w:r>
      <w:r>
        <w:rPr>
          <w:rFonts w:ascii="arial" w:eastAsia="arial" w:hAnsi="arial" w:cs="arial"/>
          <w:color w:val="000000"/>
          <w:sz w:val="20"/>
          <w:lang w:val="en-US" w:eastAsia="en-US" w:bidi="ar-SA"/>
        </w:rPr>
        <w:t xml:space="preserve">  Mr. Doust put to Dr. Landry the conclusions Dr. Landry reached with respect to the factors going to school choice in a paper he authored in 2003 (R. Landry, </w:t>
      </w:r>
      <w:r>
        <w:rPr>
          <w:rFonts w:ascii="arial" w:eastAsia="arial" w:hAnsi="arial" w:cs="arial"/>
          <w:i/>
          <w:color w:val="000000"/>
          <w:sz w:val="20"/>
          <w:lang w:val="en-US" w:eastAsia="en-US" w:bidi="ar-SA"/>
        </w:rPr>
        <w:t>Unlocking the Hidden Potential of Exogamy</w:t>
      </w:r>
      <w:r>
        <w:rPr>
          <w:rFonts w:ascii="arial" w:eastAsia="arial" w:hAnsi="arial" w:cs="arial"/>
          <w:color w:val="000000"/>
          <w:sz w:val="20"/>
          <w:lang w:val="en-US" w:eastAsia="en-US" w:bidi="ar-SA"/>
        </w:rPr>
        <w:t xml:space="preserve"> (Moncton: Canadian Institute for Research on Linguistic Minorities, 2003)). There, Dr. Landry explained that the choice of a minority school is correlated with a strong Francophone identity, while majority schools are chosen for more practical or social considerations. Dr. Landry suggested that his thinking has evolved since he prepared that paper, and he now sees more nuance to the question. In his view, parents who lie at a mid-point with respect to their Francophone identity-- those who self-identify as Francophone but are not engaged in the Francophone community-- will choose a school based on practical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921</w:t>
      </w:r>
      <w:r>
        <w:rPr>
          <w:rFonts w:ascii="arial" w:eastAsia="arial" w:hAnsi="arial" w:cs="arial"/>
          <w:color w:val="000000"/>
          <w:sz w:val="20"/>
          <w:lang w:val="en-US" w:eastAsia="en-US" w:bidi="ar-SA"/>
        </w:rPr>
        <w:t>  The plaintiffs retained Dr. Landry to prepare a second expert report in reply to Mr. Gauthier's study. Dr. Landry's critique of Mr. Gauthier focuses almost exclusively on the prompted responses to Mr. Gauthier's original survey. He did not do any independent verification of the CSF Exit Survey Data because he did not believe it to be compelling data. He also did not examine the unprompted responses to Mr. Gauthier's survey, which was an important aspect of his original survey research and his conclusions. He likewise did not review some of Mr. Gauthier's research in 1998, which informed his original research. As a result, Dr. Landry's critique of Mr. Gauthier's overall conclusions must be treated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922</w:t>
      </w:r>
      <w:r>
        <w:rPr>
          <w:rFonts w:ascii="arial" w:eastAsia="arial" w:hAnsi="arial" w:cs="arial"/>
          <w:color w:val="000000"/>
          <w:sz w:val="20"/>
          <w:lang w:val="en-US" w:eastAsia="en-US" w:bidi="ar-SA"/>
        </w:rPr>
        <w:t>  Dr. Landry's main critique was that Mr. Gauthier's sample was not representative of s. 23 rightsholders outside Quebec. He found that the geographic distribution of Mr. Gauthier's sample diverged extensively from the geographic distribution of rightsholders across the Canada. Additionally, Dr. Landry raised concerns with Mr. Gauthier's weighting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923</w:t>
      </w:r>
      <w:r>
        <w:rPr>
          <w:rFonts w:ascii="arial" w:eastAsia="arial" w:hAnsi="arial" w:cs="arial"/>
          <w:color w:val="000000"/>
          <w:sz w:val="20"/>
          <w:lang w:val="en-US" w:eastAsia="en-US" w:bidi="ar-SA"/>
        </w:rPr>
        <w:t>  Then, Dr. Landry challenged some of the conclusions Mr. Gauthier drew when interpreting his survey results. Dr. Landry noted that Mr. Gauthier used an arbitrary numerical threshold to say when factors were important to parents or were not based on the average importance rating given to the factor. He observed that some average importance ratings fell just short of the threshold. Thus, factors that were relatively important to parents were not discussed in Mr. Gauthier's report. This led Mr. Gauthier to ignore the importance parents assigned to physical facilities when choosing a majority school even though that factor was very close to meeting his importance threshold. Thus, Dr. Landry concluded that Mr. Gauthier systematically de-emphasized the importance of physical facilities, particularly as they relate to the reasons for choosing a majority-language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924</w:t>
      </w:r>
      <w:r>
        <w:rPr>
          <w:rFonts w:ascii="arial" w:eastAsia="arial" w:hAnsi="arial" w:cs="arial"/>
          <w:color w:val="000000"/>
          <w:sz w:val="20"/>
          <w:lang w:val="en-US" w:eastAsia="en-US" w:bidi="ar-SA"/>
        </w:rPr>
        <w:t>  Dr. Landry proceeded to present his own analysis and interpretation of the Gauthier Survey Data. He focused on Mr. Gauthier's data on prompted school choice reasons, but with some amendments such as a lack of weighting, and ensuring that parents were not duplicated for multiple children in the same trajectory. For simplicity, he grouped elementary and secondary school choices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925</w:t>
      </w:r>
      <w:r>
        <w:rPr>
          <w:rFonts w:ascii="arial" w:eastAsia="arial" w:hAnsi="arial" w:cs="arial"/>
          <w:color w:val="000000"/>
          <w:sz w:val="20"/>
          <w:lang w:val="en-US" w:eastAsia="en-US" w:bidi="ar-SA"/>
        </w:rPr>
        <w:t>  In Dr. Landry's analysis, a substantial number of respondents assigned a very high importance to school and physical facility reasons when making school choices. He noted that those reasons tended to be almost as important as other reasons for attending either a minority- or majority-language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926</w:t>
      </w:r>
      <w:r>
        <w:rPr>
          <w:rFonts w:ascii="arial" w:eastAsia="arial" w:hAnsi="arial" w:cs="arial"/>
          <w:color w:val="000000"/>
          <w:sz w:val="20"/>
          <w:lang w:val="en-US" w:eastAsia="en-US" w:bidi="ar-SA"/>
        </w:rPr>
        <w:t>  Dr. Landry cautioned that the results found in his analysis might not be replicated in a study with a representative sample of rightsholders outside Quebec due to the problems with Mr. Gauthier's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927</w:t>
      </w:r>
      <w:r>
        <w:rPr>
          <w:rFonts w:ascii="arial" w:eastAsia="arial" w:hAnsi="arial" w:cs="arial"/>
          <w:color w:val="000000"/>
          <w:sz w:val="20"/>
          <w:lang w:val="en-US" w:eastAsia="en-US" w:bidi="ar-SA"/>
        </w:rPr>
        <w:t>  Examining comparative aspects, which he conceded pose less of a problem for reliability, he concluded that cultural identification does seem to play a role in school decisions, as respondents with a strong identification with the French community are more likely to enrol their children in a minority language school. Parents with a weak Francophone identification are more likely to enrol their children in a majority school. On the other hand, his analyses do not support Mr. Gauthier's global statement that socio-cultural identification is paramount in school decisions, or that the most important factor determining the decision to enrol in English elementary school is the socio-cultural identification of the parent.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Dr. Spears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928</w:t>
      </w:r>
      <w:r>
        <w:rPr>
          <w:rFonts w:ascii="arial" w:eastAsia="arial" w:hAnsi="arial" w:cs="arial"/>
          <w:color w:val="000000"/>
          <w:sz w:val="20"/>
          <w:lang w:val="en-US" w:eastAsia="en-US" w:bidi="ar-SA"/>
        </w:rPr>
        <w:t>  Dr. Spears provided another responding expert report on behalf of the plaintiffs. Dr. Spears holds a B.A. from the University of Western Ontario; an M.A. and Ph.D. in Cognitive Psychology, both from the University of Toronto; as well as a Post-Doctoral Fellowship in Cognitive Psychology from the University of Western Ontario. The majority of his professional work has involved conducting surveys and analyzing survey data. He has designed and analyzed more than 200 survey projects for a broad range of groups, from the public sector to private clients and businesses. In that work, he employs sophisticated approaches to research design and analysis, including multivariate analysis and statistical modelling.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929</w:t>
      </w:r>
      <w:r>
        <w:rPr>
          <w:rFonts w:ascii="arial" w:eastAsia="arial" w:hAnsi="arial" w:cs="arial"/>
          <w:color w:val="000000"/>
          <w:sz w:val="20"/>
          <w:lang w:val="en-US" w:eastAsia="en-US" w:bidi="ar-SA"/>
        </w:rPr>
        <w:t>  Dr. Spears was qualified without objection as an expert in quantitative and qualitative research and analysis, statistical methods, designing and conducting surveys and analyzing survey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930</w:t>
      </w:r>
      <w:r>
        <w:rPr>
          <w:rFonts w:ascii="arial" w:eastAsia="arial" w:hAnsi="arial" w:cs="arial"/>
          <w:color w:val="000000"/>
          <w:sz w:val="20"/>
          <w:lang w:val="en-US" w:eastAsia="en-US" w:bidi="ar-SA"/>
        </w:rPr>
        <w:t>  Dr. Spears was asked to review Mr. Gauthier's survey, and to comment on his design of the survey questions, his factor analysis of the survey data, the Exit Survey Data and Mr. Gauthier's use of it, and Mr. Gauthier's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931</w:t>
      </w:r>
      <w:r>
        <w:rPr>
          <w:rFonts w:ascii="arial" w:eastAsia="arial" w:hAnsi="arial" w:cs="arial"/>
          <w:color w:val="000000"/>
          <w:sz w:val="20"/>
          <w:lang w:val="en-US" w:eastAsia="en-US" w:bidi="ar-SA"/>
        </w:rPr>
        <w:t>  Dr. Spears pointed to several serious problems with the questions Mr. Gauthier used to assess the importance of certain attributes of a school to parent enrolment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932</w:t>
      </w:r>
      <w:r>
        <w:rPr>
          <w:rFonts w:ascii="arial" w:eastAsia="arial" w:hAnsi="arial" w:cs="arial"/>
          <w:color w:val="000000"/>
          <w:sz w:val="20"/>
          <w:lang w:val="en-US" w:eastAsia="en-US" w:bidi="ar-SA"/>
        </w:rPr>
        <w:t>  Dr. Spears raised the concern that Mr. Gauthier used "double-barreled" questions. He observed that for two of the school qualities that Mr. Gauthier asked respondents to assess, Mr. Gauthier's question proposed that the parents saw no concern with a certain factor, then he gave examples. In one, he proposed that the parent saw no problem with school systems "such as the sprinklers, the ventilation and the seismic protection." The other question follows a similar pattern. Both questions are those related to school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933</w:t>
      </w:r>
      <w:r>
        <w:rPr>
          <w:rFonts w:ascii="arial" w:eastAsia="arial" w:hAnsi="arial" w:cs="arial"/>
          <w:color w:val="000000"/>
          <w:sz w:val="20"/>
          <w:lang w:val="en-US" w:eastAsia="en-US" w:bidi="ar-SA"/>
        </w:rPr>
        <w:t>  Dr. Spears advised that these are double-barreled questions, which are warned rigorously against in guides to survey design. He advised that it cannot be known which aspect (or aspects) of the question the respondent is answering. While some respondents might focus on one item in the list, others might average their importance ranking across all items. Additionally, Dr. Spears noted that one of the double-barrelled questions posed its proposition in a passive construction, which left it open to different constructions by different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934</w:t>
      </w:r>
      <w:r>
        <w:rPr>
          <w:rFonts w:ascii="arial" w:eastAsia="arial" w:hAnsi="arial" w:cs="arial"/>
          <w:color w:val="000000"/>
          <w:sz w:val="20"/>
          <w:lang w:val="en-US" w:eastAsia="en-US" w:bidi="ar-SA"/>
        </w:rPr>
        <w:t>  Next, Dr. Spears suggested that Mr. Gauthier categorized some responses that averted to facilities as though they did not. For example, one factor that might influence a parent is that "the school environment was pleasant". This, Dr. Spears opined, might relate to aspects of school environment that are a product of its facilities, like crowding or lack thereof in lunchrooms, the scent in washrooms, and so on. He noted that Mr. Gauthier's analysis of the survey results treated the factor as though it was unrelated to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935</w:t>
      </w:r>
      <w:r>
        <w:rPr>
          <w:rFonts w:ascii="arial" w:eastAsia="arial" w:hAnsi="arial" w:cs="arial"/>
          <w:color w:val="000000"/>
          <w:sz w:val="20"/>
          <w:lang w:val="en-US" w:eastAsia="en-US" w:bidi="ar-SA"/>
        </w:rPr>
        <w:t>  Finally, Dr. Spears suggested Mr. Gauthier confused importance and performance ratings in his survey structure. Dr. Spears advised that social research surveys routinely ask pairs of questions about issues involving a choice. One question asks the respondent to rank the performance on some dimension while the other asks about the importance of that dimension. He noted that Mr. Gauthier's prompted questions are a hybrid. Mr. Gauthier assumed a high performance ranking by presenting a positively worded statement, and then asked respondents to rank its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936</w:t>
      </w:r>
      <w:r>
        <w:rPr>
          <w:rFonts w:ascii="arial" w:eastAsia="arial" w:hAnsi="arial" w:cs="arial"/>
          <w:color w:val="000000"/>
          <w:sz w:val="20"/>
          <w:lang w:val="en-US" w:eastAsia="en-US" w:bidi="ar-SA"/>
        </w:rPr>
        <w:t>  Dr. Spears urged that Mr. Gauthier's combination of the two scales in one question is problematic. If respondents disagree with the performance proposition (that a certain factor is good), they could handle the false proposition by ranking the importance of the factor in a number of ways. They might indicate that the factor was unimportant; they might suggest they "don't know" the answer; or they might think that although they disagreed with the statement, it would be important if performance is high, and give it a high performance ranking. In Dr. Spears's view, some of Mr. Gauthier's respondents likely misinterpreted and responded to the question at least some of the time. In his view, it is impossible to assess how much error is in Mr. Gauthier's data because of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937</w:t>
      </w:r>
      <w:r>
        <w:rPr>
          <w:rFonts w:ascii="arial" w:eastAsia="arial" w:hAnsi="arial" w:cs="arial"/>
          <w:color w:val="000000"/>
          <w:sz w:val="20"/>
          <w:lang w:val="en-US" w:eastAsia="en-US" w:bidi="ar-SA"/>
        </w:rPr>
        <w:t>  Dr. Spears also commented on Mr. Gauthier's analysis of respondents' unprompted comments. In his view, Mr. Gauthier attempted to explain away the importance of distance to school choice. With reference to the Exit Surveys, Dr. Spears suggested that the forms are not reliable, and were misinterpreted by Mr. Gauthier.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938</w:t>
      </w:r>
      <w:r>
        <w:rPr>
          <w:rFonts w:ascii="arial" w:eastAsia="arial" w:hAnsi="arial" w:cs="arial"/>
          <w:color w:val="000000"/>
          <w:sz w:val="20"/>
          <w:lang w:val="en-US" w:eastAsia="en-US" w:bidi="ar-SA"/>
        </w:rPr>
        <w:t>  Turning to Mr. Gauthier's synthesis of his conclusions, Dr. Spears expressed the view that Mr. Gauthier's report presented an unfounded ranking of reasons for school choice. Dr. Spears explained that the sources that Mr. Gauthier used in his analysis - the exit surveys, and answers to different questions on in Mr. Gauthier's survey-measured different matters with different metrics. He stated it was inappropriate to rank the factors together because the different metrics were not comparable. Overall, Dr. Spears concluded that Mr. Gauthier's ranking of reasons for school choices across all factors is "deeply flawed".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4. Dr. Marker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939</w:t>
      </w:r>
      <w:r>
        <w:rPr>
          <w:rFonts w:ascii="arial" w:eastAsia="arial" w:hAnsi="arial" w:cs="arial"/>
          <w:color w:val="000000"/>
          <w:sz w:val="20"/>
          <w:lang w:val="en-US" w:eastAsia="en-US" w:bidi="ar-SA"/>
        </w:rPr>
        <w:t>  Dr. Marker, another of the plaintiffs' experts in reply to Mr. Gauthier, is a statistician with more than 30 years' experience designing surveys and collecting and analyzing survey data. He holds a master's degree in Statistics and a Ph.D. in Biostatistics, both from the University of Michigan. He was qualified without objection as an expert in statistics, quantitative research, data collection, survey research, sampling, survey evaluation, data analysis and small area estimation.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940</w:t>
      </w:r>
      <w:r>
        <w:rPr>
          <w:rFonts w:ascii="arial" w:eastAsia="arial" w:hAnsi="arial" w:cs="arial"/>
          <w:color w:val="000000"/>
          <w:sz w:val="20"/>
          <w:lang w:val="en-US" w:eastAsia="en-US" w:bidi="ar-SA"/>
        </w:rPr>
        <w:t>  Dr. Marker was retained by the plaintiffs to reply to Mr. Gauthier's expert research, and to provide an opinion about his sample design, commenting on the representativeness of the resulting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941</w:t>
      </w:r>
      <w:r>
        <w:rPr>
          <w:rFonts w:ascii="arial" w:eastAsia="arial" w:hAnsi="arial" w:cs="arial"/>
          <w:color w:val="000000"/>
          <w:sz w:val="20"/>
          <w:lang w:val="en-US" w:eastAsia="en-US" w:bidi="ar-SA"/>
        </w:rPr>
        <w:t>  Dr. Marker's expertise relates, in particular, to small area estimation, which refers to the design of research models to produce reasonable estimates where the sample size approaches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942</w:t>
      </w:r>
      <w:r>
        <w:rPr>
          <w:rFonts w:ascii="arial" w:eastAsia="arial" w:hAnsi="arial" w:cs="arial"/>
          <w:color w:val="000000"/>
          <w:sz w:val="20"/>
          <w:lang w:val="en-US" w:eastAsia="en-US" w:bidi="ar-SA"/>
        </w:rPr>
        <w:t>  Dr. Marker opined that survey results can be biased when there is a combination of a low response rate, and respondents are unlike the population about which one wants to make inferences. As a result, in his experience, government policy makers have little (if any) use for surveys because they typically have very low response rates. In the United States, the Office of Management and Budget must approve all data collections funded by the government. It requires that any survey with a response rate of less than 80% conduct an analysis of non-response bias. On cross-examination, Dr. Marker agreed that he would not dismiss the results of a survey out of hand because it fell below that threshold. However, he would want to understand what had been done to check and adjust for potential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943</w:t>
      </w:r>
      <w:r>
        <w:rPr>
          <w:rFonts w:ascii="arial" w:eastAsia="arial" w:hAnsi="arial" w:cs="arial"/>
          <w:color w:val="000000"/>
          <w:sz w:val="20"/>
          <w:lang w:val="en-US" w:eastAsia="en-US" w:bidi="ar-SA"/>
        </w:rPr>
        <w:t>  Dr. Marker challenged Mr. Gauthier's reliance on the Probit panel. He observed that low response rates from the Probit panel endanger the representativeness of the resulting sample. He noted that Mr. Gauthier only achieved a 21% response rate from those members of the Probit panel who had agreed to participate. This was compounded by the fact that only 1% or 2% of those asked to participate in the initial Probit panel agreed to join it. Thus, Dr. Marker concluded that the overall response rate Mr. Gauthier achieved in his panel was less than 0.5%, what Dr. Marker opined was an "extremely low response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944</w:t>
      </w:r>
      <w:r>
        <w:rPr>
          <w:rFonts w:ascii="arial" w:eastAsia="arial" w:hAnsi="arial" w:cs="arial"/>
          <w:color w:val="000000"/>
          <w:sz w:val="20"/>
          <w:lang w:val="en-US" w:eastAsia="en-US" w:bidi="ar-SA"/>
        </w:rPr>
        <w:t>  With reference to the response rate to Mr. Gauthier's telephone survey in BC, Dr. Marker observed that the survey reached 1.3 million working telephone numbers, but received only 13,368 responses to the screening questions. Thus, the screener response rate was approximately 1%. About 1,388 persons that were screened identified that they might be rightsholders; from there, only 483 rightsholders and 222 non-rightsholders of the 1,388 completed the online survey. Combining the two stages, Dr. Marker concluded that the response rate to Mr. Gauthier's telephone survey was only 0.4% (483 of 1.3 million contacted phone numbers). He opined that this, too, was an "extremely low response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945</w:t>
      </w:r>
      <w:r>
        <w:rPr>
          <w:rFonts w:ascii="arial" w:eastAsia="arial" w:hAnsi="arial" w:cs="arial"/>
          <w:color w:val="000000"/>
          <w:sz w:val="20"/>
          <w:lang w:val="en-US" w:eastAsia="en-US" w:bidi="ar-SA"/>
        </w:rPr>
        <w:t>  Counsel for the defendants challenged Dr. Marker's calculation of participation rate for the Probit survey, in particular, suggesting it was not appropriate to take into account the level of the response to the initial survey. Dr. Marker explained that pre-recruited panels have largely arisen because they provide inexpensive, fast responses that keep up with the 24-hour news cycle. He was able to deal with the study that was put to him that suggested that the very low response rates should not detract from the reliability and credibility of the study. He noted that study was not peer-reviewed, and appeared to have been prepared by one of the largest pre-recruited panels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946</w:t>
      </w:r>
      <w:r>
        <w:rPr>
          <w:rFonts w:ascii="arial" w:eastAsia="arial" w:hAnsi="arial" w:cs="arial"/>
          <w:color w:val="000000"/>
          <w:sz w:val="20"/>
          <w:lang w:val="en-US" w:eastAsia="en-US" w:bidi="ar-SA"/>
        </w:rPr>
        <w:t>  While he was being cross-examined, counsel put to Dr. Marker the suggestion by Mr. Gauthier that a low response rate is less important when a study is comparative than when it is descriptive. Dr. Marker disagreed with that proposition and gave examples of situations where incorrect analyses have been drawn when the data that was used was not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947</w:t>
      </w:r>
      <w:r>
        <w:rPr>
          <w:rFonts w:ascii="arial" w:eastAsia="arial" w:hAnsi="arial" w:cs="arial"/>
          <w:color w:val="000000"/>
          <w:sz w:val="20"/>
          <w:lang w:val="en-US" w:eastAsia="en-US" w:bidi="ar-SA"/>
        </w:rPr>
        <w:t>  Dr. Marker went on to express concern that Mr. Gauthier's survey was not representative of the population. He criticized Mr. Gauthier for stating that it is difficult to generalize from the sample because it is not random, but nevertheless proceeding to weight the sample and generalize the results of his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948</w:t>
      </w:r>
      <w:r>
        <w:rPr>
          <w:rFonts w:ascii="arial" w:eastAsia="arial" w:hAnsi="arial" w:cs="arial"/>
          <w:color w:val="000000"/>
          <w:sz w:val="20"/>
          <w:lang w:val="en-US" w:eastAsia="en-US" w:bidi="ar-SA"/>
        </w:rPr>
        <w:t>  Based on his tests of the representativeness of Mr. Gauthier's sample, Dr. Marker expressed concern that the geographic distribution of the sample was not representative. Additionally, the age of respondents did not correspond to the ages of the population. Only five BC respondents were 18 to 24 years old. Only one of them had children. Because of Mr. Gauthier's weighting of the population to reflect the total population, those five young respondents were responsible for 19.7% of the total estimates from Mr. Gauthier's surveys, although they are less than 2% of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949</w:t>
      </w:r>
      <w:r>
        <w:rPr>
          <w:rFonts w:ascii="arial" w:eastAsia="arial" w:hAnsi="arial" w:cs="arial"/>
          <w:color w:val="000000"/>
          <w:sz w:val="20"/>
          <w:lang w:val="en-US" w:eastAsia="en-US" w:bidi="ar-SA"/>
        </w:rPr>
        <w:t>  On the other side of the equation, 53% of the respondents to Mr. Gauthier's surveys were age 55 and older. He concluded that most 55 year olds would not have school-aged children; that would be even less likely for those close to 60 years old. Thus, half the survey respondents were unlikely to have current knowledge of the conditions in minority schools based on their own children's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950</w:t>
      </w:r>
      <w:r>
        <w:rPr>
          <w:rFonts w:ascii="arial" w:eastAsia="arial" w:hAnsi="arial" w:cs="arial"/>
          <w:color w:val="000000"/>
          <w:sz w:val="20"/>
          <w:lang w:val="en-US" w:eastAsia="en-US" w:bidi="ar-SA"/>
        </w:rPr>
        <w:t>  Dr. Marker concluded that in his view, the response rate to both the Probit and telephone surveys were less than 0.5%, a figure completely out of line with the quality of data expected for the development of public policy. Given the low response rates and evidence that the respondents differed from the population of interest, he suggested the survey data could not be relied on to provide an accurate description of the population of rightsholders in 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5. Response from Mr. Gauthier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951</w:t>
      </w:r>
      <w:r>
        <w:rPr>
          <w:rFonts w:ascii="arial" w:eastAsia="arial" w:hAnsi="arial" w:cs="arial"/>
          <w:color w:val="000000"/>
          <w:sz w:val="20"/>
          <w:lang w:val="en-US" w:eastAsia="en-US" w:bidi="ar-SA"/>
        </w:rPr>
        <w:t>  Dr. Marker and Dr. Spears's opinions were put to Mr. Gauthier while he was under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952</w:t>
      </w:r>
      <w:r>
        <w:rPr>
          <w:rFonts w:ascii="arial" w:eastAsia="arial" w:hAnsi="arial" w:cs="arial"/>
          <w:color w:val="000000"/>
          <w:sz w:val="20"/>
          <w:lang w:val="en-US" w:eastAsia="en-US" w:bidi="ar-SA"/>
        </w:rPr>
        <w:t>  With respect to the allegation that Mr. Gauthier achieved a very low response rate from the Probit panel, Mr. Gauthier advised that today most social research is conducted through panels like Probit, and the standards for calculating response rates have changed. In his experience, the response rate should be treated as though it was 21% of the pre-recruited panel; the response rate should not be compounded by the response rate to the panel recruitment.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953</w:t>
      </w:r>
      <w:r>
        <w:rPr>
          <w:rFonts w:ascii="arial" w:eastAsia="arial" w:hAnsi="arial" w:cs="arial"/>
          <w:color w:val="000000"/>
          <w:sz w:val="20"/>
          <w:lang w:val="en-US" w:eastAsia="en-US" w:bidi="ar-SA"/>
        </w:rPr>
        <w:t>  Mr. Gauthier also commented on Dr. Marker's calculation that Mr. Gauthier only achieved a 0.4% response rate to his telephone surveys. He agreed that the response rate to the telephone survey, examined in isolation, was low. He did not propose an alternative, generally accepted method for calculating a response rate that differed from Dr. Marker's.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954</w:t>
      </w:r>
      <w:r>
        <w:rPr>
          <w:rFonts w:ascii="arial" w:eastAsia="arial" w:hAnsi="arial" w:cs="arial"/>
          <w:color w:val="000000"/>
          <w:sz w:val="20"/>
          <w:lang w:val="en-US" w:eastAsia="en-US" w:bidi="ar-SA"/>
        </w:rPr>
        <w:t>  With reference to the age distribution of his sample, Mr. Gauthier testified that it is common for young people to be underrepresented in modern samples. He agreed, though, that the fact that the younger group was weighted heavily raises the issue of whether the few young respondents reflected the total population of 18 to 24 year old rightsholders in BC. However, Mr. Gauthier's view was that it was irrelevant whether 18 to 24 years olds represented the total population because persons of that age were unlikely to have children, and in fact only one of the persons sampled in that group had children, and that child was not school 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955</w:t>
      </w:r>
      <w:r>
        <w:rPr>
          <w:rFonts w:ascii="arial" w:eastAsia="arial" w:hAnsi="arial" w:cs="arial"/>
          <w:color w:val="000000"/>
          <w:sz w:val="20"/>
          <w:lang w:val="en-US" w:eastAsia="en-US" w:bidi="ar-SA"/>
        </w:rPr>
        <w:t>  Mr. Gauthier also responded to Dr. Spears's comments on the idea that his questions inappropriately combined performance questions and importance questions. He stated that he was not interested in measuring performance in his study; he was only interested in importance. This answer did not address the fact that some respondents might have been confused by the positive performance statements when they disagreed with the propositions.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6.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956</w:t>
      </w:r>
      <w:r>
        <w:rPr>
          <w:rFonts w:ascii="arial" w:eastAsia="arial" w:hAnsi="arial" w:cs="arial"/>
          <w:color w:val="000000"/>
          <w:sz w:val="20"/>
          <w:lang w:val="en-US" w:eastAsia="en-US" w:bidi="ar-SA"/>
        </w:rPr>
        <w:t>  Unfortunately, the expert evidence tells me nothing about the relative importance of physical facilities to rightsholders' enrolment decisions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957</w:t>
      </w:r>
      <w:r>
        <w:rPr>
          <w:rFonts w:ascii="arial" w:eastAsia="arial" w:hAnsi="arial" w:cs="arial"/>
          <w:color w:val="000000"/>
          <w:sz w:val="20"/>
          <w:lang w:val="en-US" w:eastAsia="en-US" w:bidi="ar-SA"/>
        </w:rPr>
        <w:t>  Mr. Gauthier's report and conclusions are deeply flawed. His original research suffers from an exceedingly low response rate, coupled by indications that his sample does not correspond to the demographics of the target population. It is unwise to attempt to generalize from such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958</w:t>
      </w:r>
      <w:r>
        <w:rPr>
          <w:rFonts w:ascii="arial" w:eastAsia="arial" w:hAnsi="arial" w:cs="arial"/>
          <w:color w:val="000000"/>
          <w:sz w:val="20"/>
          <w:lang w:val="en-US" w:eastAsia="en-US" w:bidi="ar-SA"/>
        </w:rPr>
        <w:t>  There are likewise problems with the prompted questions that he posed. Mr. Gauthier's questions assumed a high level of performance, then asked respondents to rank the importance based on that proposition. This was likely to confuse respondents that did not agree with the proposed high level of performance. Moreover, the questions that he posed with respect to facilities, and his use of examples, were likely to confuse respondents. While Mr. Gauthier's pre-testing methodology might be widely accepted, it would not necessarily have captured this type of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959</w:t>
      </w:r>
      <w:r>
        <w:rPr>
          <w:rFonts w:ascii="arial" w:eastAsia="arial" w:hAnsi="arial" w:cs="arial"/>
          <w:color w:val="000000"/>
          <w:sz w:val="20"/>
          <w:lang w:val="en-US" w:eastAsia="en-US" w:bidi="ar-SA"/>
        </w:rPr>
        <w:t>  I am also satisfied that Mr. Gauthier's conclusions are subject to a different interpretation. By making a few small changes to the analysis, Dr. Landry reached a conclusion that was in direct opposition to Mr. Gauthier's. This shows me that the conclusions Mr. Gauthier reaches are of the type that reasonable people would tend to disagree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960</w:t>
      </w:r>
      <w:r>
        <w:rPr>
          <w:rFonts w:ascii="arial" w:eastAsia="arial" w:hAnsi="arial" w:cs="arial"/>
          <w:color w:val="000000"/>
          <w:sz w:val="20"/>
          <w:lang w:val="en-US" w:eastAsia="en-US" w:bidi="ar-SA"/>
        </w:rPr>
        <w:t>  Mr. Gauthier's conclusions were also based on the CSF survey data. That data was never intended to be a rigorous study of reasons for school choice. The data was collected by school administrators from parents, and does not have any hallmarks of authenticity, particularly given the dynamic between school administrators and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961</w:t>
      </w:r>
      <w:r>
        <w:rPr>
          <w:rFonts w:ascii="arial" w:eastAsia="arial" w:hAnsi="arial" w:cs="arial"/>
          <w:color w:val="000000"/>
          <w:sz w:val="20"/>
          <w:lang w:val="en-US" w:eastAsia="en-US" w:bidi="ar-SA"/>
        </w:rPr>
        <w:t>  Overall, then, I do not assign any weight to Mr. Gauthier's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962</w:t>
      </w:r>
      <w:r>
        <w:rPr>
          <w:rFonts w:ascii="arial" w:eastAsia="arial" w:hAnsi="arial" w:cs="arial"/>
          <w:color w:val="000000"/>
          <w:sz w:val="20"/>
          <w:lang w:val="en-US" w:eastAsia="en-US" w:bidi="ar-SA"/>
        </w:rPr>
        <w:t xml:space="preserve">  Dr. Landry's view is that high-quality school facilities are essential to attracting enrolment to minority language schools in British Columbia. He based his opinion on the statement in </w:t>
      </w:r>
      <w:r>
        <w:rPr>
          <w:rFonts w:ascii="arial" w:eastAsia="arial" w:hAnsi="arial" w:cs="arial"/>
          <w:i/>
          <w:color w:val="000000"/>
          <w:sz w:val="20"/>
          <w:lang w:val="en-US" w:eastAsia="en-US" w:bidi="ar-SA"/>
        </w:rPr>
        <w:t>Minorities Speak Up</w:t>
      </w:r>
      <w:r>
        <w:rPr>
          <w:rFonts w:ascii="arial" w:eastAsia="arial" w:hAnsi="arial" w:cs="arial"/>
          <w:color w:val="000000"/>
          <w:sz w:val="20"/>
          <w:lang w:val="en-US" w:eastAsia="en-US" w:bidi="ar-SA"/>
        </w:rPr>
        <w:t xml:space="preserve"> that 17% of respondents found that the school environment was relevant to their decision to enrol in a minority language school. In my view, school environment accounts for many factors other than school facilities. It might even include the Francophone culture of the schools. I do not find it to be of great assistance for assessing the importance of school facilities to enrolment decisions relative to other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963</w:t>
      </w:r>
      <w:r>
        <w:rPr>
          <w:rFonts w:ascii="arial" w:eastAsia="arial" w:hAnsi="arial" w:cs="arial"/>
          <w:color w:val="000000"/>
          <w:sz w:val="20"/>
          <w:lang w:val="en-US" w:eastAsia="en-US" w:bidi="ar-SA"/>
        </w:rPr>
        <w:t>  The most that I can take from the opinions of Dr. Landry and Mr. Gauthier is that parents with a strong Francophone identity and connection to the minority language community are more likely to enrol their children in minority language schools. Both researchers agreed with this proposition. It is also consistent with the conclusions I reached previously based on the work by Dr. Landry and Dr. Castonguay.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964</w:t>
      </w:r>
      <w:r>
        <w:rPr>
          <w:rFonts w:ascii="arial" w:eastAsia="arial" w:hAnsi="arial" w:cs="arial"/>
          <w:color w:val="000000"/>
          <w:sz w:val="20"/>
          <w:lang w:val="en-US" w:eastAsia="en-US" w:bidi="ar-SA"/>
        </w:rPr>
        <w:t>  Thus, when assessing whether the global educational experience meets the entitlement standard, school facilities should be weighed along with all other factors relevant to educational experience. The evidence does not establish that they are of any greater or lesser importance than any other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IX.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965</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affirms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are "subject only to such reasonable limits prescribed by law as can be demonstrably justified in a free and democratic society." While it is rare for governments to do so, it is open to the defendants to attempt to justify a limit on s. 23 rights pursuant to s. 1: </w:t>
      </w:r>
      <w:r>
        <w:rPr>
          <w:rFonts w:ascii="arial" w:eastAsia="arial" w:hAnsi="arial" w:cs="arial"/>
          <w:i/>
          <w:color w:val="000000"/>
          <w:sz w:val="20"/>
          <w:lang w:val="en-US" w:eastAsia="en-US" w:bidi="ar-SA"/>
        </w:rPr>
        <w:t>Quebec (Education, Recreation and Sports) v. Nguyen</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SCC 47</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966</w:t>
      </w:r>
      <w:r>
        <w:rPr>
          <w:rFonts w:ascii="arial" w:eastAsia="arial" w:hAnsi="arial" w:cs="arial"/>
          <w:color w:val="000000"/>
          <w:sz w:val="20"/>
          <w:lang w:val="en-US" w:eastAsia="en-US" w:bidi="ar-SA"/>
        </w:rPr>
        <w:t>  As the defendants suggest, this case is one of first impression on the interplay between ss. 1 and 23, particularly as s. 1 relates to the question of substantively equivalent minority language education facilities. In the defendants view, any localised or general failure to provide equivalent education can be attributed to limits that are justified, or to decisions that reflect a proportionate balancing of rights against the statutory mandate. The plaintiffs take the position that no breaches can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967</w:t>
      </w:r>
      <w:r>
        <w:rPr>
          <w:rFonts w:ascii="arial" w:eastAsia="arial" w:hAnsi="arial" w:cs="arial"/>
          <w:color w:val="000000"/>
          <w:sz w:val="20"/>
          <w:lang w:val="en-US" w:eastAsia="en-US" w:bidi="ar-SA"/>
        </w:rPr>
        <w:t xml:space="preserve">  Where a limit to a right is prescribed by law, the test established in </w:t>
      </w:r>
      <w:r>
        <w:rPr>
          <w:rFonts w:ascii="arial" w:eastAsia="arial" w:hAnsi="arial" w:cs="arial"/>
          <w:i/>
          <w:color w:val="000000"/>
          <w:sz w:val="20"/>
          <w:lang w:val="en-US" w:eastAsia="en-US" w:bidi="ar-SA"/>
        </w:rPr>
        <w:t>R. v. Oakes</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[1986] 1 SCR 103</w:t>
        </w:r>
      </w:hyperlink>
      <w:r>
        <w:rPr>
          <w:rFonts w:ascii="arial" w:eastAsia="arial" w:hAnsi="arial" w:cs="arial"/>
          <w:color w:val="000000"/>
          <w:sz w:val="20"/>
          <w:lang w:val="en-US" w:eastAsia="en-US" w:bidi="ar-SA"/>
        </w:rPr>
        <w:t xml:space="preserve">, provides a means for the government to justify the limit. It does so by balancing government's pressing and substantial objectives against the state's interference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First, the court determines the government's pressing and substantial objective. Then, the court performs a proportionality analysis that considers whether the law is rationally connected to the objective ("rational connection"), impairs the right or freedom as little as possible ("minimal impairment"), and whether the effects of the measure on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are proportional to the objective ("proportionality"):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at 138-139.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968</w:t>
      </w:r>
      <w:r>
        <w:rPr>
          <w:rFonts w:ascii="arial" w:eastAsia="arial" w:hAnsi="arial" w:cs="arial"/>
          <w:color w:val="000000"/>
          <w:sz w:val="20"/>
          <w:lang w:val="en-US" w:eastAsia="en-US" w:bidi="ar-SA"/>
        </w:rPr>
        <w:t>  The defendants bear the burden of proof for a s. 1 analysis, except with respect to the initial question of whether the limit is prescribed by law, which is a pure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969</w:t>
      </w:r>
      <w:r>
        <w:rPr>
          <w:rFonts w:ascii="arial" w:eastAsia="arial" w:hAnsi="arial" w:cs="arial"/>
          <w:color w:val="000000"/>
          <w:sz w:val="20"/>
          <w:lang w:val="en-US" w:eastAsia="en-US" w:bidi="ar-SA"/>
        </w:rPr>
        <w:t>  To the extent that I find any breaches of s. 23 in connection with the Community or Systemic Claims, the specific breaches will fall to be justified based on the particular circumstances of the rights infringements at issue. I will therefore address the justification of each alleged breach in the chapters that follow. However, it is possible to make some common findings concerning the applicable legal principles, the nature of the legislative scheme, the broader provincial goals and the overall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970</w:t>
      </w:r>
      <w:r>
        <w:rPr>
          <w:rFonts w:ascii="arial" w:eastAsia="arial" w:hAnsi="arial" w:cs="arial"/>
          <w:color w:val="000000"/>
          <w:sz w:val="20"/>
          <w:lang w:val="en-US" w:eastAsia="en-US" w:bidi="ar-SA"/>
        </w:rPr>
        <w:t>  I begin with the parties' arguments concerning some of the interpretive principles that apply when a court is considering justification arguments. Then I address the legal framework for each aspect of the s. 1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Interpretive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971</w:t>
      </w:r>
      <w:r>
        <w:rPr>
          <w:rFonts w:ascii="arial" w:eastAsia="arial" w:hAnsi="arial" w:cs="arial"/>
          <w:color w:val="000000"/>
          <w:sz w:val="20"/>
          <w:lang w:val="en-US" w:eastAsia="en-US" w:bidi="ar-SA"/>
        </w:rPr>
        <w:t>  The parties made submissions about three concepts and their role in the s. 1 analysis: context, deference and cost to the government.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972</w:t>
      </w:r>
      <w:r>
        <w:rPr>
          <w:rFonts w:ascii="arial" w:eastAsia="arial" w:hAnsi="arial" w:cs="arial"/>
          <w:color w:val="000000"/>
          <w:sz w:val="20"/>
          <w:lang w:val="en-US" w:eastAsia="en-US" w:bidi="ar-SA"/>
        </w:rPr>
        <w:t xml:space="preserve">  Both parties emphasize the importance of context to the s. 1 analysis. In </w:t>
      </w:r>
      <w:r>
        <w:rPr>
          <w:rFonts w:ascii="arial" w:eastAsia="arial" w:hAnsi="arial" w:cs="arial"/>
          <w:i/>
          <w:color w:val="000000"/>
          <w:sz w:val="20"/>
          <w:lang w:val="en-US" w:eastAsia="en-US" w:bidi="ar-SA"/>
        </w:rPr>
        <w:t>Thompson Newspapers Co. v. Canada (Attorney General)</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[1998] 1 S.C.R. 877</w:t>
        </w:r>
      </w:hyperlink>
      <w:r>
        <w:rPr>
          <w:rFonts w:ascii="arial" w:eastAsia="arial" w:hAnsi="arial" w:cs="arial"/>
          <w:color w:val="000000"/>
          <w:sz w:val="20"/>
          <w:lang w:val="en-US" w:eastAsia="en-US" w:bidi="ar-SA"/>
        </w:rPr>
        <w:t>, Mr. Justice Bastarache (for the majority) explained the central role that context plays in the test of justification under s. 1 (at para.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analysis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must be undertaken with a close attention to context. This is inevitable as the test devised in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requires a court to establish the objective of the impugned provision, which can only be accomplished by canvassing the nature of the social problem which it addresses. Similarly, the proportionality of the means used to fulfil the pressing and substantial objective can only be evaluated through a close attention to detail and factual setting. In essence, context is the indispensable handmaiden to the proper characterization of the objective of the impugned provision, to determining whether that objective is justified, and to weighing whether the means used are sufficiently closely related to the valid objective so as to justify an infringement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973</w:t>
      </w:r>
      <w:r>
        <w:rPr>
          <w:rFonts w:ascii="arial" w:eastAsia="arial" w:hAnsi="arial" w:cs="arial"/>
          <w:color w:val="000000"/>
          <w:sz w:val="20"/>
          <w:lang w:val="en-US" w:eastAsia="en-US" w:bidi="ar-SA"/>
        </w:rPr>
        <w:t>  In the plaintiffs' view, a contextual analysis in this case requires the Court to take into account the need to protect and promote the French-language minority in BC, and the Province's role in protecting and promoting the language and culture. The context is not, the plaintiffs say, the Province's economic or budgetary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974</w:t>
      </w:r>
      <w:r>
        <w:rPr>
          <w:rFonts w:ascii="arial" w:eastAsia="arial" w:hAnsi="arial" w:cs="arial"/>
          <w:color w:val="000000"/>
          <w:sz w:val="20"/>
          <w:lang w:val="en-US" w:eastAsia="en-US" w:bidi="ar-SA"/>
        </w:rPr>
        <w:t xml:space="preserve">  That is not my reading of </w:t>
      </w:r>
      <w:r>
        <w:rPr>
          <w:rFonts w:ascii="arial" w:eastAsia="arial" w:hAnsi="arial" w:cs="arial"/>
          <w:i/>
          <w:color w:val="000000"/>
          <w:sz w:val="20"/>
          <w:lang w:val="en-US" w:eastAsia="en-US" w:bidi="ar-SA"/>
        </w:rPr>
        <w:t>Thompson Newspapers</w:t>
      </w:r>
      <w:r>
        <w:rPr>
          <w:rFonts w:ascii="arial" w:eastAsia="arial" w:hAnsi="arial" w:cs="arial"/>
          <w:color w:val="000000"/>
          <w:sz w:val="20"/>
          <w:lang w:val="en-US" w:eastAsia="en-US" w:bidi="ar-SA"/>
        </w:rPr>
        <w:t xml:space="preserve">. As I see it, to determine whether a limit to minority language education is demonstrably justified, the court must consider the whole context involving the nature of the problem that Government is attempting to address by limiting the right. Sometimes, that objective might not relate directly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at issue. The government might have a myriad of other objectives underlying a decision to limit a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975</w:t>
      </w:r>
      <w:r>
        <w:rPr>
          <w:rFonts w:ascii="arial" w:eastAsia="arial" w:hAnsi="arial" w:cs="arial"/>
          <w:color w:val="000000"/>
          <w:sz w:val="20"/>
          <w:lang w:val="en-US" w:eastAsia="en-US" w:bidi="ar-SA"/>
        </w:rPr>
        <w:t xml:space="preserve">  To give an example, in </w:t>
      </w:r>
      <w:r>
        <w:rPr>
          <w:rFonts w:ascii="arial" w:eastAsia="arial" w:hAnsi="arial" w:cs="arial"/>
          <w:i/>
          <w:color w:val="000000"/>
          <w:sz w:val="20"/>
          <w:lang w:val="en-US" w:eastAsia="en-US" w:bidi="ar-SA"/>
        </w:rPr>
        <w:t>Alberta v. Hutterian Brethren of Wilson Colony</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2009 SCC 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the claimants challenged a requirement mandating photographs for driver's licences as a violation of their right to religious freedom. When deciding whether the infringement was justified, the Court had regard to the context of Alberta's objective, minimizing identity theft associated with the system: see for example paras. 42, 45, 56 and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976</w:t>
      </w:r>
      <w:r>
        <w:rPr>
          <w:rFonts w:ascii="arial" w:eastAsia="arial" w:hAnsi="arial" w:cs="arial"/>
          <w:color w:val="000000"/>
          <w:sz w:val="20"/>
          <w:lang w:val="en-US" w:eastAsia="en-US" w:bidi="ar-SA"/>
        </w:rPr>
        <w:t>  As a result, in my view, to properly characterize the objective and determine whether it justifies a limit, courts must have regard to the full context of the government's decision even where that objective does not relate directly to the right at issue. In this case, the Province's economic and budgetary objectives may form part of the relevant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977</w:t>
      </w:r>
      <w:r>
        <w:rPr>
          <w:rFonts w:ascii="arial" w:eastAsia="arial" w:hAnsi="arial" w:cs="arial"/>
          <w:color w:val="000000"/>
          <w:sz w:val="20"/>
          <w:lang w:val="en-US" w:eastAsia="en-US" w:bidi="ar-SA"/>
        </w:rPr>
        <w:t xml:space="preserve">  When performing the proportionality analysis, courts will often afford governments a measure of deference. Where a government is dealing with a challenging social problem by way of a complex regulatory response, the measure of deference will be a high one: </w:t>
      </w:r>
      <w:r>
        <w:rPr>
          <w:rFonts w:ascii="arial" w:eastAsia="arial" w:hAnsi="arial" w:cs="arial"/>
          <w:i/>
          <w:color w:val="000000"/>
          <w:sz w:val="20"/>
          <w:lang w:val="en-US" w:eastAsia="en-US" w:bidi="ar-SA"/>
        </w:rPr>
        <w:t>Carter v. Canada (Attorney General),</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2015 SCC 5</w:t>
        </w:r>
      </w:hyperlink>
      <w:r>
        <w:rPr>
          <w:rFonts w:ascii="arial" w:eastAsia="arial" w:hAnsi="arial" w:cs="arial"/>
          <w:color w:val="000000"/>
          <w:sz w:val="20"/>
          <w:lang w:val="en-US" w:eastAsia="en-US" w:bidi="ar-SA"/>
        </w:rPr>
        <w:t xml:space="preserve"> at para. 97. The court will be interested in determining whether the response to a social ill falls within a range of reasonable alternatives, and is demonstrably justified. Section 1 does not demand perfection: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978</w:t>
      </w:r>
      <w:r>
        <w:rPr>
          <w:rFonts w:ascii="arial" w:eastAsia="arial" w:hAnsi="arial" w:cs="arial"/>
          <w:color w:val="000000"/>
          <w:sz w:val="20"/>
          <w:lang w:val="en-US" w:eastAsia="en-US" w:bidi="ar-SA"/>
        </w:rPr>
        <w:t>  The defendants urge that in this case, the legislature is entitled to a measure of deference at the proportionality stage of the s. 1 analysis. The plaintiffs take the position that "very little" deference should be afforded to the government, because in their view this case is not one involving a complex social issue or where the Province has chosen from range of alternatives. The plaintiffs liken measures limiting s. 23 rights to penal statutes threatening liberty, arguing that deference is less likely to be applied in that context. The plaintiffs also urge that the precision inherent to the drafting of s. 23 should limit deference shown to a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979</w:t>
      </w:r>
      <w:r>
        <w:rPr>
          <w:rFonts w:ascii="arial" w:eastAsia="arial" w:hAnsi="arial" w:cs="arial"/>
          <w:color w:val="000000"/>
          <w:sz w:val="20"/>
          <w:lang w:val="en-US" w:eastAsia="en-US" w:bidi="ar-SA"/>
        </w:rPr>
        <w:t xml:space="preserve">  Some comments in </w:t>
      </w:r>
      <w:r>
        <w:rPr>
          <w:rFonts w:ascii="arial" w:eastAsia="arial" w:hAnsi="arial" w:cs="arial"/>
          <w:i/>
          <w:color w:val="000000"/>
          <w:sz w:val="20"/>
          <w:lang w:val="en-US" w:eastAsia="en-US" w:bidi="ar-SA"/>
        </w:rPr>
        <w:t>Irwin Toy Ltd. v. Quebec (Attorney General)</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[1989] 1 S.C.R. 927</w:t>
        </w:r>
      </w:hyperlink>
      <w:r>
        <w:rPr>
          <w:rFonts w:ascii="arial" w:eastAsia="arial" w:hAnsi="arial" w:cs="arial"/>
          <w:color w:val="000000"/>
          <w:sz w:val="20"/>
          <w:lang w:val="en-US" w:eastAsia="en-US" w:bidi="ar-SA"/>
        </w:rPr>
        <w:t xml:space="preserve">, are helpful for determining when a more deferential standard is appropriate. Citing </w:t>
      </w:r>
      <w:r>
        <w:rPr>
          <w:rFonts w:ascii="arial" w:eastAsia="arial" w:hAnsi="arial" w:cs="arial"/>
          <w:i/>
          <w:color w:val="000000"/>
          <w:sz w:val="20"/>
          <w:lang w:val="en-US" w:eastAsia="en-US" w:bidi="ar-SA"/>
        </w:rPr>
        <w:t>Edwards Books</w:t>
      </w:r>
      <w:r>
        <w:rPr>
          <w:rFonts w:ascii="arial" w:eastAsia="arial" w:hAnsi="arial" w:cs="arial"/>
          <w:color w:val="000000"/>
          <w:sz w:val="20"/>
          <w:lang w:val="en-US" w:eastAsia="en-US" w:bidi="ar-SA"/>
        </w:rPr>
        <w:t>, the Court suggested a more deferential posture is appropriate where the legislature is "mediating between the claims of competing groups", as government will be "forced to strike a balance without the benefit of absolute certainty concerning how that balance is best struck", often based on an assessment of conflicting scientific evidence and differing justified demands on scarce resources (at 993). In contrast, where the state is not mediating the concerns of different groups, but is acting as a "singular antagonist of the individual whose right has been infringed", the Court is better placed to assess whether the least drastic means of achieving the purpose have been chosen, militating toward less deference (at 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shows that deference may be warranted even where the complex regulatory regime is designed to address a different problem from the one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is designed to remedy. The Court deferred to the Government's decision concerning how to address the emerging and pressing issue of identity theft: a problem different from how to best respect the needs of a religious community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Courts recognize that the issue of identity theft is a social problem that has grown exponentially in terms of cost to the community since photo licences were introduced in Alberta in 1974, as reflected in the government's attempt to tighten the scheme when it discontinued the religious exemption in 2003. The bar of constitutionality must not be set so high that responsible, creative solutions to difficult problems would be threatened. A degree of deference is therefore appropriate: </w:t>
      </w:r>
      <w:r>
        <w:rPr>
          <w:rFonts w:ascii="arial" w:eastAsia="arial" w:hAnsi="arial" w:cs="arial"/>
          <w:i/>
          <w:color w:val="000000"/>
          <w:sz w:val="20"/>
          <w:lang w:val="en-US" w:eastAsia="en-US" w:bidi="ar-SA"/>
        </w:rPr>
        <w:t>Edwards Books</w:t>
      </w:r>
      <w:r>
        <w:rPr>
          <w:rFonts w:ascii="arial" w:eastAsia="arial" w:hAnsi="arial" w:cs="arial"/>
          <w:color w:val="000000"/>
          <w:sz w:val="20"/>
          <w:lang w:val="en-US" w:eastAsia="en-US" w:bidi="ar-SA"/>
        </w:rPr>
        <w:t xml:space="preserve">, at pp. 781-82,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Dickson C.J., and </w:t>
      </w:r>
      <w:r>
        <w:rPr>
          <w:rFonts w:ascii="arial" w:eastAsia="arial" w:hAnsi="arial" w:cs="arial"/>
          <w:i/>
          <w:color w:val="000000"/>
          <w:sz w:val="20"/>
          <w:lang w:val="en-US" w:eastAsia="en-US" w:bidi="ar-SA"/>
        </w:rPr>
        <w:t>Canada (Attorney General) v. JTI-Macdonald Corp.</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2007 SCC 30</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[2007] 2 S.C.R. 610</w:t>
        </w:r>
      </w:hyperlink>
      <w:r>
        <w:rPr>
          <w:rFonts w:ascii="arial" w:eastAsia="arial" w:hAnsi="arial" w:cs="arial"/>
          <w:color w:val="000000"/>
          <w:sz w:val="20"/>
          <w:lang w:val="en-US" w:eastAsia="en-US" w:bidi="ar-SA"/>
        </w:rPr>
        <w:t>,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para. 43,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McLachlin 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981</w:t>
      </w:r>
      <w:r>
        <w:rPr>
          <w:rFonts w:ascii="arial" w:eastAsia="arial" w:hAnsi="arial" w:cs="arial"/>
          <w:color w:val="000000"/>
          <w:sz w:val="20"/>
          <w:lang w:val="en-US" w:eastAsia="en-US" w:bidi="ar-SA"/>
        </w:rPr>
        <w:t>  In this case, there are factors militating both for and against a deferential standard. On the one hand, the defendants must balance the interests of children in many communities across British Columbia, and to a lesser extent the interests of the minority against those of the majority. They are doing so using a complex regulatory response-- the capital funding allocation system and its many policies and assessment tools. That suggests a high degree of deference. On the other hand, while society places a high value on education, deciding how to allocate funds for schools is not exactly a decision about responding to a social ill. Thus, in my view, a middle level of deference is appropriate to account for the difficult task Government faces and the social priority placed on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982</w:t>
      </w:r>
      <w:r>
        <w:rPr>
          <w:rFonts w:ascii="arial" w:eastAsia="arial" w:hAnsi="arial" w:cs="arial"/>
          <w:color w:val="000000"/>
          <w:sz w:val="20"/>
          <w:lang w:val="en-US" w:eastAsia="en-US" w:bidi="ar-SA"/>
        </w:rPr>
        <w:t xml:space="preserve">  The plaintiffs also urge that breaches of some sections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are more difficult for governments to justify, and suggest that s. 23 should be one of them. The plaintiffs point to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arguing that those types of infringements are difficult to justify because s. 7 is subject to an internal limit. They say that the same phenomenon applies with s. 15, as the Supreme Court of Canada has only once concluded that an infringement was saved by s. 1, in </w:t>
      </w:r>
      <w:r>
        <w:rPr>
          <w:rFonts w:ascii="arial" w:eastAsia="arial" w:hAnsi="arial" w:cs="arial"/>
          <w:i/>
          <w:color w:val="000000"/>
          <w:sz w:val="20"/>
          <w:lang w:val="en-US" w:eastAsia="en-US" w:bidi="ar-SA"/>
        </w:rPr>
        <w:t>Newfoundland (Treasury Board) v. N.A.P.E.</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2004 SCC 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N.A.P.E.</w:t>
      </w:r>
      <w:r>
        <w:rPr>
          <w:rFonts w:ascii="arial" w:eastAsia="arial" w:hAnsi="arial" w:cs="arial"/>
          <w:color w:val="000000"/>
          <w:sz w:val="20"/>
          <w:lang w:val="en-US" w:eastAsia="en-US" w:bidi="ar-SA"/>
        </w:rPr>
        <w:t xml:space="preserve">]. They say that this is because s. 15, too, is subject to an internal limit-the concept of "discrimination" introduced in </w:t>
      </w:r>
      <w:r>
        <w:rPr>
          <w:rFonts w:ascii="arial" w:eastAsia="arial" w:hAnsi="arial" w:cs="arial"/>
          <w:i/>
          <w:color w:val="000000"/>
          <w:sz w:val="20"/>
          <w:lang w:val="en-US" w:eastAsia="en-US" w:bidi="ar-SA"/>
        </w:rPr>
        <w:t>R. v. Kapp</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2008 SCC 41</w:t>
        </w:r>
      </w:hyperlink>
      <w:r>
        <w:rPr>
          <w:rFonts w:ascii="arial" w:eastAsia="arial" w:hAnsi="arial" w:cs="arial"/>
          <w:color w:val="000000"/>
          <w:sz w:val="20"/>
          <w:lang w:val="en-US" w:eastAsia="en-US" w:bidi="ar-SA"/>
        </w:rPr>
        <w:t>. The plaintiffs say that s. 23, too, has an internal limit: the numbers warrant criterion and a tailored positive right. In light of that, the plaintiffs say that the defendants should face a high hurdle to justify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983</w:t>
      </w:r>
      <w:r>
        <w:rPr>
          <w:rFonts w:ascii="arial" w:eastAsia="arial" w:hAnsi="arial" w:cs="arial"/>
          <w:color w:val="000000"/>
          <w:sz w:val="20"/>
          <w:lang w:val="en-US" w:eastAsia="en-US" w:bidi="ar-SA"/>
        </w:rPr>
        <w:t>  In response, the defendants note that the internal limits and balancing in s. 23-- the numbers warrant and its concern with pedagogy and cost-- are not relevant in the equivalence analysis, and therefore should not place a higher burden on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984</w:t>
      </w:r>
      <w:r>
        <w:rPr>
          <w:rFonts w:ascii="arial" w:eastAsia="arial" w:hAnsi="arial" w:cs="arial"/>
          <w:color w:val="000000"/>
          <w:sz w:val="20"/>
          <w:lang w:val="en-US" w:eastAsia="en-US" w:bidi="ar-SA"/>
        </w:rPr>
        <w:t xml:space="preserve">  From time to time, Courts have held that it will be particularly challenging to justify an infringement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B.C. Motor Vehicle Act</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[1985] 2 S.C.R. 486</w:t>
        </w:r>
      </w:hyperlink>
      <w:r>
        <w:rPr>
          <w:rFonts w:ascii="arial" w:eastAsia="arial" w:hAnsi="arial" w:cs="arial"/>
          <w:color w:val="000000"/>
          <w:sz w:val="20"/>
          <w:lang w:val="en-US" w:eastAsia="en-US" w:bidi="ar-SA"/>
        </w:rPr>
        <w:t>, Mr. Justice Lamer (as he then was) suggested that it might only be possible to justify infringements of s. 7 in exceptional cases, such as natural disasters, times of war or during epidemics (at 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985</w:t>
      </w:r>
      <w:r>
        <w:rPr>
          <w:rFonts w:ascii="arial" w:eastAsia="arial" w:hAnsi="arial" w:cs="arial"/>
          <w:color w:val="000000"/>
          <w:sz w:val="20"/>
          <w:lang w:val="en-US" w:eastAsia="en-US" w:bidi="ar-SA"/>
        </w:rPr>
        <w:t xml:space="preserve">  The Court addressed the relationship between ss. 7 and 1 in more detail in </w:t>
      </w:r>
      <w:r>
        <w:rPr>
          <w:rFonts w:ascii="arial" w:eastAsia="arial" w:hAnsi="arial" w:cs="arial"/>
          <w:i/>
          <w:color w:val="000000"/>
          <w:sz w:val="20"/>
          <w:lang w:val="en-US" w:eastAsia="en-US" w:bidi="ar-SA"/>
        </w:rPr>
        <w:t>Bedford</w:t>
      </w:r>
      <w:r>
        <w:rPr>
          <w:rFonts w:ascii="arial" w:eastAsia="arial" w:hAnsi="arial" w:cs="arial"/>
          <w:color w:val="000000"/>
          <w:sz w:val="20"/>
          <w:lang w:val="en-US" w:eastAsia="en-US" w:bidi="ar-SA"/>
        </w:rPr>
        <w:t>. At the time, there was some confusion about the applicability of s. 1 to s. 7 because of some parallels between the elements of the s. 1 test for justification and the principles of fundamental justice concerning arbitrariness, overbreadth and disproportionality. The Court delineated the different focuses of the two tests, before concluding that the significance of the fundamental rights protected by s. 7 supports the observation that laws that violate s. 7 are unlikely to be justified under s. 1 (at para. 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986</w:t>
      </w:r>
      <w:r>
        <w:rPr>
          <w:rFonts w:ascii="arial" w:eastAsia="arial" w:hAnsi="arial" w:cs="arial"/>
          <w:color w:val="000000"/>
          <w:sz w:val="20"/>
          <w:lang w:val="en-US" w:eastAsia="en-US" w:bidi="ar-SA"/>
        </w:rPr>
        <w:t xml:space="preserve">  The Court commented on the applicability of s. 1 to s. 7 claims again in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Once again, the Court placed the fundamental importance of the rights to life, liberty and security of the person at the centre of the reason it is difficult to justify an infringement of s. 7 (at para.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difficult to justify a s. 7 violation: see </w:t>
      </w:r>
      <w:r>
        <w:rPr>
          <w:rFonts w:ascii="arial" w:eastAsia="arial" w:hAnsi="arial" w:cs="arial"/>
          <w:i/>
          <w:color w:val="000000"/>
          <w:sz w:val="20"/>
          <w:lang w:val="en-US" w:eastAsia="en-US" w:bidi="ar-SA"/>
        </w:rPr>
        <w:t>Motor Vehicle Reference</w:t>
      </w:r>
      <w:r>
        <w:rPr>
          <w:rFonts w:ascii="arial" w:eastAsia="arial" w:hAnsi="arial" w:cs="arial"/>
          <w:color w:val="000000"/>
          <w:sz w:val="20"/>
          <w:lang w:val="en-US" w:eastAsia="en-US" w:bidi="ar-SA"/>
        </w:rPr>
        <w:t xml:space="preserve">, at p. 518; </w:t>
      </w:r>
      <w:r>
        <w:rPr>
          <w:rFonts w:ascii="arial" w:eastAsia="arial" w:hAnsi="arial" w:cs="arial"/>
          <w:i/>
          <w:color w:val="000000"/>
          <w:sz w:val="20"/>
          <w:lang w:val="en-US" w:eastAsia="en-US" w:bidi="ar-SA"/>
        </w:rPr>
        <w:t>G. (J.)</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[1999] 3 S.C.R. 46</w:t>
        </w:r>
      </w:hyperlink>
      <w:r>
        <w:rPr>
          <w:rFonts w:ascii="arial" w:eastAsia="arial" w:hAnsi="arial" w:cs="arial"/>
          <w:color w:val="000000"/>
          <w:sz w:val="20"/>
          <w:lang w:val="en-US" w:eastAsia="en-US" w:bidi="ar-SA"/>
        </w:rPr>
        <w:t xml:space="preserve"> at para. 99. The rights protected by s. 7 are fundamental, and "not easily overridden by competing social interests" (</w:t>
      </w:r>
      <w:r>
        <w:rPr>
          <w:rFonts w:ascii="arial" w:eastAsia="arial" w:hAnsi="arial" w:cs="arial"/>
          <w:i/>
          <w:color w:val="000000"/>
          <w:sz w:val="20"/>
          <w:lang w:val="en-US" w:eastAsia="en-US" w:bidi="ar-SA"/>
        </w:rPr>
        <w:t>Charkaoui</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1 S.C.R. 350</w:t>
        </w:r>
      </w:hyperlink>
      <w:r>
        <w:rPr>
          <w:rFonts w:ascii="arial" w:eastAsia="arial" w:hAnsi="arial" w:cs="arial"/>
          <w:color w:val="000000"/>
          <w:sz w:val="20"/>
          <w:lang w:val="en-US" w:eastAsia="en-US" w:bidi="ar-SA"/>
        </w:rPr>
        <w:t xml:space="preserve"> at para. 66). And it is hard to justify a law that runs afoul of the principles of fundamental justice and is thus inherently flawed (</w:t>
      </w:r>
      <w:r>
        <w:rPr>
          <w:rFonts w:ascii="arial" w:eastAsia="arial" w:hAnsi="arial" w:cs="arial"/>
          <w:i/>
          <w:color w:val="000000"/>
          <w:sz w:val="20"/>
          <w:lang w:val="en-US" w:eastAsia="en-US" w:bidi="ar-SA"/>
        </w:rPr>
        <w:t>Bedford</w:t>
      </w:r>
      <w:r>
        <w:rPr>
          <w:rFonts w:ascii="arial" w:eastAsia="arial" w:hAnsi="arial" w:cs="arial"/>
          <w:color w:val="000000"/>
          <w:sz w:val="20"/>
          <w:lang w:val="en-US" w:eastAsia="en-US" w:bidi="ar-SA"/>
        </w:rPr>
        <w:t xml:space="preserve">, at para. 96). However, in some situations the state may be able to show that the public good - a matter not considered under s. 7, which looks only at the impact on the rights claimants - justifies depriving an individual of life, liberty or security of the person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More particularly, in cases such as this where the competing societal interests are themselves protected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 restriction on s. 7 rights may in the end be found to be proportionate to its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987</w:t>
      </w:r>
      <w:r>
        <w:rPr>
          <w:rFonts w:ascii="arial" w:eastAsia="arial" w:hAnsi="arial" w:cs="arial"/>
          <w:color w:val="000000"/>
          <w:sz w:val="20"/>
          <w:lang w:val="en-US" w:eastAsia="en-US" w:bidi="ar-SA"/>
        </w:rPr>
        <w:t>  In my view, the rights in s. 7 are difficult to override because the protected rights to life, liberty and security of the person are so fundamental that they cannot be easily overridden by competing social interests. A secondary consideration is the fact that s. 7 rights are already subject to limits, the rules of fundamental justice. In particular, the principles against arbitrariness, overbreadth and gross disproportionality under s. 7, and rational connection, minimal impairment and proportionality in the s. 1 test, are rooted in the same concerns, despite being analytically distinct. At the s. 7 stage, the concern is with the individual rights claimants; at the s. 1 stage, similar concerns are addressed with a focus on the competing social interests. Still, s. 1 has a role to play in s. 7 cases, as s. 1 allows consideration of societal interests, which may be so important as to justify an infringement of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988</w:t>
      </w:r>
      <w:r>
        <w:rPr>
          <w:rFonts w:ascii="arial" w:eastAsia="arial" w:hAnsi="arial" w:cs="arial"/>
          <w:color w:val="000000"/>
          <w:sz w:val="20"/>
          <w:lang w:val="en-US" w:eastAsia="en-US" w:bidi="ar-SA"/>
        </w:rPr>
        <w:t>  The reasons underlying the difficulty justifying s. 7 infringements do not apply equally to the right to minority language education. The rights to liberty and security of the person are related to the concern for the protection of individual autonomy and dignity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at para. 64). The right to life is engaged where the law or state action imposes death or an increased risk of death on a person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at para. 62). While the right to minority language education is important to maintaining our national unity, it does not engage the same fundamental human interests as do the rights to life, liberty and security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989</w:t>
      </w:r>
      <w:r>
        <w:rPr>
          <w:rFonts w:ascii="arial" w:eastAsia="arial" w:hAnsi="arial" w:cs="arial"/>
          <w:color w:val="000000"/>
          <w:sz w:val="20"/>
          <w:lang w:val="en-US" w:eastAsia="en-US" w:bidi="ar-SA"/>
        </w:rPr>
        <w:t xml:space="preserve">  Further, although the right to minority language education is limited by the numbers warrant criterion, those limits do not engage the same philosophical concerns as the elements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The s. 1 test examines competing moral claims and broad societal benefits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at para. 79). The limits imposed by the numbers warrant criterion are designed to limit government expenditures to what is practical in light of pedagogy and cost. The numbers warrant criterion is even less rooted in the same concerns as s. 1 than are the principles against arbitrary, overbroad and grossly disproportionate laws. The limits in s. 23 simply do not allow the Court to consider the broader public goals that might justify a limit to language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990</w:t>
      </w:r>
      <w:r>
        <w:rPr>
          <w:rFonts w:ascii="arial" w:eastAsia="arial" w:hAnsi="arial" w:cs="arial"/>
          <w:color w:val="000000"/>
          <w:sz w:val="20"/>
          <w:lang w:val="en-US" w:eastAsia="en-US" w:bidi="ar-SA"/>
        </w:rPr>
        <w:t>  Less has been said about the reasons why s. 15 claims are so rarely justified. It appears that the dearth of cases where the right to equality has been justified pursuant to s. 1 does not occur because there is any higher standard placed on governments. Rather, these cases have proven exceptionally challenging to justify on the facts of the cases due to the fundamental human interests that are engaged and the competing interests at play.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Cost to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991</w:t>
      </w:r>
      <w:r>
        <w:rPr>
          <w:rFonts w:ascii="arial" w:eastAsia="arial" w:hAnsi="arial" w:cs="arial"/>
          <w:color w:val="000000"/>
          <w:sz w:val="20"/>
          <w:lang w:val="en-US" w:eastAsia="en-US" w:bidi="ar-SA"/>
        </w:rPr>
        <w:t xml:space="preserve">  The plaintiffs press that the cost of complying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will only most rarely justify an infringement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They note that the Supreme Court of Canada has only once upheld an infringing measure related to cost, in </w:t>
      </w:r>
      <w:r>
        <w:rPr>
          <w:rFonts w:ascii="arial" w:eastAsia="arial" w:hAnsi="arial" w:cs="arial"/>
          <w:i/>
          <w:color w:val="000000"/>
          <w:sz w:val="20"/>
          <w:lang w:val="en-US" w:eastAsia="en-US" w:bidi="ar-SA"/>
        </w:rPr>
        <w:t>N.A.P.E.</w:t>
      </w:r>
      <w:r>
        <w:rPr>
          <w:rFonts w:ascii="arial" w:eastAsia="arial" w:hAnsi="arial" w:cs="arial"/>
          <w:color w:val="000000"/>
          <w:sz w:val="20"/>
          <w:lang w:val="en-US" w:eastAsia="en-US" w:bidi="ar-SA"/>
        </w:rPr>
        <w:t xml:space="preserve">, and only then in the context of an exceptional financial crisis in Newfoundland (see paras. 72 and 97). The plaintiffs cite </w:t>
      </w:r>
      <w:r>
        <w:rPr>
          <w:rFonts w:ascii="arial" w:eastAsia="arial" w:hAnsi="arial" w:cs="arial"/>
          <w:i/>
          <w:color w:val="000000"/>
          <w:sz w:val="20"/>
          <w:lang w:val="en-US" w:eastAsia="en-US" w:bidi="ar-SA"/>
        </w:rPr>
        <w:t>Health Services and Support - Facilities Subsector Bargaining Assn. v. British Columbia</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2007 SCC 27</w:t>
        </w:r>
      </w:hyperlink>
      <w:r>
        <w:rPr>
          <w:rFonts w:ascii="arial" w:eastAsia="arial" w:hAnsi="arial" w:cs="arial"/>
          <w:color w:val="000000"/>
          <w:sz w:val="20"/>
          <w:lang w:val="en-US" w:eastAsia="en-US" w:bidi="ar-SA"/>
        </w:rPr>
        <w:t>, at para. 147, for the proposition that cutting costs is not a pressing and substantial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992</w:t>
      </w:r>
      <w:r>
        <w:rPr>
          <w:rFonts w:ascii="arial" w:eastAsia="arial" w:hAnsi="arial" w:cs="arial"/>
          <w:color w:val="000000"/>
          <w:sz w:val="20"/>
          <w:lang w:val="en-US" w:eastAsia="en-US" w:bidi="ar-SA"/>
        </w:rPr>
        <w:t xml:space="preserve">  From time to time, courts have expressed doubts about the potential for the Government to justify limits to rights on the basis of cost or administrative expediency. In </w:t>
      </w:r>
      <w:r>
        <w:rPr>
          <w:rFonts w:ascii="arial" w:eastAsia="arial" w:hAnsi="arial" w:cs="arial"/>
          <w:i/>
          <w:color w:val="000000"/>
          <w:sz w:val="20"/>
          <w:lang w:val="en-US" w:eastAsia="en-US" w:bidi="ar-SA"/>
        </w:rPr>
        <w:t>Singh v. Minister of Employment and Immigration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[1985] 1 S.C.R. 177</w:t>
        </w:r>
      </w:hyperlink>
      <w:r>
        <w:rPr>
          <w:rFonts w:ascii="arial" w:eastAsia="arial" w:hAnsi="arial" w:cs="arial"/>
          <w:color w:val="000000"/>
          <w:sz w:val="20"/>
          <w:lang w:val="en-US" w:eastAsia="en-US" w:bidi="ar-SA"/>
        </w:rPr>
        <w:t xml:space="preserve">, Madam Justice Wilson, writing for three of six judges, stated that "the guarantees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would be illusory if they could be ignored because it was administratively convenient to do so" (at 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 Scotia (Workers' Compensation Board) v. Martin; Nova Scotia (Workers' Compensation Board) v. Laseur</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2003 SCC 54</w:t>
        </w:r>
      </w:hyperlink>
      <w:r>
        <w:rPr>
          <w:rFonts w:ascii="arial" w:eastAsia="arial" w:hAnsi="arial" w:cs="arial"/>
          <w:color w:val="000000"/>
          <w:sz w:val="20"/>
          <w:lang w:val="en-US" w:eastAsia="en-US" w:bidi="ar-SA"/>
        </w:rPr>
        <w:t xml:space="preserve">, the Court considered the constitutionality of chronic pain provisions in a scheme for workers' compensation. The Court held that the provisions violated the complainants' equality rights in a manner that could not be justified by s. 1. The government attempted to justify the infringement on the basis of four objectives: maintaining the viability of the fund in light of underfunded liability, developing a consistent legislative response, avoiding fraudulent claims and motivating claimants to return to work (at para. 108). The Court rejected the objective related to maintaining the financial viability of the fund, commenting that "[b]udgetary considerations in and of themselves cannot normally be invoked as a free-standing pressing and substantial objective for the purposes of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109). With reference to the second objective, developing a consistent legislative response, the Court commented that "[m]ere administrative expediency or conceptual elegance cannot be sufficiently pressing and substantial to override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(at para.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994</w:t>
      </w:r>
      <w:r>
        <w:rPr>
          <w:rFonts w:ascii="arial" w:eastAsia="arial" w:hAnsi="arial" w:cs="arial"/>
          <w:color w:val="000000"/>
          <w:sz w:val="20"/>
          <w:lang w:val="en-US" w:eastAsia="en-US" w:bidi="ar-SA"/>
        </w:rPr>
        <w:t xml:space="preserve">  While limiting rights to prevent the cost of guaranteeing them is not an adequate purpose, costs are not irrelevant to the analysis. In </w:t>
      </w:r>
      <w:r>
        <w:rPr>
          <w:rFonts w:ascii="arial" w:eastAsia="arial" w:hAnsi="arial" w:cs="arial"/>
          <w:i/>
          <w:color w:val="000000"/>
          <w:sz w:val="20"/>
          <w:lang w:val="en-US" w:eastAsia="en-US" w:bidi="ar-SA"/>
        </w:rPr>
        <w:t>Reference re Remuneration of Judges of the Provincial Court (P.E.I.),</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[1997]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P.E.I. Judges Reference</w:t>
      </w:r>
      <w:r>
        <w:rPr>
          <w:rFonts w:ascii="arial" w:eastAsia="arial" w:hAnsi="arial" w:cs="arial"/>
          <w:color w:val="000000"/>
          <w:sz w:val="20"/>
          <w:lang w:val="en-US" w:eastAsia="en-US" w:bidi="ar-SA"/>
        </w:rPr>
        <w:t>], Lamer C.J.C. (for the majority) wrote that costs might be relevant to the minimal impairment analysis (at para. 283):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While purely financial considerations are not sufficient to justify the infringement of Charter rights, they are relevant to determining the standard of deference for the test of minimal impairment </w:t>
      </w:r>
      <w:r>
        <w:rPr>
          <w:rFonts w:ascii="arial" w:eastAsia="arial" w:hAnsi="arial" w:cs="arial"/>
          <w:i/>
          <w:color w:val="000000"/>
          <w:sz w:val="20"/>
          <w:u w:val="single"/>
          <w:lang w:val="en-US" w:eastAsia="en-US" w:bidi="ar-SA"/>
        </w:rPr>
        <w:t>when reviewing legislation which is enacted for a purpose which is not financial.</w:t>
      </w:r>
      <w:r>
        <w:rPr>
          <w:rFonts w:ascii="arial" w:eastAsia="arial" w:hAnsi="arial" w:cs="arial"/>
          <w:color w:val="000000"/>
          <w:sz w:val="20"/>
          <w:lang w:val="en-US" w:eastAsia="en-US" w:bidi="ar-SA"/>
        </w:rPr>
        <w:t xml:space="preserve"> Thus, in </w:t>
      </w:r>
      <w:r>
        <w:rPr>
          <w:rFonts w:ascii="arial" w:eastAsia="arial" w:hAnsi="arial" w:cs="arial"/>
          <w:i/>
          <w:color w:val="000000"/>
          <w:sz w:val="20"/>
          <w:lang w:val="en-US" w:eastAsia="en-US" w:bidi="ar-SA"/>
        </w:rPr>
        <w:t>Irwin Toy Ltd. v. Quebec (Attorney General)</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[1989] 1 S.C.R. 927</w:t>
        </w:r>
      </w:hyperlink>
      <w:r>
        <w:rPr>
          <w:rFonts w:ascii="arial" w:eastAsia="arial" w:hAnsi="arial" w:cs="arial"/>
          <w:color w:val="000000"/>
          <w:sz w:val="20"/>
          <w:lang w:val="en-US" w:eastAsia="en-US" w:bidi="ar-SA"/>
        </w:rPr>
        <w:t>, at p. 994, the Court stated that "the distribution of scarce government resources" was a reason to relax the strict approach to minimal impairment taken in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the impugned legislation was aimed at the protection of children. In </w:t>
      </w:r>
      <w:r>
        <w:rPr>
          <w:rFonts w:ascii="arial" w:eastAsia="arial" w:hAnsi="arial" w:cs="arial"/>
          <w:i/>
          <w:color w:val="000000"/>
          <w:sz w:val="20"/>
          <w:lang w:val="en-US" w:eastAsia="en-US" w:bidi="ar-SA"/>
        </w:rPr>
        <w:t>McKinney v. University of Guelph</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[1990] 3 S.C.R. 229</w:t>
        </w:r>
      </w:hyperlink>
      <w:r>
        <w:rPr>
          <w:rFonts w:ascii="arial" w:eastAsia="arial" w:hAnsi="arial" w:cs="arial"/>
          <w:color w:val="000000"/>
          <w:sz w:val="20"/>
          <w:lang w:val="en-US" w:eastAsia="en-US" w:bidi="ar-SA"/>
        </w:rPr>
        <w:t xml:space="preserve">, where the issue was the constitutionality of a provision in provincial human rights legislation, La Forest J. stated at p. 288 that "the proper distribution of scarce resources must be weighed in a s. 1 analysis". Finally, in </w:t>
      </w:r>
      <w:r>
        <w:rPr>
          <w:rFonts w:ascii="arial" w:eastAsia="arial" w:hAnsi="arial" w:cs="arial"/>
          <w:i/>
          <w:color w:val="000000"/>
          <w:sz w:val="20"/>
          <w:lang w:val="en-US" w:eastAsia="en-US" w:bidi="ar-SA"/>
        </w:rPr>
        <w:t>Egan v. Canada</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[1995] 2 S.C.R. 513</w:t>
        </w:r>
      </w:hyperlink>
      <w:r>
        <w:rPr>
          <w:rFonts w:ascii="arial" w:eastAsia="arial" w:hAnsi="arial" w:cs="arial"/>
          <w:color w:val="000000"/>
          <w:sz w:val="20"/>
          <w:lang w:val="en-US" w:eastAsia="en-US" w:bidi="ar-SA"/>
        </w:rPr>
        <w:t>, where a scheme for pension benefits was under attack, Sopinka J. stated at para. 104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government must be accorded some flexibility in extending social benefits ... . It is not realistic for the Court to assume that there are unlimited funds to address the needs of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added. Italics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995</w:t>
      </w:r>
      <w:r>
        <w:rPr>
          <w:rFonts w:ascii="arial" w:eastAsia="arial" w:hAnsi="arial" w:cs="arial"/>
          <w:color w:val="000000"/>
          <w:sz w:val="20"/>
          <w:lang w:val="en-US" w:eastAsia="en-US" w:bidi="ar-SA"/>
        </w:rPr>
        <w:t>  Lamer C.J.C. went on to summarize three principles applicable to rights infringements that raise issues of cost (at para. 284):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main principles emerge from this discussion. First, a measure whose sole purpose is financial, and which infringes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can never be justified under s. 1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Second, financial considerations are relevant to tailoring the standard of review under minimal impairment (</w:t>
      </w:r>
      <w:r>
        <w:rPr>
          <w:rFonts w:ascii="arial" w:eastAsia="arial" w:hAnsi="arial" w:cs="arial"/>
          <w:i/>
          <w:color w:val="000000"/>
          <w:sz w:val="20"/>
          <w:lang w:val="en-US" w:eastAsia="en-US" w:bidi="ar-SA"/>
        </w:rPr>
        <w:t>Irwin Toy, McKinney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Egan</w:t>
      </w:r>
      <w:r>
        <w:rPr>
          <w:rFonts w:ascii="arial" w:eastAsia="arial" w:hAnsi="arial" w:cs="arial"/>
          <w:color w:val="000000"/>
          <w:sz w:val="20"/>
          <w:lang w:val="en-US" w:eastAsia="en-US" w:bidi="ar-SA"/>
        </w:rPr>
        <w:t>). Third, financial considerations are relevant to the exercise of the court's remedial discretion, when s. 52 is engaged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N.A.P.E.</w:t>
      </w:r>
      <w:r>
        <w:rPr>
          <w:rFonts w:ascii="arial" w:eastAsia="arial" w:hAnsi="arial" w:cs="arial"/>
          <w:color w:val="000000"/>
          <w:sz w:val="20"/>
          <w:lang w:val="en-US" w:eastAsia="en-US" w:bidi="ar-SA"/>
        </w:rPr>
        <w:t xml:space="preserve">, Mr. Justice Binnie, writing for the Court, reviewed and explained the purported rule against cost being relied on as an objective for justifying rights infringements. In so doing, he emphasized comments that made it appear that the rule was qualified, and was not absolute. He commented that while courts would treat attempts to justify rights infringements using costs with scepticism, periodic financial emergencies might justify the delayed implementation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997</w:t>
      </w:r>
      <w:r>
        <w:rPr>
          <w:rFonts w:ascii="arial" w:eastAsia="arial" w:hAnsi="arial" w:cs="arial"/>
          <w:color w:val="000000"/>
          <w:sz w:val="20"/>
          <w:lang w:val="en-US" w:eastAsia="en-US" w:bidi="ar-SA"/>
        </w:rPr>
        <w:t xml:space="preserve">  I take from the cases the principle that costs will not normally be a sufficiently pressing objective, on their own, to justify a rights infringement; to do otherwise would devalue the rights in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Singh, N.A.P.E.</w:t>
      </w:r>
      <w:r>
        <w:rPr>
          <w:rFonts w:ascii="arial" w:eastAsia="arial" w:hAnsi="arial" w:cs="arial"/>
          <w:color w:val="000000"/>
          <w:sz w:val="20"/>
          <w:lang w:val="en-US" w:eastAsia="en-US" w:bidi="ar-SA"/>
        </w:rPr>
        <w:t xml:space="preserve"> However, courts may consider costs to be a sufficiently pressing and substantial objective, on their own, in exceptional circumstances, such as times of periodic financial emergencies: </w:t>
      </w:r>
      <w:r>
        <w:rPr>
          <w:rFonts w:ascii="arial" w:eastAsia="arial" w:hAnsi="arial" w:cs="arial"/>
          <w:i/>
          <w:color w:val="000000"/>
          <w:sz w:val="20"/>
          <w:lang w:val="en-US" w:eastAsia="en-US" w:bidi="ar-SA"/>
        </w:rPr>
        <w:t>N.A.P.E.</w:t>
      </w:r>
      <w:r>
        <w:rPr>
          <w:rFonts w:ascii="arial" w:eastAsia="arial" w:hAnsi="arial" w:cs="arial"/>
          <w:color w:val="000000"/>
          <w:sz w:val="20"/>
          <w:lang w:val="en-US" w:eastAsia="en-US" w:bidi="ar-SA"/>
        </w:rPr>
        <w:t xml:space="preserve"> Further, where a measure is taken for a non-financial objective, the cost of implementing rights may well be considered by a court as a reason for relaxing the strict standard requiring that an infringing measure infringe a right no more than is necessary: </w:t>
      </w:r>
      <w:r>
        <w:rPr>
          <w:rFonts w:ascii="arial" w:eastAsia="arial" w:hAnsi="arial" w:cs="arial"/>
          <w:i/>
          <w:color w:val="000000"/>
          <w:sz w:val="20"/>
          <w:lang w:val="en-US" w:eastAsia="en-US" w:bidi="ar-SA"/>
        </w:rPr>
        <w:t>P.E.I. Reference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998</w:t>
      </w:r>
      <w:r>
        <w:rPr>
          <w:rFonts w:ascii="arial" w:eastAsia="arial" w:hAnsi="arial" w:cs="arial"/>
          <w:color w:val="000000"/>
          <w:sz w:val="20"/>
          <w:lang w:val="en-US" w:eastAsia="en-US" w:bidi="ar-SA"/>
        </w:rPr>
        <w:t>  I find the argument that cost may prove relevant to the minimal impairment stage to hold particular force with respect to violations of s. 23, as it requires Government to make expenditures out of public funds where the numbers warrant.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Prescribed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999</w:t>
      </w:r>
      <w:r>
        <w:rPr>
          <w:rFonts w:ascii="arial" w:eastAsia="arial" w:hAnsi="arial" w:cs="arial"/>
          <w:color w:val="000000"/>
          <w:sz w:val="20"/>
          <w:lang w:val="en-US" w:eastAsia="en-US" w:bidi="ar-SA"/>
        </w:rPr>
        <w:t xml:space="preserve">  Section 1 provides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are subject to "such </w:t>
      </w:r>
      <w:r>
        <w:rPr>
          <w:rFonts w:ascii="arial" w:eastAsia="arial" w:hAnsi="arial" w:cs="arial"/>
          <w:color w:val="000000"/>
          <w:sz w:val="20"/>
          <w:u w:val="single"/>
          <w:lang w:val="en-US" w:eastAsia="en-US" w:bidi="ar-SA"/>
        </w:rPr>
        <w:t>reasonable limits prescribed by law</w:t>
      </w:r>
      <w:r>
        <w:rPr>
          <w:rFonts w:ascii="arial" w:eastAsia="arial" w:hAnsi="arial" w:cs="arial"/>
          <w:color w:val="000000"/>
          <w:sz w:val="20"/>
          <w:lang w:val="en-US" w:eastAsia="en-US" w:bidi="ar-SA"/>
        </w:rPr>
        <w:t xml:space="preserve"> as can be demonstrably justified in a free and democratic society" (emphasis added). The words "prescribed by law" set the threshold that limits to rights must meet before it is open to Government to justify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1000</w:t>
      </w:r>
      <w:r>
        <w:rPr>
          <w:rFonts w:ascii="arial" w:eastAsia="arial" w:hAnsi="arial" w:cs="arial"/>
          <w:color w:val="000000"/>
          <w:sz w:val="20"/>
          <w:lang w:val="en-US" w:eastAsia="en-US" w:bidi="ar-SA"/>
        </w:rPr>
        <w:t xml:space="preserve">  The "prescribed by law" requirement is of particular interest in this case. The defendants argue that many of the plaintiffs' challenges are to discretionary decisions made by statutory decision-makers. Thus, they say that the test for justification articulated in </w:t>
      </w:r>
      <w:r>
        <w:rPr>
          <w:rFonts w:ascii="arial" w:eastAsia="arial" w:hAnsi="arial" w:cs="arial"/>
          <w:i/>
          <w:color w:val="000000"/>
          <w:sz w:val="20"/>
          <w:lang w:val="en-US" w:eastAsia="en-US" w:bidi="ar-SA"/>
        </w:rPr>
        <w:t>Doré v. Barreau du Québec</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2012 SCC 12</w:t>
        </w:r>
      </w:hyperlink>
      <w:r>
        <w:rPr>
          <w:rFonts w:ascii="arial" w:eastAsia="arial" w:hAnsi="arial" w:cs="arial"/>
          <w:color w:val="000000"/>
          <w:sz w:val="20"/>
          <w:lang w:val="en-US" w:eastAsia="en-US" w:bidi="ar-SA"/>
        </w:rPr>
        <w:t>, applies to those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The Meaning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1001</w:t>
      </w:r>
      <w:r>
        <w:rPr>
          <w:rFonts w:ascii="arial" w:eastAsia="arial" w:hAnsi="arial" w:cs="arial"/>
          <w:color w:val="000000"/>
          <w:sz w:val="20"/>
          <w:lang w:val="en-US" w:eastAsia="en-US" w:bidi="ar-SA"/>
        </w:rPr>
        <w:t xml:space="preserve">  The parties agree that the term "law" is broad enough to encompass a range of delegated legislation, including government policies in some situations. In Greater Vancouver Transportation Authority v. Canadian Federation of Students -- British Columbia Component, </w:t>
      </w:r>
      <w:hyperlink r:id="rId361" w:history="1">
        <w:r>
          <w:rPr>
            <w:rFonts w:ascii="arial" w:eastAsia="arial" w:hAnsi="arial" w:cs="arial"/>
            <w:i/>
            <w:color w:val="0077CC"/>
            <w:sz w:val="20"/>
            <w:u w:val="single"/>
            <w:shd w:val="clear" w:color="auto" w:fill="FFFFFF"/>
            <w:lang w:val="en-US" w:eastAsia="en-US" w:bidi="ar-SA"/>
          </w:rPr>
          <w:t>2009 SCC 31</w:t>
        </w:r>
      </w:hyperlink>
      <w:r>
        <w:rPr>
          <w:rFonts w:ascii="arial" w:eastAsia="arial" w:hAnsi="arial" w:cs="arial"/>
          <w:color w:val="000000"/>
          <w:sz w:val="20"/>
          <w:lang w:val="en-US" w:eastAsia="en-US" w:bidi="ar-SA"/>
        </w:rPr>
        <w:t xml:space="preserve"> [GVTA] , the Court canvased the types of policies that fall within the category of "law" for the "prescribed by law" requirement. Writing for the Court on this point, Madam Justice Deschamps explained that policies are said to be prescribed by law where they are binding rules of general application that are precise and accessible (at para. 50). To be classified as a law, a policy must be legislative in nature, in the sense that the policy establishes a norm or standard of general application, and has been established pursuant to a delegated rule-making authority. Madam Justice Deschamps confirmed that "[s]o long as the enabling legislation allows the entity to adopt binding rules, and so long as the rules establish rights and obligations of general rather than specific application and are sufficiently accessible and precise, they will qualify as "law" which prescribes a limit on a Charter right"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1002</w:t>
      </w:r>
      <w:r>
        <w:rPr>
          <w:rFonts w:ascii="arial" w:eastAsia="arial" w:hAnsi="arial" w:cs="arial"/>
          <w:color w:val="000000"/>
          <w:sz w:val="20"/>
          <w:lang w:val="en-US" w:eastAsia="en-US" w:bidi="ar-SA"/>
        </w:rPr>
        <w:t xml:space="preserve">  In my view, there is no question that the funding allocation system and its many components are prescribed by law. Those components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and various guidelines, policies and orders made pursuant to it: the Operating Grants Manuals, the Capital Plan Instructions, the Area Standards, the Annual Facility Grant Policy, the Capital Asset Management Project Procurement Procedures and Guidelines, the Disposal of Land or Improvements Order, and the School Opening and Closure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Discretionary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1003</w:t>
      </w:r>
      <w:r>
        <w:rPr>
          <w:rFonts w:ascii="arial" w:eastAsia="arial" w:hAnsi="arial" w:cs="arial"/>
          <w:color w:val="000000"/>
          <w:sz w:val="20"/>
          <w:lang w:val="en-US" w:eastAsia="en-US" w:bidi="ar-SA"/>
        </w:rPr>
        <w:t xml:space="preserve">  The parties disagree about what framework ought to apply to the justification of rights infringements where the plaintiffs challenge both a law and policy, and actions taken in application of those policies. The defendants suggest that the Court ought to apply the administrative law Charter values approach articulated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to at least those aspects of the plaintiffs' claim that concern actions taken by government. The plaintiffs take the view that the traditional test for justification set out in Oakes ought to apply. The dispute raises the question where the line should be drawn in the grey area between "limits prescribed by law" and discretionary decisions taken by administrative decision makers.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Doré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1004</w:t>
      </w:r>
      <w:r>
        <w:rPr>
          <w:rFonts w:ascii="arial" w:eastAsia="arial" w:hAnsi="arial" w:cs="arial"/>
          <w:color w:val="000000"/>
          <w:sz w:val="20"/>
          <w:lang w:val="en-US" w:eastAsia="en-US" w:bidi="ar-SA"/>
        </w:rPr>
        <w:t xml:space="preserve">  The defendants submit that legislation may be unconstitutional either because it violates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on its face, or because of the manner in which the legislation is applied. The former, they say, requires a remedy pursuant to s. 52(1)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while the latter suggests a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the defendants' submission, the analytical frameworks for those two forms of breaches are distinct. In that connection, they rely on </w:t>
      </w:r>
      <w:r>
        <w:rPr>
          <w:rFonts w:ascii="arial" w:eastAsia="arial" w:hAnsi="arial" w:cs="arial"/>
          <w:i/>
          <w:color w:val="000000"/>
          <w:sz w:val="20"/>
          <w:lang w:val="en-US" w:eastAsia="en-US" w:bidi="ar-SA"/>
        </w:rPr>
        <w:t>Eldridge v. British Columbia (Attorney General)</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[1997] 3 S.C.R. 624</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Multani v. Commission Scolaire Marguerite-Bourgeoys</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2006 SCC 6</w:t>
        </w:r>
      </w:hyperlink>
      <w:r>
        <w:rPr>
          <w:rFonts w:ascii="arial" w:eastAsia="arial" w:hAnsi="arial" w:cs="arial"/>
          <w:color w:val="000000"/>
          <w:sz w:val="20"/>
          <w:lang w:val="en-US" w:eastAsia="en-US" w:bidi="ar-SA"/>
        </w:rPr>
        <w:t xml:space="preserve"> at para. 22 and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at paras. 66-67.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1005</w:t>
      </w:r>
      <w:r>
        <w:rPr>
          <w:rFonts w:ascii="arial" w:eastAsia="arial" w:hAnsi="arial" w:cs="arial"/>
          <w:color w:val="000000"/>
          <w:sz w:val="20"/>
          <w:lang w:val="en-US" w:eastAsia="en-US" w:bidi="ar-SA"/>
        </w:rPr>
        <w:t xml:space="preserve">  The defendants rely on that distinction to suggest that where legislation confers an imprecise discretion, with no express or implied power to limit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potential violation inheres in the exercise of discretion rather than the grant of discretion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1006</w:t>
      </w:r>
      <w:r>
        <w:rPr>
          <w:rFonts w:ascii="arial" w:eastAsia="arial" w:hAnsi="arial" w:cs="arial"/>
          <w:color w:val="000000"/>
          <w:sz w:val="20"/>
          <w:lang w:val="en-US" w:eastAsia="en-US" w:bidi="ar-SA"/>
        </w:rPr>
        <w:t xml:space="preserve">  In the defendants' submission, the proper analytical framework for determining whether an exercise of statutory discretion disproportionately and unreasonably infringes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recently articulated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Loyola High School v. Quebec (Attorney General),</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2015 SCC 12</w:t>
        </w:r>
      </w:hyperlink>
      <w:r>
        <w:rPr>
          <w:rFonts w:ascii="arial" w:eastAsia="arial" w:hAnsi="arial" w:cs="arial"/>
          <w:color w:val="000000"/>
          <w:sz w:val="20"/>
          <w:lang w:val="en-US" w:eastAsia="en-US" w:bidi="ar-SA"/>
        </w:rPr>
        <w:t>. They say the justification question should be subsumed in the deferential, administrative law framework of the reasonableness review, as that provides the appropriate focus on the particular exercise of the discretion rather than the validity of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1007</w:t>
      </w:r>
      <w:r>
        <w:rPr>
          <w:rFonts w:ascii="arial" w:eastAsia="arial" w:hAnsi="arial" w:cs="arial"/>
          <w:color w:val="000000"/>
          <w:sz w:val="20"/>
          <w:lang w:val="en-US" w:eastAsia="en-US" w:bidi="ar-SA"/>
        </w:rPr>
        <w:t xml:space="preserve">  The plaintiffs disagree. In their view,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was designed to resolve a specific inconsistency in the Supreme Court of Canada's administrative law jurisprudence. Thus, they say that it applies where a discretionary administrative decision that raises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 is reviewed, and there is no corresponding challenge to the validity to the provision being challenged. The plaintiffs also observe that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has typically been applied in administrative law cases where there is no challenge to the constitutionality of the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1008</w:t>
      </w:r>
      <w:r>
        <w:rPr>
          <w:rFonts w:ascii="arial" w:eastAsia="arial" w:hAnsi="arial" w:cs="arial"/>
          <w:color w:val="000000"/>
          <w:sz w:val="20"/>
          <w:lang w:val="en-US" w:eastAsia="en-US" w:bidi="ar-SA"/>
        </w:rPr>
        <w:t xml:space="preserve">  Prior to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discretionary orders that had the effect of limiting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were sometimes considered to be "limits prescribed by law". Where a statute gave an adjudicator the authority to make a discretionary order, orders made pursuant to that statutory authority were inferred to be prescribed by law: </w:t>
      </w:r>
      <w:r>
        <w:rPr>
          <w:rFonts w:ascii="arial" w:eastAsia="arial" w:hAnsi="arial" w:cs="arial"/>
          <w:i/>
          <w:color w:val="000000"/>
          <w:sz w:val="20"/>
          <w:lang w:val="en-US" w:eastAsia="en-US" w:bidi="ar-SA"/>
        </w:rPr>
        <w:t>Slaight Communications v. Davidson</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[1989] 1 S.C.R. 1038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Lamer C.J.C. (dissenting in part) at 1080-81.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Chief Justice Lamer considered the applicability of s. 1 to statutory discretionary decisions. He considered that it would be "impossible to interpret legislation conferring discretion as conferring a power to infringe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absent some express conferral or necessary implication. He held that "[l]egislation conferring an imprecise discretion must therefore be interpreted as not allowing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to be infringed." Accordingly, he decided that an adjudicator exercising delegated powers does not have the power to make an order that would result in an infringement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at 1078.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1010</w:t>
      </w:r>
      <w:r>
        <w:rPr>
          <w:rFonts w:ascii="arial" w:eastAsia="arial" w:hAnsi="arial" w:cs="arial"/>
          <w:color w:val="000000"/>
          <w:sz w:val="20"/>
          <w:lang w:val="en-US" w:eastAsia="en-US" w:bidi="ar-SA"/>
        </w:rPr>
        <w:t xml:space="preserve">  The Chief Justice went on to distinguish between two types of statutory conferrals of discretion that might be subject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scrutiny (at 1080). If a statute expressly or implicitly authorized a decision that would infringe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then the impugned legislation ought to be subject to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scrutiny. If a statute conferred a discretion pursuant to which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might be breached, but did not expressly or implicitly allow it, the decision, not the statute, would be required to satisfy the s. 1 standard of justification in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was decided in 1989. At that time, on judicial review of discretionary decisions, courts sought to discern legislative intent by applying the pragmatic and functional analysis established in </w:t>
      </w:r>
      <w:r>
        <w:rPr>
          <w:rFonts w:ascii="arial" w:eastAsia="arial" w:hAnsi="arial" w:cs="arial"/>
          <w:i/>
          <w:color w:val="000000"/>
          <w:sz w:val="20"/>
          <w:lang w:val="en-US" w:eastAsia="en-US" w:bidi="ar-SA"/>
        </w:rPr>
        <w:t>U.E.S., Local 298 v. Bibeault,</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[1988] 2 S.C.R. 1048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Bibeault</w:t>
      </w:r>
      <w:r>
        <w:rPr>
          <w:rFonts w:ascii="arial" w:eastAsia="arial" w:hAnsi="arial" w:cs="arial"/>
          <w:color w:val="000000"/>
          <w:sz w:val="20"/>
          <w:lang w:val="en-US" w:eastAsia="en-US" w:bidi="ar-SA"/>
        </w:rPr>
        <w:t xml:space="preserve">] and elaborated on in cases including </w:t>
      </w:r>
      <w:r>
        <w:rPr>
          <w:rFonts w:ascii="arial" w:eastAsia="arial" w:hAnsi="arial" w:cs="arial"/>
          <w:i/>
          <w:color w:val="000000"/>
          <w:sz w:val="20"/>
          <w:lang w:val="en-US" w:eastAsia="en-US" w:bidi="ar-SA"/>
        </w:rPr>
        <w:t>Pushpanathan v. Canada (Minister of Citizenship and Immigration),</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 xml:space="preserve">. When an expert tribunal, protected by a privative clause, was acting within its jurisdiction, its actions would be allowed to stand unless they were so "patently unreasonable" that the legislature could not have intended such a decision to be made: </w:t>
      </w:r>
      <w:r>
        <w:rPr>
          <w:rFonts w:ascii="arial" w:eastAsia="arial" w:hAnsi="arial" w:cs="arial"/>
          <w:i/>
          <w:color w:val="000000"/>
          <w:sz w:val="20"/>
          <w:lang w:val="en-US" w:eastAsia="en-US" w:bidi="ar-SA"/>
        </w:rPr>
        <w:t>C.U.P.E, Local 963 v. New Brunswick Liquor Corp.</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[1979] 2 S.C.R. 227</w:t>
        </w:r>
      </w:hyperlink>
      <w:r>
        <w:rPr>
          <w:rFonts w:ascii="arial" w:eastAsia="arial" w:hAnsi="arial" w:cs="arial"/>
          <w:color w:val="000000"/>
          <w:sz w:val="20"/>
          <w:lang w:val="en-US" w:eastAsia="en-US" w:bidi="ar-SA"/>
        </w:rPr>
        <w:t xml:space="preserve"> at 237. However, given the inherent jurisdiction of a court to ensure that tribunals act within their statutory authority, courts would review whether a tribunal had exceeded its jurisdiction on the non-deferential correctness standard: </w:t>
      </w:r>
      <w:r>
        <w:rPr>
          <w:rFonts w:ascii="arial" w:eastAsia="arial" w:hAnsi="arial" w:cs="arial"/>
          <w:i/>
          <w:color w:val="000000"/>
          <w:sz w:val="20"/>
          <w:lang w:val="en-US" w:eastAsia="en-US" w:bidi="ar-SA"/>
        </w:rPr>
        <w:t>Bibeault</w:t>
      </w:r>
      <w:r>
        <w:rPr>
          <w:rFonts w:ascii="arial" w:eastAsia="arial" w:hAnsi="arial" w:cs="arial"/>
          <w:color w:val="000000"/>
          <w:sz w:val="20"/>
          <w:lang w:val="en-US" w:eastAsia="en-US" w:bidi="ar-SA"/>
        </w:rPr>
        <w:t xml:space="preserve"> at 1086.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1012</w:t>
      </w:r>
      <w:r>
        <w:rPr>
          <w:rFonts w:ascii="arial" w:eastAsia="arial" w:hAnsi="arial" w:cs="arial"/>
          <w:color w:val="000000"/>
          <w:sz w:val="20"/>
          <w:lang w:val="en-US" w:eastAsia="en-US" w:bidi="ar-SA"/>
        </w:rPr>
        <w:t xml:space="preserve">  With </w:t>
      </w:r>
      <w:r>
        <w:rPr>
          <w:rFonts w:ascii="arial" w:eastAsia="arial" w:hAnsi="arial" w:cs="arial"/>
          <w:i/>
          <w:color w:val="000000"/>
          <w:sz w:val="20"/>
          <w:lang w:val="en-US" w:eastAsia="en-US" w:bidi="ar-SA"/>
        </w:rPr>
        <w:t>Canada (Director of Investigation and Research) v. Southam Inc.,</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the Court imported a third standard into the standard of review analysis, the mid-point reasonableness simpliciter standard. That standard allowed courts to substitute their opinion for that of a tribunal where a defect was apparent after some searching. In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the Court eliminated the patently unreasonable standard, and moved to two standards: reasonableness and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1013</w:t>
      </w:r>
      <w:r>
        <w:rPr>
          <w:rFonts w:ascii="arial" w:eastAsia="arial" w:hAnsi="arial" w:cs="arial"/>
          <w:color w:val="000000"/>
          <w:sz w:val="20"/>
          <w:lang w:val="en-US" w:eastAsia="en-US" w:bidi="ar-SA"/>
        </w:rPr>
        <w:t xml:space="preserve">  This evolution of the law of judicial review reflects a move away from a technical, formulaic examination of questions of legal and statutory jurisdiction, to a simpler, contextual, flexible test: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1014</w:t>
      </w:r>
      <w:r>
        <w:rPr>
          <w:rFonts w:ascii="arial" w:eastAsia="arial" w:hAnsi="arial" w:cs="arial"/>
          <w:color w:val="000000"/>
          <w:sz w:val="20"/>
          <w:lang w:val="en-US" w:eastAsia="en-US" w:bidi="ar-SA"/>
        </w:rPr>
        <w:t xml:space="preserve">  As the law on judicial review of administrative actions moved away from its focus on the legal grant of authority, a question arose as to whether it was appropriate to apply the traditional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on judicial review of administrative action. It appears to me that as judicial reviews began to focus less on the grant of authority, the reasoning in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that allowed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approach to be applied to discretionary decisions began to lose its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1015</w:t>
      </w:r>
      <w:r>
        <w:rPr>
          <w:rFonts w:ascii="arial" w:eastAsia="arial" w:hAnsi="arial" w:cs="arial"/>
          <w:color w:val="000000"/>
          <w:sz w:val="20"/>
          <w:lang w:val="en-US" w:eastAsia="en-US" w:bidi="ar-SA"/>
        </w:rPr>
        <w:t xml:space="preserve">  The issue was front and centre in the three-way split decision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a decision concerning the religious freedoms of an orthodox Sikh student who held a sincere religious belief requiring him to wear a kirpan at all times. The school board's council of commissioners made a decision prohibiting the student from wearing the kirpan to school. The plaintiffs in that case sought a declaratory judgement that the decision was of no force or effect because it infringed the student's right to religious freedom under s.2(a)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1016</w:t>
      </w:r>
      <w:r>
        <w:rPr>
          <w:rFonts w:ascii="arial" w:eastAsia="arial" w:hAnsi="arial" w:cs="arial"/>
          <w:color w:val="000000"/>
          <w:sz w:val="20"/>
          <w:lang w:val="en-US" w:eastAsia="en-US" w:bidi="ar-SA"/>
        </w:rPr>
        <w:t xml:space="preserve">  In the decision of the five-person majority of the Court, written by Madam Justice Charron, the Court considered that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ought to continue to apply to the review of discretionary decisions, albeit with a consideration of reasonable accommodation as part of the justificatory analysis. In their minority reasons, Justices Deschamps and Abella took the position that it was not appropriate to apply a constitutional law justification in the context of the review of an administrative law decision, as, in their view, the contextual standard of review analysis would prevent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from being upheld. Mr. Justice LeBel, writing for himself, considered that it might be possible to dispense with some of the steps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and focus only on the questions of proportionality and minimal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1017</w:t>
      </w:r>
      <w:r>
        <w:rPr>
          <w:rFonts w:ascii="arial" w:eastAsia="arial" w:hAnsi="arial" w:cs="arial"/>
          <w:color w:val="000000"/>
          <w:sz w:val="20"/>
          <w:lang w:val="en-US" w:eastAsia="en-US" w:bidi="ar-SA"/>
        </w:rPr>
        <w:t>  The concurring minority decision authored by Deschamps and Abella JJ. advocated for doing away with the s. 1 justification step in connection with discretionary decisions by administrative decision makers. They suggested the case was appropriately decided by recourse to an administrative law review rather than a constitutional law justification. In so doing, they stressed a distinction between the review of "</w:t>
      </w:r>
      <w:r>
        <w:rPr>
          <w:rFonts w:ascii="arial" w:eastAsia="arial" w:hAnsi="arial" w:cs="arial"/>
          <w:i/>
          <w:color w:val="000000"/>
          <w:sz w:val="20"/>
          <w:lang w:val="en-US" w:eastAsia="en-US" w:bidi="ar-SA"/>
        </w:rPr>
        <w:t>decisions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orders</w:t>
      </w:r>
      <w:r>
        <w:rPr>
          <w:rFonts w:ascii="arial" w:eastAsia="arial" w:hAnsi="arial" w:cs="arial"/>
          <w:color w:val="000000"/>
          <w:sz w:val="20"/>
          <w:lang w:val="en-US" w:eastAsia="en-US" w:bidi="ar-SA"/>
        </w:rPr>
        <w:t xml:space="preserve"> made by administrative bodies" (which would attract the administrative law approach) and "the validity or enforceability of a norm such as a law, regulation or other rule of general application" (which would attract the usual constitutional justification analysis) (at para. 103). They urged that the purpose of constitutional justification was to "assess a norm of general application, such as a statute or regulation." They suggested the analytical approach developed for that purpose did not translate easily to the assessment of the validity of an administrative body's decision. As a result, they suggested that the administrative law review that would usually apply would ensure that no rights were violated (at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1018</w:t>
      </w:r>
      <w:r>
        <w:rPr>
          <w:rFonts w:ascii="arial" w:eastAsia="arial" w:hAnsi="arial" w:cs="arial"/>
          <w:color w:val="000000"/>
          <w:sz w:val="20"/>
          <w:lang w:val="en-US" w:eastAsia="en-US" w:bidi="ar-SA"/>
        </w:rPr>
        <w:t xml:space="preserve">  Deschamps and Abella JJ. suggested the approach set out in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ought to be reviewed (at paras. 108-109, 111). They rejected the idea that the expression "law" should include the decisions of administrative bodies. In their view, a decision did not fit within the definition of "law", and it would be problematic for administrative bodies to consider justification in their decision-making process.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they reasoned, was better suited to ensuring the executive and legislative branches of government could account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infringing rules and policies (at paras. 112, 120-121):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administrative body determines an individual's rights in relation to a particular issue. A decision or order made by such a body is not a law or regulation, but is instead the result of a process provided for by statute and by the principles of administrative law in a given case. A law or regulation, on the other hand, is enacted or made by the legislature or by a body to which powers are delegated. The norm so established is not limited to a specific case. It is general in scope. Establishing a norm and resolving a dispute are not usually considered equivalent processes. At first glance, therefore, equating a decision or order with a law, as Lamer J. does in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seems anomalous.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suggest that the decisions of administrative bodies must be justifiable under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implies that the decision makers in question must incorporate this analysis into their decision-making process. This requirement makes the decision-making process formalistic and distracts the reviewing court from the objective of the analysis, which relates instead to the substance of the decision and consists of determining whether it is correct (</w:t>
      </w:r>
      <w:r>
        <w:rPr>
          <w:rFonts w:ascii="arial" w:eastAsia="arial" w:hAnsi="arial" w:cs="arial"/>
          <w:i/>
          <w:color w:val="000000"/>
          <w:sz w:val="20"/>
          <w:lang w:val="en-US" w:eastAsia="en-US" w:bidi="ar-SA"/>
        </w:rPr>
        <w:t>T.W.U.</w:t>
      </w:r>
      <w:r>
        <w:rPr>
          <w:rFonts w:ascii="arial" w:eastAsia="arial" w:hAnsi="arial" w:cs="arial"/>
          <w:color w:val="000000"/>
          <w:sz w:val="20"/>
          <w:lang w:val="en-US" w:eastAsia="en-US" w:bidi="ar-SA"/>
        </w:rPr>
        <w:t>) or reasonable (</w:t>
      </w:r>
      <w:r>
        <w:rPr>
          <w:rFonts w:ascii="arial" w:eastAsia="arial" w:hAnsi="arial" w:cs="arial"/>
          <w:i/>
          <w:color w:val="000000"/>
          <w:sz w:val="20"/>
          <w:lang w:val="en-US" w:eastAsia="en-US" w:bidi="ar-SA"/>
        </w:rPr>
        <w:t>Chamberlain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administrative decision maker should not have to justify its decision under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which is based on an analysis of societal interests and is better suited, conceptually and literally, to the concept of "prescribed by law". </w:t>
      </w:r>
      <w:r>
        <w:rPr>
          <w:rFonts w:ascii="arial" w:eastAsia="arial" w:hAnsi="arial" w:cs="arial"/>
          <w:color w:val="000000"/>
          <w:sz w:val="20"/>
          <w:u w:val="single"/>
          <w:lang w:val="en-US" w:eastAsia="en-US" w:bidi="ar-SA"/>
        </w:rPr>
        <w:t xml:space="preserve">That test is based on the duty of the executive and legislative branches of government to account to the courts for any rules they establish that infringe protected rights. The </w:t>
      </w:r>
      <w:r>
        <w:rPr>
          <w:rFonts w:ascii="arial" w:eastAsia="arial" w:hAnsi="arial" w:cs="arial"/>
          <w:i/>
          <w:color w:val="000000"/>
          <w:sz w:val="20"/>
          <w:u w:val="single"/>
          <w:lang w:val="en-US" w:eastAsia="en-US" w:bidi="ar-SA"/>
        </w:rPr>
        <w:t>Oakes</w:t>
      </w:r>
      <w:r>
        <w:rPr>
          <w:rFonts w:ascii="arial" w:eastAsia="arial" w:hAnsi="arial" w:cs="arial"/>
          <w:color w:val="000000"/>
          <w:sz w:val="20"/>
          <w:u w:val="single"/>
          <w:lang w:val="en-US" w:eastAsia="en-US" w:bidi="ar-SA"/>
        </w:rPr>
        <w:t xml:space="preserve"> test was developed to assess legislative policies. The duty to account imposed - conceptually and in practice - on the legislative and executive branches is not easily applied to administrative tribunals.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1019</w:t>
      </w:r>
      <w:r>
        <w:rPr>
          <w:rFonts w:ascii="arial" w:eastAsia="arial" w:hAnsi="arial" w:cs="arial"/>
          <w:color w:val="000000"/>
          <w:sz w:val="20"/>
          <w:lang w:val="en-US" w:eastAsia="en-US" w:bidi="ar-SA"/>
        </w:rPr>
        <w:t xml:space="preserve">  The majority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disagreed. Madam Justice Charron, for the majority, considered that in order to maintain consistency in the law, it was necessary for discretionary decisions to be justified under s. 1 regardless of whether an infringement arose out of the wording of the statute or its application. The majority averted to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and noted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can apply in two ways: either by the words of a statute, or the actions of a delegated decision-maker applying it. In their view, decisions taken by statutory decision makers acting pursuant to an enabling statute that infringe the Charter had to be subject to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analysis because they were limits "prescribed by law". The majority rejected the distinction between normative rules and decisions applying that rule, suggesting the distinction was of little importance to rightsholders, and that the Government ought to meet the same burden in any event (at paras. 21-22). The majority applied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while asking if the complainant had been reasonably accommodated as part of the test for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1020</w:t>
      </w:r>
      <w:r>
        <w:rPr>
          <w:rFonts w:ascii="arial" w:eastAsia="arial" w:hAnsi="arial" w:cs="arial"/>
          <w:color w:val="000000"/>
          <w:sz w:val="20"/>
          <w:lang w:val="en-US" w:eastAsia="en-US" w:bidi="ar-SA"/>
        </w:rPr>
        <w:t xml:space="preserve">  Mr. Justice LeBel, writing for himself, walked the middle ground between the two approaches. He suggested that the s. 1 justification framework admitted of some flexibility, which would allow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its values to be applied to a range of administrative acts without being confined by the norm-decision duality espoused by Deschamps and Abella JJ. (at paras. 150-151). He suggested that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could be modified, dispensing with certain steps, and focusing on minimal impairment and proportionality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the Court maintained that distinctive approaches ought to be taken with respect to the justification of rights-limiting laws, and the justification of decisions taken with respect to a particular individual. There, the Court wrote that the courts below had erred by applying the majority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's "reasonable accommodation analysis instead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(at para. 65). The Court confirmed that when the validity of a law is at stake,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approach ought to apply, asking whether the measure could be accomplished in a less infringing manner (at para.66). The Court suggested that a different analysis ought to apply to a government action or administrative practice. Chief Justice McLachlin emphasized that the new reasonable accommodation approach outlined by the majority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"may be helpful 'to explain the burden resulting from the minimal impairment test </w:t>
      </w:r>
      <w:r>
        <w:rPr>
          <w:rFonts w:ascii="arial" w:eastAsia="arial" w:hAnsi="arial" w:cs="arial"/>
          <w:color w:val="000000"/>
          <w:sz w:val="20"/>
          <w:u w:val="single"/>
          <w:lang w:val="en-US" w:eastAsia="en-US" w:bidi="ar-SA"/>
        </w:rPr>
        <w:t>with respect to a particular individual</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emphasis added by McLachlin C.J.C.)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1022</w:t>
      </w:r>
      <w:r>
        <w:rPr>
          <w:rFonts w:ascii="arial" w:eastAsia="arial" w:hAnsi="arial" w:cs="arial"/>
          <w:color w:val="000000"/>
          <w:sz w:val="20"/>
          <w:lang w:val="en-US" w:eastAsia="en-US" w:bidi="ar-SA"/>
        </w:rPr>
        <w:t xml:space="preserve">  Chief Justice McLachlin went on to explain that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was better suited to the relationship between a legislature and the people subject to laws of general application. In particular, when the constitutionality of a law is at stake, the Court will be concerned not just with the impact on the individual claimant, but also with the societal impact and importance of the law.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very different kind of relationship exists between a legislature and the people subject to its laws. By their very nature, laws of general application are not tailored to the unique needs of individual claimants. The legislature has no capacity or legal obligation to engage in such an individualized determination, and in many cases would have no advance notice of a law's potential to infringe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cannot be expected to tailor a law to every possible future contingency, or every sincerely held religious belief. Laws of general application affect the general public, not just the claimants before the court. The broader societal context in which the law operates must inform the s. 1 justification analysis. A law's constitutionality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determined, not by whether it is responsive to the unique needs of every individual claimant, but rather by whether its infringement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is directed at an important objective and is proportionate in its overall impact. While the law's impact on the individual claimants is undoubtedly a significant factor for the court to consider in determining whether the infringement is justified, the court's ultimate perspective is societal. The question the court must answer is whether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infringement is justifiable in a free and democratic society, not whether a more advantageous arrangement for a particular claimant could be envisioned.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1023</w:t>
      </w:r>
      <w:r>
        <w:rPr>
          <w:rFonts w:ascii="arial" w:eastAsia="arial" w:hAnsi="arial" w:cs="arial"/>
          <w:color w:val="000000"/>
          <w:sz w:val="20"/>
          <w:lang w:val="en-US" w:eastAsia="en-US" w:bidi="ar-SA"/>
        </w:rPr>
        <w:t xml:space="preserve">  With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the Court completed its shift in how it treated the justification of individualized decisions subject to judicial review on a reasonableness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concerned a decision by a disciplinary body to reprimand a lawyer for the content of a letter he wrote to a judge following a court proceeding. The lawyer challenged neither the provision under which he was reprimanded nor the length of his suspension. Rather, he challenged the constitutionality of the decision itself on the basis that it violated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to freedom of expression (at paras.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1025</w:t>
      </w:r>
      <w:r>
        <w:rPr>
          <w:rFonts w:ascii="arial" w:eastAsia="arial" w:hAnsi="arial" w:cs="arial"/>
          <w:color w:val="000000"/>
          <w:sz w:val="20"/>
          <w:lang w:val="en-US" w:eastAsia="en-US" w:bidi="ar-SA"/>
        </w:rPr>
        <w:t xml:space="preserve">  Since the decision was a discretionary one made pursuant to delegated statutory authority, the Court considered whether the presence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 required the replacement of the normal judicial review for reasonableness with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used to determine whether the state has justified a law's violation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a reasonable limit under s. 1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1026</w:t>
      </w:r>
      <w:r>
        <w:rPr>
          <w:rFonts w:ascii="arial" w:eastAsia="arial" w:hAnsi="arial" w:cs="arial"/>
          <w:color w:val="000000"/>
          <w:sz w:val="20"/>
          <w:lang w:val="en-US" w:eastAsia="en-US" w:bidi="ar-SA"/>
        </w:rPr>
        <w:t xml:space="preserve">  Writing for the Court, Madam Justice Abella considered that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was an awkward fit with an adjudicated administrative decision. She reasoned that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was tailored to the justification of </w:t>
      </w:r>
      <w:r>
        <w:rPr>
          <w:rFonts w:ascii="arial" w:eastAsia="arial" w:hAnsi="arial" w:cs="arial"/>
          <w:color w:val="000000"/>
          <w:sz w:val="20"/>
          <w:u w:val="single"/>
          <w:lang w:val="en-US" w:eastAsia="en-US" w:bidi="ar-SA"/>
        </w:rPr>
        <w:t>laws</w:t>
      </w:r>
      <w:r>
        <w:rPr>
          <w:rFonts w:ascii="arial" w:eastAsia="arial" w:hAnsi="arial" w:cs="arial"/>
          <w:color w:val="000000"/>
          <w:sz w:val="20"/>
          <w:lang w:val="en-US" w:eastAsia="en-US" w:bidi="ar-SA"/>
        </w:rPr>
        <w:t xml:space="preserve"> by the state (at para. 37). She further noted that it would be conceptually difficult to find a "pressing and substantial" objective in a discretionary statutory decision, or determine who ought to have the burden of defining and defending it (at para. 38). Invoking that test in the administrative law context would have the benefit of protecting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but would do so "at the risk of undermining a more robust conception of administrative law."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1027</w:t>
      </w:r>
      <w:r>
        <w:rPr>
          <w:rFonts w:ascii="arial" w:eastAsia="arial" w:hAnsi="arial" w:cs="arial"/>
          <w:color w:val="000000"/>
          <w:sz w:val="20"/>
          <w:lang w:val="en-US" w:eastAsia="en-US" w:bidi="ar-SA"/>
        </w:rPr>
        <w:t xml:space="preserve">  Justice Abella went on to consider that administrative tribunals are experts in interpreting their home statutes (at para. 46). Therefore, she reasoned, an administrative decision maker exercising discretion under his or her home statute would have "particular familiarity with the competing considerations at play in weighing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values" (at para. 47). She concluded that "the fact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interests are implicated does not argue for a different standard" than that which would apply according to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1028</w:t>
      </w:r>
      <w:r>
        <w:rPr>
          <w:rFonts w:ascii="arial" w:eastAsia="arial" w:hAnsi="arial" w:cs="arial"/>
          <w:color w:val="000000"/>
          <w:sz w:val="20"/>
          <w:lang w:val="en-US" w:eastAsia="en-US" w:bidi="ar-SA"/>
        </w:rPr>
        <w:t xml:space="preserve">  In conclusion, Abella J. set out how an administrative decision-maker should apply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values in the exercise of statutory discretion: The administrative decision-maker must balance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values with the statutory objectives. First, the decision-maker should consider the statutory objectives (at para. 55). Then, the decision maker should ask how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value at issue will best be protected in view of the statutory objectives, what she calls the "core of the proportionality exercise", requiring a balancing of "the severity of the interference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with statutory objectives" (at para. 56). On judicial review, the question for the Courts is whether, in light of the impact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the nature of the decision and the statutory and factual contexts, the decision reflects a proportionate balancing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protections at play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1029</w:t>
      </w:r>
      <w:r>
        <w:rPr>
          <w:rFonts w:ascii="arial" w:eastAsia="arial" w:hAnsi="arial" w:cs="arial"/>
          <w:color w:val="000000"/>
          <w:sz w:val="20"/>
          <w:lang w:val="en-US" w:eastAsia="en-US" w:bidi="ar-SA"/>
        </w:rPr>
        <w:t xml:space="preserve">  The Court expanded on this new approach to justification in the context of judicial review in </w:t>
      </w:r>
      <w:r>
        <w:rPr>
          <w:rFonts w:ascii="arial" w:eastAsia="arial" w:hAnsi="arial" w:cs="arial"/>
          <w:i/>
          <w:color w:val="000000"/>
          <w:sz w:val="20"/>
          <w:lang w:val="en-US" w:eastAsia="en-US" w:bidi="ar-SA"/>
        </w:rPr>
        <w:t>Loyola</w:t>
      </w:r>
      <w:r>
        <w:rPr>
          <w:rFonts w:ascii="arial" w:eastAsia="arial" w:hAnsi="arial" w:cs="arial"/>
          <w:color w:val="000000"/>
          <w:sz w:val="20"/>
          <w:lang w:val="en-US" w:eastAsia="en-US" w:bidi="ar-SA"/>
        </w:rPr>
        <w:t xml:space="preserve">. There, the Court considered a judicial review of a decision by the Quebec Minister of Education, Recreation and Sport to deny a curriculum exemption to a private, Catholic school. Part of the Quebec mandatory core curriculum included a course on ethics and religious culture taught from a neutral and objective perspective (at paras. 1-2). The Minister had statutory authority to grant exemptions from the programme if the independent schools offered an alternative programme that the Minister deemed to be equivalent. This arose out of s. 22 of the </w:t>
      </w:r>
      <w:r>
        <w:rPr>
          <w:rFonts w:ascii="arial" w:eastAsia="arial" w:hAnsi="arial" w:cs="arial"/>
          <w:i/>
          <w:color w:val="000000"/>
          <w:sz w:val="20"/>
          <w:lang w:val="en-US" w:eastAsia="en-US" w:bidi="ar-SA"/>
        </w:rPr>
        <w:t>Regulation Respecting the Application of the Act Respecting Private Education</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CQLR, c. E-9.1, r. 1</w:t>
        </w:r>
      </w:hyperlink>
      <w:r>
        <w:rPr>
          <w:rFonts w:ascii="arial" w:eastAsia="arial" w:hAnsi="arial" w:cs="arial"/>
          <w:color w:val="000000"/>
          <w:sz w:val="20"/>
          <w:lang w:val="en-US" w:eastAsia="en-US" w:bidi="ar-SA"/>
        </w:rPr>
        <w:t>.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institution shall be exempt from the [compulsory curriculum] provided the institution dispenses programs of studies which the Minister of Education, Recreation and Sports judges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1030</w:t>
      </w:r>
      <w:r>
        <w:rPr>
          <w:rFonts w:ascii="arial" w:eastAsia="arial" w:hAnsi="arial" w:cs="arial"/>
          <w:color w:val="000000"/>
          <w:sz w:val="20"/>
          <w:lang w:val="en-US" w:eastAsia="en-US" w:bidi="ar-SA"/>
        </w:rPr>
        <w:t>  After the Minister denied the school's request for an exemption pursuant to s. 22, the school brought an application for judicial review of the decision. The school argued that the decision not to grant an exemption violated its right to religious freedom. There does not appear to have been any challenge to the Minister's statutory authority to grant exemptions; the concern was solely with how that discretion was exercised (at paras. 29,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1031</w:t>
      </w:r>
      <w:r>
        <w:rPr>
          <w:rFonts w:ascii="arial" w:eastAsia="arial" w:hAnsi="arial" w:cs="arial"/>
          <w:color w:val="000000"/>
          <w:sz w:val="20"/>
          <w:lang w:val="en-US" w:eastAsia="en-US" w:bidi="ar-SA"/>
        </w:rPr>
        <w:t xml:space="preserve">  Writing for the majority, Madam Justice Abella wrote that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was to be applied for determining whether the Minister had appropriately exercised his or her discretion (at para. 3). She confirmed that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requires statutory administrative decision makers "to proportionately balance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protections to ensure that they are limited no more than is necessary given the applicable statutory objectives that she or he is obliged to pursue"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1032</w:t>
      </w:r>
      <w:r>
        <w:rPr>
          <w:rFonts w:ascii="arial" w:eastAsia="arial" w:hAnsi="arial" w:cs="arial"/>
          <w:color w:val="000000"/>
          <w:sz w:val="20"/>
          <w:lang w:val="en-US" w:eastAsia="en-US" w:bidi="ar-SA"/>
        </w:rPr>
        <w:t xml:space="preserve">  The majority also elucidated how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relates to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Madam Justice Abella wrote that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"finds analytical harmony with the final stages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used to assess the reasonableness of a limit 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under s. 1: minimal impairment and balancing." Both tests, she wrote, require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are affected as little as reasonably possible given the state's objectives (at para. 40). Like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the test is a contextual one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1033</w:t>
      </w:r>
      <w:r>
        <w:rPr>
          <w:rFonts w:ascii="arial" w:eastAsia="arial" w:hAnsi="arial" w:cs="arial"/>
          <w:color w:val="000000"/>
          <w:sz w:val="20"/>
          <w:lang w:val="en-US" w:eastAsia="en-US" w:bidi="ar-SA"/>
        </w:rPr>
        <w:t xml:space="preserve">  Madam Justice Abella offered some comments that are helpful to determining when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ought to apply rather than the traditional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She averted to the confusion that had arisen about whether an administrative law or traditional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approach ought to apply to the justification of a decision that is said to be in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She suggested that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had the effect of eschewing "a literal s. 1 approach in favour of a </w:t>
      </w:r>
      <w:r>
        <w:rPr>
          <w:rFonts w:ascii="arial" w:eastAsia="arial" w:hAnsi="arial" w:cs="arial"/>
          <w:i/>
          <w:color w:val="000000"/>
          <w:sz w:val="20"/>
          <w:lang w:val="en-US" w:eastAsia="en-US" w:bidi="ar-SA"/>
        </w:rPr>
        <w:t>robust</w:t>
      </w:r>
      <w:r>
        <w:rPr>
          <w:rFonts w:ascii="arial" w:eastAsia="arial" w:hAnsi="arial" w:cs="arial"/>
          <w:color w:val="000000"/>
          <w:sz w:val="20"/>
          <w:lang w:val="en-US" w:eastAsia="en-US" w:bidi="ar-SA"/>
        </w:rPr>
        <w:t xml:space="preserve"> proportionality analysis consistent with administrative law principles" (emphasis in original)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1034</w:t>
      </w:r>
      <w:r>
        <w:rPr>
          <w:rFonts w:ascii="arial" w:eastAsia="arial" w:hAnsi="arial" w:cs="arial"/>
          <w:color w:val="000000"/>
          <w:sz w:val="20"/>
          <w:lang w:val="en-US" w:eastAsia="en-US" w:bidi="ar-SA"/>
        </w:rPr>
        <w:t xml:space="preserve">  Madam Justice Abella reviewed the Minister's decision for reasonableness, asking whether it reflected a proportionate balancing of the statutory mandate to grant exemptions only when a school offered an equivalent programme, and the religious freedoms of the school's community (at para. 32). She wrote that "[o]n judicial review, the task of the reviewing court applying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is to assess whether the decision is reasonable because it reflects a proportionate balance between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protections at stake and the relevant statutory mandate" (at para. 37). A proportionate balancing, she explained, "will be found to be reasonable on judicial review" (at para. 39). She explained that the test was designed to review administrative decisions with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implications in all of their varied contexts, with respect for the specific expertise of statutory decision makers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's approach to reviewing administrative decisions that implicate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including those of adjudicative tribunals, responds to the diverse set of statutory and procedural contexts in which administrative decision-makers operate, and respects the expertise that these decision-makers typically bring to the process of balancing the values and objectives at stake on the particular facts in their statutory decisions: para. 47; see also David Mullan, "Administrative Tribunals and Judicial Review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After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(2006), 21 </w:t>
      </w:r>
      <w:r>
        <w:rPr>
          <w:rFonts w:ascii="arial" w:eastAsia="arial" w:hAnsi="arial" w:cs="arial"/>
          <w:i/>
          <w:color w:val="000000"/>
          <w:sz w:val="20"/>
          <w:lang w:val="en-US" w:eastAsia="en-US" w:bidi="ar-SA"/>
        </w:rPr>
        <w:t>N.J.C.L.</w:t>
      </w:r>
      <w:r>
        <w:rPr>
          <w:rFonts w:ascii="arial" w:eastAsia="arial" w:hAnsi="arial" w:cs="arial"/>
          <w:color w:val="000000"/>
          <w:sz w:val="20"/>
          <w:lang w:val="en-US" w:eastAsia="en-US" w:bidi="ar-SA"/>
        </w:rPr>
        <w:t xml:space="preserve"> 127, at p. 149; and Stéphane Bernatchez, "Les rapports entre le droit administratif et les droits et libertés: la révision judiciaire ou le contrôle constitutionnel?" (2010), 55 </w:t>
      </w:r>
      <w:r>
        <w:rPr>
          <w:rFonts w:ascii="arial" w:eastAsia="arial" w:hAnsi="arial" w:cs="arial"/>
          <w:i/>
          <w:color w:val="000000"/>
          <w:sz w:val="20"/>
          <w:lang w:val="en-US" w:eastAsia="en-US" w:bidi="ar-SA"/>
        </w:rPr>
        <w:t>McGill L.J.</w:t>
      </w:r>
      <w:r>
        <w:rPr>
          <w:rFonts w:ascii="arial" w:eastAsia="arial" w:hAnsi="arial" w:cs="arial"/>
          <w:color w:val="000000"/>
          <w:sz w:val="20"/>
          <w:lang w:val="en-US" w:eastAsia="en-US" w:bidi="ar-SA"/>
        </w:rPr>
        <w:t xml:space="preserve"> 641. As Lorne Sossin and Mark Friedman have observed in their cogent article: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Charter jurisprudence can shed light on the scope of Charter values, it remains for each tribunal to determine . . . how to balance those values against its policy mandate. For example, while personal autonomy may be a broadly recognized Charter value, it will necessarily mean something different in the context of a privacy commission than in the context of a parole board. [p. 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1035</w:t>
      </w:r>
      <w:r>
        <w:rPr>
          <w:rFonts w:ascii="arial" w:eastAsia="arial" w:hAnsi="arial" w:cs="arial"/>
          <w:color w:val="000000"/>
          <w:sz w:val="20"/>
          <w:lang w:val="en-US" w:eastAsia="en-US" w:bidi="ar-SA"/>
        </w:rPr>
        <w:t xml:space="preserve">  In the three-person concurring minority opinion, Chief Justice McLachlin did not mention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approach. Rather, the minority applied the traditional approach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required to address several issues in deciding this appeal. First, we must decide whether Loyola as a religious organization is entitled to the constitutional protection of freedom of religion. Concluding that it is, we analyze the proper interpretation of the legislative and regulatory scheme at issue in this appeal, including the ERC Program and the exemption provision. We review the content of Loyola's proposed equivalent program, and then evaluate the Minister's decision in light of Loyola's constitutional right to religious freedom - first, determining whether Loyola's freedom of religion was breached, and second, determining whether that breach was minimally impairing and therefore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Finding that Loyola's freedom of religion was infringed, and that the infringement was not minimally impairing, we offer guidelines on the appropriate scope of an equivalent program that would comply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while meeting the objectives of the ERC Program. Finally, we determine that the appropriate remedy is an order of mandamus granting an exemption to Loyola to teach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1036</w:t>
      </w:r>
      <w:r>
        <w:rPr>
          <w:rFonts w:ascii="arial" w:eastAsia="arial" w:hAnsi="arial" w:cs="arial"/>
          <w:color w:val="000000"/>
          <w:sz w:val="20"/>
          <w:lang w:val="en-US" w:eastAsia="en-US" w:bidi="ar-SA"/>
        </w:rPr>
        <w:t xml:space="preserve">  Having reviewed the history of the evolution of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approach, I conclude that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is to be applied in a narrower set of circumstances than the defendants suggest. It is not intended to apply when a court is assessing the constitutionality of all government actions. It is meant to apply on a review of government adjudications of the rights of individuals where there is no corresponding challenge to the legal framework. Where there is a challenge to a law, and its application by government actors to groups or individuals, the traditional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ought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1037</w:t>
      </w:r>
      <w:r>
        <w:rPr>
          <w:rFonts w:ascii="arial" w:eastAsia="arial" w:hAnsi="arial" w:cs="arial"/>
          <w:color w:val="000000"/>
          <w:sz w:val="20"/>
          <w:lang w:val="en-US" w:eastAsia="en-US" w:bidi="ar-SA"/>
        </w:rPr>
        <w:t xml:space="preserve">  As I see it,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followed directly out of the confusion evident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Madam Justice Abella expressed some of the same concerns about the fit between adjudicated administrative decisions and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that she and Madam Justice Deschamps referred to in their minority opinion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she drew a distinction between the justification of </w:t>
      </w:r>
      <w:r>
        <w:rPr>
          <w:rFonts w:ascii="arial" w:eastAsia="arial" w:hAnsi="arial" w:cs="arial"/>
          <w:color w:val="000000"/>
          <w:sz w:val="20"/>
          <w:u w:val="single"/>
          <w:lang w:val="en-US" w:eastAsia="en-US" w:bidi="ar-SA"/>
        </w:rPr>
        <w:t>laws</w:t>
      </w:r>
      <w:r>
        <w:rPr>
          <w:rFonts w:ascii="arial" w:eastAsia="arial" w:hAnsi="arial" w:cs="arial"/>
          <w:color w:val="000000"/>
          <w:sz w:val="20"/>
          <w:lang w:val="en-US" w:eastAsia="en-US" w:bidi="ar-SA"/>
        </w:rPr>
        <w:t xml:space="preserve"> as opposed to </w:t>
      </w:r>
      <w:r>
        <w:rPr>
          <w:rFonts w:ascii="arial" w:eastAsia="arial" w:hAnsi="arial" w:cs="arial"/>
          <w:color w:val="000000"/>
          <w:sz w:val="20"/>
          <w:u w:val="single"/>
          <w:lang w:val="en-US" w:eastAsia="en-US" w:bidi="ar-SA"/>
        </w:rPr>
        <w:t>decisions</w:t>
      </w:r>
      <w:r>
        <w:rPr>
          <w:rFonts w:ascii="arial" w:eastAsia="arial" w:hAnsi="arial" w:cs="arial"/>
          <w:color w:val="000000"/>
          <w:sz w:val="20"/>
          <w:lang w:val="en-US" w:eastAsia="en-US" w:bidi="ar-SA"/>
        </w:rPr>
        <w:t xml:space="preserve">, albeit without mentioning a dichotomy between norms of general application and decisions.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adopts the approach advocated for by Mr. Justice LeBel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who would have focused on the minimal impairment and proportionality elements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1038</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follows out of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it seems to me that it is expressly intended to reconcile the Court's more recent flexible, contextual approach to judicial review with the justification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pursuant to s. 1. As the law of judicial review has shifted its focus away from assessing if a statutory decision maker acted within its jurisdiction, a court on judicial review of a discretionary decision will be less concerned with the interpretation of the statutory grant of authority. Thus,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approach, with its focus on the law's purpose and broader social context, is not an ideal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1039</w:t>
      </w:r>
      <w:r>
        <w:rPr>
          <w:rFonts w:ascii="arial" w:eastAsia="arial" w:hAnsi="arial" w:cs="arial"/>
          <w:color w:val="000000"/>
          <w:sz w:val="20"/>
          <w:lang w:val="en-US" w:eastAsia="en-US" w:bidi="ar-SA"/>
        </w:rPr>
        <w:t xml:space="preserve">  It is my view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values approach articulated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was originally intended to apply when a court is reviewing an adjudicative decision by an expert tribunal in the course of interpreting its home statute. With </w:t>
      </w:r>
      <w:r>
        <w:rPr>
          <w:rFonts w:ascii="arial" w:eastAsia="arial" w:hAnsi="arial" w:cs="arial"/>
          <w:i/>
          <w:color w:val="000000"/>
          <w:sz w:val="20"/>
          <w:lang w:val="en-US" w:eastAsia="en-US" w:bidi="ar-SA"/>
        </w:rPr>
        <w:t>Loyola</w:t>
      </w:r>
      <w:r>
        <w:rPr>
          <w:rFonts w:ascii="arial" w:eastAsia="arial" w:hAnsi="arial" w:cs="arial"/>
          <w:color w:val="000000"/>
          <w:sz w:val="20"/>
          <w:lang w:val="en-US" w:eastAsia="en-US" w:bidi="ar-SA"/>
        </w:rPr>
        <w:t xml:space="preserve">, the majority of the Court seems to have expanded the application of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approach to decisions by members of the executive branch of Government, which may also proceed by way of judicial review. When a government actor is exercising discretion to make an individualized adjudicative decision, the Court will not be focused on the statutory grant of authority or the legislative scheme, and will usually be concerned with whether the decision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1040</w:t>
      </w:r>
      <w:r>
        <w:rPr>
          <w:rFonts w:ascii="arial" w:eastAsia="arial" w:hAnsi="arial" w:cs="arial"/>
          <w:color w:val="000000"/>
          <w:sz w:val="20"/>
          <w:lang w:val="en-US" w:eastAsia="en-US" w:bidi="ar-SA"/>
        </w:rPr>
        <w:t xml:space="preserve">  However, the justification for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approach fails when a matter does not proceed by judicial review, and the parties challenge a law or policy of general application, along with how that law has been applied by executive or legislative actors. When the two are being challenged together, the link between the grant of statutory authority and government action is sufficiently strong that there is no need to move away from the traditional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analysis. No concern arises that it would prove conceptually difficult to find a "pressing and substantial objective". There is likewise no issue determining who ought to have the burden of defining and defending the law or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1041</w:t>
      </w:r>
      <w:r>
        <w:rPr>
          <w:rFonts w:ascii="arial" w:eastAsia="arial" w:hAnsi="arial" w:cs="arial"/>
          <w:color w:val="000000"/>
          <w:sz w:val="20"/>
          <w:lang w:val="en-US" w:eastAsia="en-US" w:bidi="ar-SA"/>
        </w:rPr>
        <w:t xml:space="preserve">  Moreover, when the constitutional validity of a law is at stake,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framework's analysis of the pressing and substantial societal objective is important to giving full effect to the state and societal interests at stake, as suggested in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Without examining "the law" or policy and the overall administrative scheme, the Court will not be able to adequately balance the effects of the infringement on the individual against the broader societal interests that the government is seeking to protect.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1042</w:t>
      </w:r>
      <w:r>
        <w:rPr>
          <w:rFonts w:ascii="arial" w:eastAsia="arial" w:hAnsi="arial" w:cs="arial"/>
          <w:color w:val="000000"/>
          <w:sz w:val="20"/>
          <w:lang w:val="en-US" w:eastAsia="en-US" w:bidi="ar-SA"/>
        </w:rPr>
        <w:t xml:space="preserve">  The defendants suggest that when a law is being challenged along with decisions taken in application of that law, the Court ought to engage in two separate analyses: an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analysis concerning the law's validity, and a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analysis concerning the reasonableness of the actions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1043</w:t>
      </w:r>
      <w:r>
        <w:rPr>
          <w:rFonts w:ascii="arial" w:eastAsia="arial" w:hAnsi="arial" w:cs="arial"/>
          <w:color w:val="000000"/>
          <w:sz w:val="20"/>
          <w:lang w:val="en-US" w:eastAsia="en-US" w:bidi="ar-SA"/>
        </w:rPr>
        <w:t xml:space="preserve">  I see such an approach as artificial. Sometimes, the government must take some action to apply the law before its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-breaching effects manifest. Divorcing the action from the law adds unnecessary complication to the analysis. The law ought to be considered together with how it is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1044</w:t>
      </w:r>
      <w:r>
        <w:rPr>
          <w:rFonts w:ascii="arial" w:eastAsia="arial" w:hAnsi="arial" w:cs="arial"/>
          <w:color w:val="000000"/>
          <w:sz w:val="20"/>
          <w:lang w:val="en-US" w:eastAsia="en-US" w:bidi="ar-SA"/>
        </w:rPr>
        <w:t xml:space="preserve">  Divorcing consideration of the constitutionality of the law from its application is also unnecessary given the overlap between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frameworks. As explained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Loyola</w:t>
      </w:r>
      <w:r>
        <w:rPr>
          <w:rFonts w:ascii="arial" w:eastAsia="arial" w:hAnsi="arial" w:cs="arial"/>
          <w:color w:val="000000"/>
          <w:sz w:val="20"/>
          <w:lang w:val="en-US" w:eastAsia="en-US" w:bidi="ar-SA"/>
        </w:rPr>
        <w:t xml:space="preserve">, and following the reasons of LeBel J. in </w:t>
      </w:r>
      <w:r>
        <w:rPr>
          <w:rFonts w:ascii="arial" w:eastAsia="arial" w:hAnsi="arial" w:cs="arial"/>
          <w:i/>
          <w:color w:val="000000"/>
          <w:sz w:val="20"/>
          <w:lang w:val="en-US" w:eastAsia="en-US" w:bidi="ar-SA"/>
        </w:rPr>
        <w:t>Multani</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can be understood as removing many aspects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and focusing on minimal impairment and proportionality. Proceeding through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analysis will give full consideration to the societal context and state interest in the law, as well as the factors pertinent to the individual case. Proceeding through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a second time, emphasizing only the individual factors, is a waste of time and resources. I note that even the defendants in their submissions combined their analyses under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into one argument, and made no distinction between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1045</w:t>
      </w:r>
      <w:r>
        <w:rPr>
          <w:rFonts w:ascii="arial" w:eastAsia="arial" w:hAnsi="arial" w:cs="arial"/>
          <w:color w:val="000000"/>
          <w:sz w:val="20"/>
          <w:lang w:val="en-US" w:eastAsia="en-US" w:bidi="ar-SA"/>
        </w:rPr>
        <w:t xml:space="preserve">  I also fear that the approach suggested by the defendants would create special problems for adverse-effect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One can imagine situations where a law might be held valid because it is facially neutral. However, when that law is applied through some positive action, it has a detrimental impact on a group of claimants. In such a situation, the defendants' approach would not allow the claimants the remedy of having the law struck down, and one better suited to their needs put in place. The claimants would be left to rely on the proportionate balancing of individual rights infringements by state actors, and thus be deprived of the equal benefit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1046</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for their suggestion that the Court ought to proceed through two analyses.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concerned the failure of government to provide sign language interpreters for the deaf as part of the publicly-funded scheme for medical care. On finding a violation of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question arose whether the infringement was saved by s. 1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1048</w:t>
      </w:r>
      <w:r>
        <w:rPr>
          <w:rFonts w:ascii="arial" w:eastAsia="arial" w:hAnsi="arial" w:cs="arial"/>
          <w:color w:val="000000"/>
          <w:sz w:val="20"/>
          <w:lang w:val="en-US" w:eastAsia="en-US" w:bidi="ar-SA"/>
        </w:rPr>
        <w:t xml:space="preserve">  The Court's analysis sought to define the precise source of the s. 15(1) violations. The Court concluded that it was not the legislation itself that infringed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but actions taken by hospitals and the Medical Services Commission pursuant to the legislation (at para. 19). In so doing, the Court confirmed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applied to provincial legislation, such that unconstitutional laws could be held invalid and of no force and effect pursuant to s. 52(1)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Second, they noted,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might be infringed by the actions of delegated decision-makers in applying the legislation, rather than the legislation itself. In those cases, they say, the legislation remains valid, but a remedy might be granted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20). The defendants suggest that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it was recognized by Chief Justice Dickson at 389 at 392, that the same two types of breaches noted in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can occur in s. 23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went on to consider whether the rights infringement was justified under s. 1. The court assumed without deciding that the actions constituted a limit prescribed by law, and that the purpose of the decision was pressing and substantial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draws a distinction between the types of remedies that apply when a law is challenged, in comparison to when there is only a challenge to the actions taken pursuant to that law. However,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predates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and applied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justification test. The reasoning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does not suggest to me that the Court intended to follow the distinction drawn in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such that the new approach would apply to all government actions to which the remedy provisions in s. 24(1) would apply. Indeed,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is only cited once in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in a list of cases that applied the </w:t>
      </w:r>
      <w:r>
        <w:rPr>
          <w:rFonts w:ascii="arial" w:eastAsia="arial" w:hAnsi="arial" w:cs="arial"/>
          <w:i/>
          <w:color w:val="000000"/>
          <w:sz w:val="20"/>
          <w:lang w:val="en-US" w:eastAsia="en-US" w:bidi="ar-SA"/>
        </w:rPr>
        <w:t>Slaight</w:t>
      </w:r>
      <w:r>
        <w:rPr>
          <w:rFonts w:ascii="arial" w:eastAsia="arial" w:hAnsi="arial" w:cs="arial"/>
          <w:color w:val="000000"/>
          <w:sz w:val="20"/>
          <w:lang w:val="en-US" w:eastAsia="en-US" w:bidi="ar-SA"/>
        </w:rPr>
        <w:t xml:space="preserve"> approach to s. 1 justification (at para. 31). I do not find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xml:space="preserve"> to be of assistance to my interpretation of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1051</w:t>
      </w:r>
      <w:r>
        <w:rPr>
          <w:rFonts w:ascii="arial" w:eastAsia="arial" w:hAnsi="arial" w:cs="arial"/>
          <w:color w:val="000000"/>
          <w:sz w:val="20"/>
          <w:lang w:val="en-US" w:eastAsia="en-US" w:bidi="ar-SA"/>
        </w:rPr>
        <w:t xml:space="preserve">  The defendants submit that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approach, not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ought to apply to this case. They suggest the allegations in both this action and the Petition amount to complaints that the discretion conferred on Treasury Board and other government officials under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to allocate capital funding among has been improperly exercised, resulting in deficient minority language education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1052</w:t>
      </w:r>
      <w:r>
        <w:rPr>
          <w:rFonts w:ascii="arial" w:eastAsia="arial" w:hAnsi="arial" w:cs="arial"/>
          <w:color w:val="000000"/>
          <w:sz w:val="20"/>
          <w:lang w:val="en-US" w:eastAsia="en-US" w:bidi="ar-SA"/>
        </w:rPr>
        <w:t xml:space="preserve">  In the plaintiffs' view, this case is not the type that attracts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for justification. The plaintiffs say that they challenge the constitutional validity of the Province's capital funding system, as it applies to the CSF.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they say, is focused on contests to the validity of discretionary administrative decisions rather than the validity of the provisions under which the decisions are made. Similarly, the plaintiffs press that they do not challenge any particular funding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1053</w:t>
      </w:r>
      <w:r>
        <w:rPr>
          <w:rFonts w:ascii="arial" w:eastAsia="arial" w:hAnsi="arial" w:cs="arial"/>
          <w:color w:val="000000"/>
          <w:sz w:val="20"/>
          <w:lang w:val="en-US" w:eastAsia="en-US" w:bidi="ar-SA"/>
        </w:rPr>
        <w:t xml:space="preserve">  The plaintiffs also note the format of this case. This matter proceeded as a trial, with no suggestion by the defendants that this matter should be transformed into a judicial review, and decisions reviewed on a reasonableness standard. In the plaintiffs' view,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is an awkward fit with this case, submitting that a full s. 1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analysis is the only logical choice. The plaintiffs also say that, given that s. 23 rights are exercised collectively, it would be inappropriate to apply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with its focus on individualized administrative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1054</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approach ought to be applied to the entirety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1055</w:t>
      </w:r>
      <w:r>
        <w:rPr>
          <w:rFonts w:ascii="arial" w:eastAsia="arial" w:hAnsi="arial" w:cs="arial"/>
          <w:color w:val="000000"/>
          <w:sz w:val="20"/>
          <w:lang w:val="en-US" w:eastAsia="en-US" w:bidi="ar-SA"/>
        </w:rPr>
        <w:t>  As both sides acknowledge, the plaintiffs' claim challenges the entirety of the Province's capital funding system because they say it has had the effect of trenching upon their rights under s. 23. To the extent that the plaintiffs challenge any particular decisions (or lack thereof), they rely on them as manifestations of those unconstitutional provisions. This is not a case where a challenge is being made to a discretionary, individualized decision made by an expert tribunal. It is a case where the executive branch is implementing a series of laws and policies of general application, and where the plaintiffs allege that the application of those laws and policies has a rights-infringing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1056</w:t>
      </w:r>
      <w:r>
        <w:rPr>
          <w:rFonts w:ascii="arial" w:eastAsia="arial" w:hAnsi="arial" w:cs="arial"/>
          <w:color w:val="000000"/>
          <w:sz w:val="20"/>
          <w:lang w:val="en-US" w:eastAsia="en-US" w:bidi="ar-SA"/>
        </w:rPr>
        <w:t>  I cannot envisage divorcing consideration of the constitutionality of the capital funding system from the constitutionality of the application of the capital funding system. The two are best understood together. As the defendants themselves note in their argument, the capital funding system is "primarily rule-based, with modest allowances for the occasional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1057</w:t>
      </w:r>
      <w:r>
        <w:rPr>
          <w:rFonts w:ascii="arial" w:eastAsia="arial" w:hAnsi="arial" w:cs="arial"/>
          <w:color w:val="000000"/>
          <w:sz w:val="20"/>
          <w:lang w:val="en-US" w:eastAsia="en-US" w:bidi="ar-SA"/>
        </w:rPr>
        <w:t xml:space="preserve">  Moreover, it is crucial to apply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analysis in this case to ensure that the justificatory question is answered with the benefit of robust consideration of the broader social purposes underlying the Province's law and for allocating resources in the education system.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 Pressing and Substantial Purpose or Objective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1058</w:t>
      </w:r>
      <w:r>
        <w:rPr>
          <w:rFonts w:ascii="arial" w:eastAsia="arial" w:hAnsi="arial" w:cs="arial"/>
          <w:color w:val="000000"/>
          <w:sz w:val="20"/>
          <w:lang w:val="en-US" w:eastAsia="en-US" w:bidi="ar-SA"/>
        </w:rPr>
        <w:t xml:space="preserve">  The first element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asks if the government is limiting a right for a pressing and substantial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1059</w:t>
      </w:r>
      <w:r>
        <w:rPr>
          <w:rFonts w:ascii="arial" w:eastAsia="arial" w:hAnsi="arial" w:cs="arial"/>
          <w:color w:val="000000"/>
          <w:sz w:val="20"/>
          <w:lang w:val="en-US" w:eastAsia="en-US" w:bidi="ar-SA"/>
        </w:rPr>
        <w:t>  The defendants suggest the purpose must relate to the infringing measure, considered in the context of the whole legislative scheme in which it exists. They urge that the objective must not be trivial, but does not require the government to prove it is attempting to address actual harm. They say the analysis at this stage is not to be an evidentiary contest.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1060</w:t>
      </w:r>
      <w:r>
        <w:rPr>
          <w:rFonts w:ascii="arial" w:eastAsia="arial" w:hAnsi="arial" w:cs="arial"/>
          <w:color w:val="000000"/>
          <w:sz w:val="20"/>
          <w:lang w:val="en-US" w:eastAsia="en-US" w:bidi="ar-SA"/>
        </w:rPr>
        <w:t>  The requirement that the objective be "pressing and substantial" ensures "that objectives which are trivial or discordant with the principles integral to a free and democratic society do not gain s. 1 protection"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at 138). While the standard is a high one, the government need not adduce evidence of actual harm to establish that its objectives are pressing and substantial. The government can meet its burden by adducing "sufficient informed evidence of the importance of" its objective: </w:t>
      </w:r>
      <w:r>
        <w:rPr>
          <w:rFonts w:ascii="arial" w:eastAsia="arial" w:hAnsi="arial" w:cs="arial"/>
          <w:i/>
          <w:color w:val="000000"/>
          <w:sz w:val="20"/>
          <w:lang w:val="en-US" w:eastAsia="en-US" w:bidi="ar-SA"/>
        </w:rPr>
        <w:t>Harper v. Canada (Attorney General)</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SCC 33</w:t>
        </w:r>
      </w:hyperlink>
      <w:r>
        <w:rPr>
          <w:rFonts w:ascii="arial" w:eastAsia="arial" w:hAnsi="arial" w:cs="arial"/>
          <w:color w:val="000000"/>
          <w:sz w:val="20"/>
          <w:lang w:val="en-US" w:eastAsia="en-US" w:bidi="ar-SA"/>
        </w:rPr>
        <w:t xml:space="preserve"> at para. 93. A court may simply accept that some objectives, once asserted, are "</w:t>
      </w:r>
      <w:r>
        <w:rPr>
          <w:rFonts w:ascii="arial" w:eastAsia="arial" w:hAnsi="arial" w:cs="arial"/>
          <w:i/>
          <w:color w:val="000000"/>
          <w:sz w:val="20"/>
          <w:lang w:val="en-US" w:eastAsia="en-US" w:bidi="ar-SA"/>
        </w:rPr>
        <w:t>always</w:t>
      </w:r>
      <w:r>
        <w:rPr>
          <w:rFonts w:ascii="arial" w:eastAsia="arial" w:hAnsi="arial" w:cs="arial"/>
          <w:color w:val="000000"/>
          <w:sz w:val="20"/>
          <w:lang w:val="en-US" w:eastAsia="en-US" w:bidi="ar-SA"/>
        </w:rPr>
        <w:t xml:space="preserve"> pressing and substantial in any society that purports to operate in accordance with the tenets of a free and democratic society" (emphasis in original): </w:t>
      </w:r>
      <w:r>
        <w:rPr>
          <w:rFonts w:ascii="arial" w:eastAsia="arial" w:hAnsi="arial" w:cs="arial"/>
          <w:i/>
          <w:color w:val="000000"/>
          <w:sz w:val="20"/>
          <w:lang w:val="en-US" w:eastAsia="en-US" w:bidi="ar-SA"/>
        </w:rPr>
        <w:t>R. v. Bryan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2007 SCC 12</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RJR-MacDonald v. Canada (Attorney General)</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[1995] 3 S.C.R. 199</w:t>
        </w:r>
      </w:hyperlink>
      <w:r>
        <w:rPr>
          <w:rFonts w:ascii="arial" w:eastAsia="arial" w:hAnsi="arial" w:cs="arial"/>
          <w:color w:val="000000"/>
          <w:sz w:val="20"/>
          <w:lang w:val="en-US" w:eastAsia="en-US" w:bidi="ar-SA"/>
        </w:rPr>
        <w:t xml:space="preserve">, Madam Justice McLachlin (as she then was) expanded upon how courts should discern the objective of the law. She confirmed that the objective relevant to the s. 1 analysis is the objective of the infringing measure, since it is the infringing measure that must be justified. She expressed concern about objectives that are stated too broadly, cautioning that the analysis might be compromised by exaggerating the importance of the infringing measure (at para. 144). While the pertinent objective is that of the infringing measure, in </w:t>
      </w:r>
      <w:r>
        <w:rPr>
          <w:rFonts w:ascii="arial" w:eastAsia="arial" w:hAnsi="arial" w:cs="arial"/>
          <w:i/>
          <w:color w:val="000000"/>
          <w:sz w:val="20"/>
          <w:lang w:val="en-US" w:eastAsia="en-US" w:bidi="ar-SA"/>
        </w:rPr>
        <w:t>R. v. K.R.J.</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2016 SCC 31</w:t>
        </w:r>
      </w:hyperlink>
      <w:r>
        <w:rPr>
          <w:rFonts w:ascii="arial" w:eastAsia="arial" w:hAnsi="arial" w:cs="arial"/>
          <w:color w:val="000000"/>
          <w:sz w:val="20"/>
          <w:lang w:val="en-US" w:eastAsia="en-US" w:bidi="ar-SA"/>
        </w:rPr>
        <w:t>, Madam Justice Karakatsanis (for the majority) confirmed that a more general purpose behind the enactment of the infringing measure may inform its specific objective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1062</w:t>
      </w:r>
      <w:r>
        <w:rPr>
          <w:rFonts w:ascii="arial" w:eastAsia="arial" w:hAnsi="arial" w:cs="arial"/>
          <w:color w:val="000000"/>
          <w:sz w:val="20"/>
          <w:lang w:val="en-US" w:eastAsia="en-US" w:bidi="ar-SA"/>
        </w:rPr>
        <w:t>  The defendants suggest the rationale for the funding system as a whole is "to allocate scarce funds among the province's school districts fairly, rateably, efficiently, and transparently." The defendants say that the system is intended to be fair and rateable in the sense that it is focused on the unique characteristics of school districts, the number of students in need of funding and the state and size of facilities, measured empirically and objectively. It is efficient, in their view, as it is creates incentives for maximizing the use of existing space, and ensuring that expenditures are justified. In connection with transparency, they note that the system is primarily rule-based. The defendants submit that a system that is designed to treat all districts fairly within the confines of available funding will sometimes conflict with s. 23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1063</w:t>
      </w:r>
      <w:r>
        <w:rPr>
          <w:rFonts w:ascii="arial" w:eastAsia="arial" w:hAnsi="arial" w:cs="arial"/>
          <w:color w:val="000000"/>
          <w:sz w:val="20"/>
          <w:lang w:val="en-US" w:eastAsia="en-US" w:bidi="ar-SA"/>
        </w:rPr>
        <w:t>  In the defendants' view, it cannot reasonably be disputed that a fair and rationale allocation of funds is a pressing and substantial purpose. In their view, proper allocation of resources is essential to the functioning of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1064</w:t>
      </w:r>
      <w:r>
        <w:rPr>
          <w:rFonts w:ascii="arial" w:eastAsia="arial" w:hAnsi="arial" w:cs="arial"/>
          <w:color w:val="000000"/>
          <w:sz w:val="20"/>
          <w:lang w:val="en-US" w:eastAsia="en-US" w:bidi="ar-SA"/>
        </w:rPr>
        <w:t xml:space="preserve">  The plaintiffs agree that the stated objective of "a fair and rational allocation of limited public funds" is pressing and substantial, as long as it is worded in this way. The plaintiffs raise issue with the suggestion that rateability is a valid purpose because they say it alludes to a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distribution of funding. Distribution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the plaintiffs say, manifests formal equality, and is therefore not a pressing and substantial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1065</w:t>
      </w:r>
      <w:r>
        <w:rPr>
          <w:rFonts w:ascii="arial" w:eastAsia="arial" w:hAnsi="arial" w:cs="arial"/>
          <w:color w:val="000000"/>
          <w:sz w:val="20"/>
          <w:lang w:val="en-US" w:eastAsia="en-US" w:bidi="ar-SA"/>
        </w:rPr>
        <w:t>  The evidence of the witnesses, including Mr. Wood's evidence concerning how the various aspects of the Province's capital funding system work together, establish that the Province's capital funding system, and the decisions taken to apply that system, are designed to further the objective of a fair and rational allocation of limited public funds. The plaintiffs concede, and I agree, that is a pressing and substantial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1066</w:t>
      </w:r>
      <w:r>
        <w:rPr>
          <w:rFonts w:ascii="arial" w:eastAsia="arial" w:hAnsi="arial" w:cs="arial"/>
          <w:color w:val="000000"/>
          <w:sz w:val="20"/>
          <w:lang w:val="en-US" w:eastAsia="en-US" w:bidi="ar-SA"/>
        </w:rPr>
        <w:t>  The purpose, however, should not be defined to include the objective of allocating resources "rateably". Courts must exercise caution to avoid stating an objective so narrowly that it cannot help but pass the justification test. Including the word "rateably" would work an injustice by lowering the standard for the government because it could easily establish that the measures were required to allocate resources rateably.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1067</w:t>
      </w:r>
      <w:r>
        <w:rPr>
          <w:rFonts w:ascii="arial" w:eastAsia="arial" w:hAnsi="arial" w:cs="arial"/>
          <w:color w:val="000000"/>
          <w:sz w:val="20"/>
          <w:lang w:val="en-US" w:eastAsia="en-US" w:bidi="ar-SA"/>
        </w:rPr>
        <w:t>  While I am prepared to accept that the overall objective of the capital funding system is the fair and rational allocation of limited public funds, sometimes I will treat that as a more general objective that informs the specific objectives of particular infringing measures. For example, where a breach arises out of a particular element or tool in the capital planning process, the purpose of that specific infringing measure is the relevant purpose, and may differ from the purpose of the system as a whole. Those issues will fall to be decided with respect to each of those breaches as they arise.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 Proportionality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Rational Connection</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the Court explained that for a limit to be reasonable, the measures taken must be rationally connected to the purpose of the infringing measure. More specifically, the Court held that "the measures adopted must be carefully designed to achieve the objective in question. They must not be arbitrary, unfair or based on irrational considerations. In short, they must be rationally connected to the objective" (at 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1069</w:t>
      </w:r>
      <w:r>
        <w:rPr>
          <w:rFonts w:ascii="arial" w:eastAsia="arial" w:hAnsi="arial" w:cs="arial"/>
          <w:color w:val="000000"/>
          <w:sz w:val="20"/>
          <w:lang w:val="en-US" w:eastAsia="en-US" w:bidi="ar-SA"/>
        </w:rPr>
        <w:t xml:space="preserve">  The defendants submit that the rational connection standard is not an onerous one, and can be inferred based on logic rather than evidence. In that connection, they cite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at paras. 156-159, </w:t>
      </w:r>
      <w:r>
        <w:rPr>
          <w:rFonts w:ascii="arial" w:eastAsia="arial" w:hAnsi="arial" w:cs="arial"/>
          <w:i/>
          <w:color w:val="000000"/>
          <w:sz w:val="20"/>
          <w:lang w:val="en-US" w:eastAsia="en-US" w:bidi="ar-SA"/>
        </w:rPr>
        <w:t>Little Sisters Book and Art Emporium v. Canada (Minister of Justice)</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2000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Little Sisters</w:t>
      </w:r>
      <w:r>
        <w:rPr>
          <w:rFonts w:ascii="arial" w:eastAsia="arial" w:hAnsi="arial" w:cs="arial"/>
          <w:color w:val="000000"/>
          <w:sz w:val="20"/>
          <w:lang w:val="en-US" w:eastAsia="en-US" w:bidi="ar-SA"/>
        </w:rPr>
        <w:t xml:space="preserve">] at para. 228,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at para. 48 and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the Court described that the rational connection aspect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requires a causal connection between the infringement and the benefit sought on the basis of logic. In other words, the government is required to show, on a balance of probabilities "that the restriction on rights serves the intended purpose" (at para. 153). The Court reasoned that the government need not always provide scientific evidence to show the relationship; the court may "find a causal connection between the infringement and benefit sought on the basis of reason or logic, without insisting on direct proof of a relationship between the infringing measure and the legislative objective" (at para. 154). The Court in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went on to consider expert and lay witness evidence, including market reports, to show that a prohibition on tobacco advertising was rationally connected to the government's stated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1071</w:t>
      </w:r>
      <w:r>
        <w:rPr>
          <w:rFonts w:ascii="arial" w:eastAsia="arial" w:hAnsi="arial" w:cs="arial"/>
          <w:color w:val="000000"/>
          <w:sz w:val="20"/>
          <w:lang w:val="en-US" w:eastAsia="en-US" w:bidi="ar-SA"/>
        </w:rPr>
        <w:t xml:space="preserve">  Although the court in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relied on evidence in reaching its conclusions, the comments therein have since been applied to allow the inference of a rational connection based on reason or logic. Relying on those comments in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Little Sisters</w:t>
      </w:r>
      <w:r>
        <w:rPr>
          <w:rFonts w:ascii="arial" w:eastAsia="arial" w:hAnsi="arial" w:cs="arial"/>
          <w:color w:val="000000"/>
          <w:sz w:val="20"/>
          <w:lang w:val="en-US" w:eastAsia="en-US" w:bidi="ar-SA"/>
        </w:rPr>
        <w:t xml:space="preserve"> concluded that the test at the rational connection stage "is not particularly onerous" (at para. 228). In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the Court relied on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to find that the government must only show "that it is reasonable to suppose that the limit may further the goal, not that it will do so" (at para. 48). This was confirmed in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where the Court commented at para. 99 that the government need only show the connection on the basis of reason or logic.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provides some assistance in how the Court should delineate to what, exactly, the purpose must be connected. In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the plaintiffs had argued that the absolute nature of the prohibition against assisted death was not rationally connected to the government's stated goal of protecting the vulnerable. The Court held that this went too far, creating overlap with the next stage of the test, minimal impairment (at para. 101). Similarly, in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the Court held that the Alberta Court of Appeal had confused the proportionality analysis at the final stage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with the rational connection stage by commenting that the risk flowing from exempting the group from the universal photograph requirement was minimal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1073</w:t>
      </w:r>
      <w:r>
        <w:rPr>
          <w:rFonts w:ascii="arial" w:eastAsia="arial" w:hAnsi="arial" w:cs="arial"/>
          <w:color w:val="000000"/>
          <w:sz w:val="20"/>
          <w:lang w:val="en-US" w:eastAsia="en-US" w:bidi="ar-SA"/>
        </w:rPr>
        <w:t xml:space="preserve">  Together,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suggest that the court should not be overly concerned with the specific attributes of the nature of the means of achieving the goal at the rational connection stage. The question is simpler: "whether there is a rational link between the infringing measure and the government goal"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at para. 51).</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1074</w:t>
      </w:r>
      <w:r>
        <w:rPr>
          <w:rFonts w:ascii="arial" w:eastAsia="arial" w:hAnsi="arial" w:cs="arial"/>
          <w:color w:val="000000"/>
          <w:sz w:val="20"/>
          <w:lang w:val="en-US" w:eastAsia="en-US" w:bidi="ar-SA"/>
        </w:rPr>
        <w:t>  The defendants submit that it is self-evident that the specific components of the funding allocation system are rationally connected to their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1075</w:t>
      </w:r>
      <w:r>
        <w:rPr>
          <w:rFonts w:ascii="arial" w:eastAsia="arial" w:hAnsi="arial" w:cs="arial"/>
          <w:color w:val="000000"/>
          <w:sz w:val="20"/>
          <w:lang w:val="en-US" w:eastAsia="en-US" w:bidi="ar-SA"/>
        </w:rPr>
        <w:t xml:space="preserve">  The plaintiffs disagree. In their submission, the evidence shows that the Province's capital funding system does not take into account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a factor in provincial funding decisions, resulting in inadequate CSF facilities. The plaintiffs say there is no rational connection between the objective of maintaining a fair and rational allocation of limited public funds and excluding consideration of s. 23. The plaintiffs liken this case to </w:t>
      </w:r>
      <w:r>
        <w:rPr>
          <w:rFonts w:ascii="arial" w:eastAsia="arial" w:hAnsi="arial" w:cs="arial"/>
          <w:i/>
          <w:color w:val="000000"/>
          <w:sz w:val="20"/>
          <w:lang w:val="en-US" w:eastAsia="en-US" w:bidi="ar-SA"/>
        </w:rPr>
        <w:t>GVTA</w:t>
      </w:r>
      <w:r>
        <w:rPr>
          <w:rFonts w:ascii="arial" w:eastAsia="arial" w:hAnsi="arial" w:cs="arial"/>
          <w:color w:val="000000"/>
          <w:sz w:val="20"/>
          <w:lang w:val="en-US" w:eastAsia="en-US" w:bidi="ar-SA"/>
        </w:rPr>
        <w:t>, where Deschamps J. (for the majority) concluded (at para. 76) that there was no rational connection between the limits on political content in the legislation and the stated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1076</w:t>
      </w:r>
      <w:r>
        <w:rPr>
          <w:rFonts w:ascii="arial" w:eastAsia="arial" w:hAnsi="arial" w:cs="arial"/>
          <w:color w:val="000000"/>
          <w:sz w:val="20"/>
          <w:lang w:val="en-US" w:eastAsia="en-US" w:bidi="ar-SA"/>
        </w:rPr>
        <w:t>  Like all aspects of the s. 1 test for justification, the rational connection will fall to be determined based on what specific measure has infringed what rights of which rightsholders. However, a word is warranted about the plaintiffs' statement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1077</w:t>
      </w:r>
      <w:r>
        <w:rPr>
          <w:rFonts w:ascii="arial" w:eastAsia="arial" w:hAnsi="arial" w:cs="arial"/>
          <w:color w:val="000000"/>
          <w:sz w:val="20"/>
          <w:lang w:val="en-US" w:eastAsia="en-US" w:bidi="ar-SA"/>
        </w:rPr>
        <w:t xml:space="preserve">  In my view, the plaintiffs' approach states the test at this stage too narrowly. The rational connection must be between the objective and the legislative scheme for achieving </w:t>
      </w:r>
      <w:r>
        <w:rPr>
          <w:rFonts w:ascii="arial" w:eastAsia="arial" w:hAnsi="arial" w:cs="arial"/>
          <w:color w:val="000000"/>
          <w:sz w:val="20"/>
          <w:u w:val="single"/>
          <w:lang w:val="en-US" w:eastAsia="en-US" w:bidi="ar-SA"/>
        </w:rPr>
        <w:t>that objective</w:t>
      </w:r>
      <w:r>
        <w:rPr>
          <w:rFonts w:ascii="arial" w:eastAsia="arial" w:hAnsi="arial" w:cs="arial"/>
          <w:color w:val="000000"/>
          <w:sz w:val="20"/>
          <w:lang w:val="en-US" w:eastAsia="en-US" w:bidi="ar-SA"/>
        </w:rPr>
        <w:t xml:space="preserve">. The underlying principle is to avoid arbitrary legislative regimes. The plaintiffs' approach inappropriately attempts to link the province's objective with the infringing effect of the measure, rather than the infringing measure itself. Their argument implies that the "absolute nature of the prohibition" must be linked to the objective. As is evident from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that generally will not be the correct approach because it confuses the rational connection step with the question of minimal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1078</w:t>
      </w:r>
      <w:r>
        <w:rPr>
          <w:rFonts w:ascii="arial" w:eastAsia="arial" w:hAnsi="arial" w:cs="arial"/>
          <w:color w:val="000000"/>
          <w:sz w:val="20"/>
          <w:lang w:val="en-US" w:eastAsia="en-US" w:bidi="ar-SA"/>
        </w:rPr>
        <w:t xml:space="preserve">  This case differs from </w:t>
      </w:r>
      <w:r>
        <w:rPr>
          <w:rFonts w:ascii="arial" w:eastAsia="arial" w:hAnsi="arial" w:cs="arial"/>
          <w:i/>
          <w:color w:val="000000"/>
          <w:sz w:val="20"/>
          <w:lang w:val="en-US" w:eastAsia="en-US" w:bidi="ar-SA"/>
        </w:rPr>
        <w:t>GVTA</w:t>
      </w:r>
      <w:r>
        <w:rPr>
          <w:rFonts w:ascii="arial" w:eastAsia="arial" w:hAnsi="arial" w:cs="arial"/>
          <w:color w:val="000000"/>
          <w:sz w:val="20"/>
          <w:lang w:val="en-US" w:eastAsia="en-US" w:bidi="ar-SA"/>
        </w:rPr>
        <w:t>. There, the legislative scheme specifically singled out the speech and targeted it. The rights breach was inherent to the measure itself. In most instances, the plaintiffs' claim is grounded in the adverse effects of legislation, not legislation that targets minority language education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1079</w:t>
      </w:r>
      <w:r>
        <w:rPr>
          <w:rFonts w:ascii="arial" w:eastAsia="arial" w:hAnsi="arial" w:cs="arial"/>
          <w:color w:val="000000"/>
          <w:sz w:val="20"/>
          <w:lang w:val="en-US" w:eastAsia="en-US" w:bidi="ar-SA"/>
        </w:rPr>
        <w:t>  The plaintiffs' argument also turns the test upside down, by suggesting the Province cannot show that a compliant provision would not further its stated objective. That is not the question. The question is whether the non-compliant provision is related to the objective. It is wrong to place undue focus on the steps that could have been taken, which falls to be considered in the minimal impairment stage of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Minimal Impairment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1080</w:t>
      </w:r>
      <w:r>
        <w:rPr>
          <w:rFonts w:ascii="arial" w:eastAsia="arial" w:hAnsi="arial" w:cs="arial"/>
          <w:color w:val="000000"/>
          <w:sz w:val="20"/>
          <w:lang w:val="en-US" w:eastAsia="en-US" w:bidi="ar-SA"/>
        </w:rPr>
        <w:t>  The minimal impairment stage of the proportionality analysis requires that the infringing measure "impair 'as little as possible' the right or freedom in question"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at 139). The question is whether the limit is reasonably tailored to the objective, with the inquiry considering if there are less harmful means of achieving the legislative goal in a real and substantial manner. In that way, it ensures the deprivation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is confined to what is reasonably necessary to achieve the state's objectives (</w:t>
      </w:r>
      <w:r>
        <w:rPr>
          <w:rFonts w:ascii="arial" w:eastAsia="arial" w:hAnsi="arial" w:cs="arial"/>
          <w:i/>
          <w:color w:val="000000"/>
          <w:sz w:val="20"/>
          <w:lang w:val="en-US" w:eastAsia="en-US" w:bidi="ar-SA"/>
        </w:rPr>
        <w:t>Carter</w:t>
      </w:r>
      <w:r>
        <w:rPr>
          <w:rFonts w:ascii="arial" w:eastAsia="arial" w:hAnsi="arial" w:cs="arial"/>
          <w:color w:val="000000"/>
          <w:sz w:val="20"/>
          <w:lang w:val="en-US" w:eastAsia="en-US" w:bidi="ar-SA"/>
        </w:rPr>
        <w:t xml:space="preserve"> at para. 102,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at paras. 53 and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1081</w:t>
      </w:r>
      <w:r>
        <w:rPr>
          <w:rFonts w:ascii="arial" w:eastAsia="arial" w:hAnsi="arial" w:cs="arial"/>
          <w:color w:val="000000"/>
          <w:sz w:val="20"/>
          <w:lang w:val="en-US" w:eastAsia="en-US" w:bidi="ar-SA"/>
        </w:rPr>
        <w:t>  While the government must show that the limit is tailored to the objective, it does not require perfection. As I explain above, in this instance, the Province is entitled to a middle level of deference in light of the fact that it is implementing a complex regulatory regime designed to promote the social value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1082</w:t>
      </w:r>
      <w:r>
        <w:rPr>
          <w:rFonts w:ascii="arial" w:eastAsia="arial" w:hAnsi="arial" w:cs="arial"/>
          <w:color w:val="000000"/>
          <w:sz w:val="20"/>
          <w:lang w:val="en-US" w:eastAsia="en-US" w:bidi="ar-SA"/>
        </w:rPr>
        <w:t xml:space="preserve">  The defendants also urge that some deference ought to be accorded to provincial legislatures at this stage to give effect to Canada's federalist values. They rely on </w:t>
      </w:r>
      <w:r>
        <w:rPr>
          <w:rFonts w:ascii="arial" w:eastAsia="arial" w:hAnsi="arial" w:cs="arial"/>
          <w:i/>
          <w:color w:val="000000"/>
          <w:sz w:val="20"/>
          <w:lang w:val="en-US" w:eastAsia="en-US" w:bidi="ar-SA"/>
        </w:rPr>
        <w:t>United Steelworkers of America, Local 7649 v. Quebec (Chief Electoral Officer)</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2011 QCCA 1043</w:t>
        </w:r>
      </w:hyperlink>
      <w:r>
        <w:rPr>
          <w:rFonts w:ascii="arial" w:eastAsia="arial" w:hAnsi="arial" w:cs="arial"/>
          <w:color w:val="000000"/>
          <w:sz w:val="20"/>
          <w:lang w:val="en-US" w:eastAsia="en-US" w:bidi="ar-SA"/>
        </w:rPr>
        <w:t xml:space="preserve"> (leave to appeal refused </w:t>
      </w:r>
      <w:hyperlink r:id="rId378" w:history="1">
        <w:r>
          <w:rPr>
            <w:rFonts w:ascii="arial" w:eastAsia="arial" w:hAnsi="arial" w:cs="arial"/>
            <w:i/>
            <w:color w:val="0077CC"/>
            <w:sz w:val="20"/>
            <w:u w:val="single"/>
            <w:shd w:val="clear" w:color="auto" w:fill="FFFFFF"/>
            <w:lang w:val="en-US" w:eastAsia="en-US" w:bidi="ar-SA"/>
          </w:rPr>
          <w:t>[2011] SCCA No. 363</w:t>
        </w:r>
      </w:hyperlink>
      <w:r>
        <w:rPr>
          <w:rFonts w:ascii="arial" w:eastAsia="arial" w:hAnsi="arial" w:cs="arial"/>
          <w:color w:val="000000"/>
          <w:sz w:val="20"/>
          <w:lang w:val="en-US" w:eastAsia="en-US" w:bidi="ar-SA"/>
        </w:rPr>
        <w:t>). In that case, the Court advised caution when looking to evidence of other, less-impairing regimes elsewhere as evidence that the actions are not minimally impairing (at paras. 45-46):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implies that, as soon as there exists a solution elsewhere that is less restrictive than that existing under Quebec legislation, Quebec legislation becomes, by that very fact, too restrictive. This type of reasoning by degrees risks depriving legislators of legitimacy in the choices they make, choices that the appellants considered unreasonable, while the questions raised concern choices that are purely political. In other words, for a measure to be minimally intrusive, no law enacted in another jurisdiction may constitute a relaxation in relation to Quebec's </w:t>
      </w:r>
      <w:r>
        <w:rPr>
          <w:rFonts w:ascii="arial" w:eastAsia="arial" w:hAnsi="arial" w:cs="arial"/>
          <w:i/>
          <w:color w:val="000000"/>
          <w:sz w:val="20"/>
          <w:lang w:val="en-US" w:eastAsia="en-US" w:bidi="ar-SA"/>
        </w:rPr>
        <w:t>Election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Admittedly, when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involved, comparison with other legal regimes and case law from elsewhere is often relevant and helps to properly understand the issues in cases involving freedom of expression. Even so, to compare the choices made by the Quebec legislature with those made elsewhere concerning a subject as political as the electoral system may create a perverse effect by distorting the consideration of the minimum nature of the impairment. The measure need not be the most minimally impairing measure that can be imagined, but rather one that falls on a reasonable spectrum of possible measures in light of the legislative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1083</w:t>
      </w:r>
      <w:r>
        <w:rPr>
          <w:rFonts w:ascii="arial" w:eastAsia="arial" w:hAnsi="arial" w:cs="arial"/>
          <w:color w:val="000000"/>
          <w:sz w:val="20"/>
          <w:lang w:val="en-US" w:eastAsia="en-US" w:bidi="ar-SA"/>
        </w:rPr>
        <w:t xml:space="preserve">  In British Columbia, Mr. Justice Cohen relied on </w:t>
      </w:r>
      <w:r>
        <w:rPr>
          <w:rFonts w:ascii="arial" w:eastAsia="arial" w:hAnsi="arial" w:cs="arial"/>
          <w:i/>
          <w:color w:val="000000"/>
          <w:sz w:val="20"/>
          <w:lang w:val="en-US" w:eastAsia="en-US" w:bidi="ar-SA"/>
        </w:rPr>
        <w:t>United Steelworkers</w:t>
      </w:r>
      <w:r>
        <w:rPr>
          <w:rFonts w:ascii="arial" w:eastAsia="arial" w:hAnsi="arial" w:cs="arial"/>
          <w:color w:val="000000"/>
          <w:sz w:val="20"/>
          <w:lang w:val="en-US" w:eastAsia="en-US" w:bidi="ar-SA"/>
        </w:rPr>
        <w:t xml:space="preserve"> to reach a similar conclusion in </w:t>
      </w:r>
      <w:r>
        <w:rPr>
          <w:rFonts w:ascii="arial" w:eastAsia="arial" w:hAnsi="arial" w:cs="arial"/>
          <w:i/>
          <w:color w:val="000000"/>
          <w:sz w:val="20"/>
          <w:lang w:val="en-US" w:eastAsia="en-US" w:bidi="ar-SA"/>
        </w:rPr>
        <w:t>BC Freedom of Information and Privacy Association v. British Columbia (Attorney General)</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2014 BCSC 660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FIPPA-BCSC</w:t>
      </w:r>
      <w:r>
        <w:rPr>
          <w:rFonts w:ascii="arial" w:eastAsia="arial" w:hAnsi="arial" w:cs="arial"/>
          <w:color w:val="000000"/>
          <w:sz w:val="20"/>
          <w:lang w:val="en-US" w:eastAsia="en-US" w:bidi="ar-SA"/>
        </w:rPr>
        <w:t xml:space="preserve">] (aff'd </w:t>
      </w:r>
      <w:hyperlink r:id="rId380" w:history="1">
        <w:r>
          <w:rPr>
            <w:rFonts w:ascii="arial" w:eastAsia="arial" w:hAnsi="arial" w:cs="arial"/>
            <w:i/>
            <w:color w:val="0077CC"/>
            <w:sz w:val="20"/>
            <w:u w:val="single"/>
            <w:shd w:val="clear" w:color="auto" w:fill="FFFFFF"/>
            <w:lang w:val="en-US" w:eastAsia="en-US" w:bidi="ar-SA"/>
          </w:rPr>
          <w:t>2015 BCCA 172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FIPPA-BCCA</w:t>
      </w:r>
      <w:r>
        <w:rPr>
          <w:rFonts w:ascii="arial" w:eastAsia="arial" w:hAnsi="arial" w:cs="arial"/>
          <w:color w:val="000000"/>
          <w:sz w:val="20"/>
          <w:lang w:val="en-US" w:eastAsia="en-US" w:bidi="ar-SA"/>
        </w:rPr>
        <w:t>]. He rejected the argument that an infringing measure was not minimally impairing simply because other Canadian jurisdictions enacted a less impairing scheme (at paras. 134-137).</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1084</w:t>
      </w:r>
      <w:r>
        <w:rPr>
          <w:rFonts w:ascii="arial" w:eastAsia="arial" w:hAnsi="arial" w:cs="arial"/>
          <w:color w:val="000000"/>
          <w:sz w:val="20"/>
          <w:lang w:val="en-US" w:eastAsia="en-US" w:bidi="ar-SA"/>
        </w:rPr>
        <w:t>  The defendants submit that there is no less intrusive manner of creating a funding system without compromising the overall transparency, consistency, equality and integrity of the system. In the plaintiffs' view, there are less drastic means by which the defendants could achieve the objective of having a fair and rational capital funding system in a real and substantial way. To find otherwise, they say, would mean that a capital funding system tailored to s. 23 is inconsistent with a fair and rational capital funding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1085</w:t>
      </w:r>
      <w:r>
        <w:rPr>
          <w:rFonts w:ascii="arial" w:eastAsia="arial" w:hAnsi="arial" w:cs="arial"/>
          <w:color w:val="000000"/>
          <w:sz w:val="20"/>
          <w:lang w:val="en-US" w:eastAsia="en-US" w:bidi="ar-SA"/>
        </w:rPr>
        <w:t xml:space="preserve">  The plaintiffs once again look to </w:t>
      </w:r>
      <w:r>
        <w:rPr>
          <w:rFonts w:ascii="arial" w:eastAsia="arial" w:hAnsi="arial" w:cs="arial"/>
          <w:i/>
          <w:color w:val="000000"/>
          <w:sz w:val="20"/>
          <w:lang w:val="en-US" w:eastAsia="en-US" w:bidi="ar-SA"/>
        </w:rPr>
        <w:t>GVTA</w:t>
      </w:r>
      <w:r>
        <w:rPr>
          <w:rFonts w:ascii="arial" w:eastAsia="arial" w:hAnsi="arial" w:cs="arial"/>
          <w:color w:val="000000"/>
          <w:sz w:val="20"/>
          <w:lang w:val="en-US" w:eastAsia="en-US" w:bidi="ar-SA"/>
        </w:rPr>
        <w:t xml:space="preserve"> as a parallel. They note that the Court there found at para. 77 that the defendants had implemented a blanket exclusion of an important form of expression in an important place for discourse, which did not minimally impair rights. The plaintiffs say that this case, too, presents a blanket exclusion of s. 23 considerations, and therefore cannot be considered to be minimally impairing. As I see it, in most instances, the Province's capital funding system does not create a blanket prohibition like the provisions at issue in </w:t>
      </w:r>
      <w:r>
        <w:rPr>
          <w:rFonts w:ascii="arial" w:eastAsia="arial" w:hAnsi="arial" w:cs="arial"/>
          <w:i/>
          <w:color w:val="000000"/>
          <w:sz w:val="20"/>
          <w:lang w:val="en-US" w:eastAsia="en-US" w:bidi="ar-SA"/>
        </w:rPr>
        <w:t>GVTA</w:t>
      </w:r>
      <w:r>
        <w:rPr>
          <w:rFonts w:ascii="arial" w:eastAsia="arial" w:hAnsi="arial" w:cs="arial"/>
          <w:color w:val="000000"/>
          <w:sz w:val="20"/>
          <w:lang w:val="en-US" w:eastAsia="en-US" w:bidi="ar-SA"/>
        </w:rPr>
        <w:t xml:space="preserve">. It is a complex regulatory scheme for allocating funds to the education sector. Thus, the minimal impairment question is more complex than it was in </w:t>
      </w:r>
      <w:r>
        <w:rPr>
          <w:rFonts w:ascii="arial" w:eastAsia="arial" w:hAnsi="arial" w:cs="arial"/>
          <w:i/>
          <w:color w:val="000000"/>
          <w:sz w:val="20"/>
          <w:lang w:val="en-US" w:eastAsia="en-US" w:bidi="ar-SA"/>
        </w:rPr>
        <w:t>GVTA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1086</w:t>
      </w:r>
      <w:r>
        <w:rPr>
          <w:rFonts w:ascii="arial" w:eastAsia="arial" w:hAnsi="arial" w:cs="arial"/>
          <w:color w:val="000000"/>
          <w:sz w:val="20"/>
          <w:lang w:val="en-US" w:eastAsia="en-US" w:bidi="ar-SA"/>
        </w:rPr>
        <w:t>  The extent to which an infringing measure minimally impairs the plaintiffs' rights will fall to be determined based on the specific infringing measure and engaged rights at issue, and is addressed in subsequent chapters.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Proportionality of Effects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1087</w:t>
      </w:r>
      <w:r>
        <w:rPr>
          <w:rFonts w:ascii="arial" w:eastAsia="arial" w:hAnsi="arial" w:cs="arial"/>
          <w:color w:val="000000"/>
          <w:sz w:val="20"/>
          <w:lang w:val="en-US" w:eastAsia="en-US" w:bidi="ar-SA"/>
        </w:rPr>
        <w:t xml:space="preserve">  The third and final element of the proportionality analysis requires "a proportionality between the </w:t>
      </w:r>
      <w:r>
        <w:rPr>
          <w:rFonts w:ascii="arial" w:eastAsia="arial" w:hAnsi="arial" w:cs="arial"/>
          <w:i/>
          <w:color w:val="000000"/>
          <w:sz w:val="20"/>
          <w:lang w:val="en-US" w:eastAsia="en-US" w:bidi="ar-SA"/>
        </w:rPr>
        <w:t>effects</w:t>
      </w:r>
      <w:r>
        <w:rPr>
          <w:rFonts w:ascii="arial" w:eastAsia="arial" w:hAnsi="arial" w:cs="arial"/>
          <w:color w:val="000000"/>
          <w:sz w:val="20"/>
          <w:lang w:val="en-US" w:eastAsia="en-US" w:bidi="ar-SA"/>
        </w:rPr>
        <w:t xml:space="preserve"> of the measures which are responsible for limiting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or freedom, and the objective which has been identified as of 'sufficient importance'"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at 139,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1088</w:t>
      </w:r>
      <w:r>
        <w:rPr>
          <w:rFonts w:ascii="arial" w:eastAsia="arial" w:hAnsi="arial" w:cs="arial"/>
          <w:color w:val="000000"/>
          <w:sz w:val="20"/>
          <w:lang w:val="en-US" w:eastAsia="en-US" w:bidi="ar-SA"/>
        </w:rPr>
        <w:t xml:space="preserve">  With time, our understanding of the proportionality analysis has broadened. We now understand that there must be proportionality between the deleterious and salutary effects of the measures. In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the Court explained that this fourth and final step takes full account of the severity of the deleterious effects on individuals and groups. It therefore asks whether the benefits of achieving the purpose are worth the cost of the rights limitation (at paras. 76-77). As the Court explained in </w:t>
      </w:r>
      <w:r>
        <w:rPr>
          <w:rFonts w:ascii="arial" w:eastAsia="arial" w:hAnsi="arial" w:cs="arial"/>
          <w:i/>
          <w:color w:val="000000"/>
          <w:sz w:val="20"/>
          <w:lang w:val="en-US" w:eastAsia="en-US" w:bidi="ar-SA"/>
        </w:rPr>
        <w:t>R. v. K.R.J.</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2016 SCC 31</w:t>
        </w:r>
      </w:hyperlink>
      <w:r>
        <w:rPr>
          <w:rFonts w:ascii="arial" w:eastAsia="arial" w:hAnsi="arial" w:cs="arial"/>
          <w:color w:val="000000"/>
          <w:sz w:val="20"/>
          <w:lang w:val="en-US" w:eastAsia="en-US" w:bidi="ar-SA"/>
        </w:rPr>
        <w:t>, "this final step permits courts to address the essence of the proportionality enquiry at the heart of s. 1" and "allows courts to stand back to determine on a normative basis whether a rights infringement is justified in a free and democratic society"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1089</w:t>
      </w:r>
      <w:r>
        <w:rPr>
          <w:rFonts w:ascii="arial" w:eastAsia="arial" w:hAnsi="arial" w:cs="arial"/>
          <w:color w:val="000000"/>
          <w:sz w:val="20"/>
          <w:lang w:val="en-US" w:eastAsia="en-US" w:bidi="ar-SA"/>
        </w:rPr>
        <w:t xml:space="preserve">  The defendants also suggest that the cost of rectification may be relevant to the justification analysis at the proportionality stage. As I discuss above, my reading of the cases leads me to conclude that courts are hesitant to conclude that costs are a sufficiently important objective to justify infringing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In the event that an objective passes that hurdle, then the cost savings may be considered as a potential salutary benefit to be weighed against the deleterious effects of the rights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1090</w:t>
      </w:r>
      <w:r>
        <w:rPr>
          <w:rFonts w:ascii="arial" w:eastAsia="arial" w:hAnsi="arial" w:cs="arial"/>
          <w:color w:val="000000"/>
          <w:sz w:val="20"/>
          <w:lang w:val="en-US" w:eastAsia="en-US" w:bidi="ar-SA"/>
        </w:rPr>
        <w:t xml:space="preserve">  However, it must also be taken into account that it is difficult to weigh the cost of rectification against the cost of a right. As Abella J.A. (as she then was) noted in </w:t>
      </w:r>
      <w:r>
        <w:rPr>
          <w:rFonts w:ascii="arial" w:eastAsia="arial" w:hAnsi="arial" w:cs="arial"/>
          <w:i/>
          <w:color w:val="000000"/>
          <w:sz w:val="20"/>
          <w:lang w:val="en-US" w:eastAsia="en-US" w:bidi="ar-SA"/>
        </w:rPr>
        <w:t>Rosenberg v. Canada (Attorney General)</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(1998), 38 O.R. (3d) 577</w:t>
        </w:r>
      </w:hyperlink>
      <w:r>
        <w:rPr>
          <w:rFonts w:ascii="arial" w:eastAsia="arial" w:hAnsi="arial" w:cs="arial"/>
          <w:color w:val="000000"/>
          <w:sz w:val="20"/>
          <w:lang w:val="en-US" w:eastAsia="en-US" w:bidi="ar-SA"/>
        </w:rPr>
        <w:t xml:space="preserve"> (C.A.), the cost of rectification is inherently incomparable to the cost to the public of discriminatory measures (at 587):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has in any event held that cost is not a constitutionally permissible justification for discrimination under s. 1: </w:t>
      </w:r>
      <w:r>
        <w:rPr>
          <w:rFonts w:ascii="arial" w:eastAsia="arial" w:hAnsi="arial" w:cs="arial"/>
          <w:i/>
          <w:color w:val="000000"/>
          <w:sz w:val="20"/>
          <w:lang w:val="en-US" w:eastAsia="en-US" w:bidi="ar-SA"/>
        </w:rPr>
        <w:t>Schacter v.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at p. 709, </w:t>
      </w:r>
      <w:r>
        <w:rPr>
          <w:rFonts w:ascii="arial" w:eastAsia="arial" w:hAnsi="arial" w:cs="arial"/>
          <w:i/>
          <w:color w:val="000000"/>
          <w:sz w:val="20"/>
          <w:lang w:val="en-US" w:eastAsia="en-US" w:bidi="ar-SA"/>
        </w:rPr>
        <w:t>10 C.R.R. (2d) 1</w:t>
      </w:r>
      <w:r>
        <w:rPr>
          <w:rFonts w:ascii="arial" w:eastAsia="arial" w:hAnsi="arial" w:cs="arial"/>
          <w:color w:val="000000"/>
          <w:sz w:val="20"/>
          <w:lang w:val="en-US" w:eastAsia="en-US" w:bidi="ar-SA"/>
        </w:rPr>
        <w:t xml:space="preserve"> at p. 20,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Lamer C.J.C. Cost/benefit analyses are not readily applicable to equality violations because of the inherent incomparability of the monetary impacts involved. Remedying discrimination will always appear to be more fiscally burdensome than beneficial on a balance sheet. On one side of the budgetary ledger will be the calculable cost required to rectify the discriminatory measure; on the other side, it will likely be found that the cost to the public of discriminating is not as concretely measurable. The considerable but incalculable benefits of eliminating discrimination are therefore not visible in the equation, making the analysis an unreliable source of policy decision-making.</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1091</w:t>
      </w:r>
      <w:r>
        <w:rPr>
          <w:rFonts w:ascii="arial" w:eastAsia="arial" w:hAnsi="arial" w:cs="arial"/>
          <w:color w:val="000000"/>
          <w:sz w:val="20"/>
          <w:lang w:val="en-US" w:eastAsia="en-US" w:bidi="ar-SA"/>
        </w:rPr>
        <w:t>  The defendants suggest the benefits of meeting the objectives of the funding allocation are worth the modest inroads on the kind of "absolute and universal equivalence that is urged here" by the plaintiffs. Thus, they say that the capital funding system gives effect to s. 23 rights as fully as possible within the constraints of the particular mandates and objectives the Province is trying to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1092</w:t>
      </w:r>
      <w:r>
        <w:rPr>
          <w:rFonts w:ascii="arial" w:eastAsia="arial" w:hAnsi="arial" w:cs="arial"/>
          <w:color w:val="000000"/>
          <w:sz w:val="20"/>
          <w:lang w:val="en-US" w:eastAsia="en-US" w:bidi="ar-SA"/>
        </w:rPr>
        <w:t xml:space="preserve">  The defendants rely on some province-wide comparisons to show that the effects are proportional. They suggest it is appropriate to take into account the broader context at the s. 1 stage, including that the CSF is being treated similarly to majority school districts with similar demographic attributes. They also suggest that in some instances, strict application of s. 23 is not proportional to the modest benefit that could be expected to flow from it (which they suggest would likely take the form of increased enrolment). They say the only means of correcting the infringement would be to divert, each year, in perpetuity, a disproportionate amount to resources to the CSF, to the detriment of other stakeholders in the education system. This, they say, is not a proportionate balancing of the competing interests at stake, regardless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protections afforded to s. 23 rightsholders.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1093</w:t>
      </w:r>
      <w:r>
        <w:rPr>
          <w:rFonts w:ascii="arial" w:eastAsia="arial" w:hAnsi="arial" w:cs="arial"/>
          <w:color w:val="000000"/>
          <w:sz w:val="20"/>
          <w:lang w:val="en-US" w:eastAsia="en-US" w:bidi="ar-SA"/>
        </w:rPr>
        <w:t>  In the plaintiffs' view, the defendants did not lead any evidence to establish "the salutary effects of having a capital funding system that does not take s. 23 considerations ... into account." They also suggest it is hard to see what those salutary effects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1094</w:t>
      </w:r>
      <w:r>
        <w:rPr>
          <w:rFonts w:ascii="arial" w:eastAsia="arial" w:hAnsi="arial" w:cs="arial"/>
          <w:color w:val="000000"/>
          <w:sz w:val="20"/>
          <w:lang w:val="en-US" w:eastAsia="en-US" w:bidi="ar-SA"/>
        </w:rPr>
        <w:t>  The plaintiffs focus on what they imagine the salutary benefits would be of not making special accommodation for the CSF in the capital funding system. They suggest that the salutary effects of such a decision would be the political advantages to the Province from allowing it to say it treats all districts alike, which they say is not a valid salutary effect. They suggest the deleterious effects are a higher rate of assimilation and lower rate of transmission of French as a mother tongue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1095</w:t>
      </w:r>
      <w:r>
        <w:rPr>
          <w:rFonts w:ascii="arial" w:eastAsia="arial" w:hAnsi="arial" w:cs="arial"/>
          <w:color w:val="000000"/>
          <w:sz w:val="20"/>
          <w:lang w:val="en-US" w:eastAsia="en-US" w:bidi="ar-SA"/>
        </w:rPr>
        <w:t xml:space="preserve">  The plaintiffs reject the defendants' suggestion that province-wide comparisons are relevant to the s. 1 proportionality argument. They urge that the province is attempting to argue through the back door comparisons that the Supreme Court of Canada specifically rejected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They urge that the local focus of the s. 23 analysis would be entirely undone if governments could justify a s. 23 breach by appealing to province-wide comparisons.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1096</w:t>
      </w:r>
      <w:r>
        <w:rPr>
          <w:rFonts w:ascii="arial" w:eastAsia="arial" w:hAnsi="arial" w:cs="arial"/>
          <w:color w:val="000000"/>
          <w:sz w:val="20"/>
          <w:lang w:val="en-US" w:eastAsia="en-US" w:bidi="ar-SA"/>
        </w:rPr>
        <w:t>  The plaintiffs also urge that the benefits of remedying the infringements would be greater than simply increased enrolment. They suggest the Province omits the value in offering a substantively equivalent educational experience to the children enrolled in CSF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1097</w:t>
      </w:r>
      <w:r>
        <w:rPr>
          <w:rFonts w:ascii="arial" w:eastAsia="arial" w:hAnsi="arial" w:cs="arial"/>
          <w:color w:val="000000"/>
          <w:sz w:val="20"/>
          <w:lang w:val="en-US" w:eastAsia="en-US" w:bidi="ar-SA"/>
        </w:rPr>
        <w:t xml:space="preserve">  The plaintiffs' argument once again misstates the nature of the infringing measure. The plaintiffs focus on a capital funding system "that does not take into account the needs of the CSF". The approach the majority took in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is instructive. There, as here, the court was considering the justification of a neutral policy of general application. When examining the salutary and deleterious effects, the court examined the salutary effects of the regulatory scheme as a whole (preventing identity theft). It did not focus on the salutary effects of the particular effect the infringing measure had on the plaintiffs (requiring members of the religious minority to submit to photographs). The relevant salutary effects are the ones that arise out of the operation of the measure, not just the rights-infringing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1098</w:t>
      </w:r>
      <w:r>
        <w:rPr>
          <w:rFonts w:ascii="arial" w:eastAsia="arial" w:hAnsi="arial" w:cs="arial"/>
          <w:color w:val="000000"/>
          <w:sz w:val="20"/>
          <w:lang w:val="en-US" w:eastAsia="en-US" w:bidi="ar-SA"/>
        </w:rPr>
        <w:t>  I am also satisfied the salutary and deleterious effects should be those at both the local and the systemic level. Undoubtedly, the salutary and deleterious effects on the rightsholder community at issue play an important role in the proportionality analysis. However, it is also important to take into account the benefits across the entire capital funding system at this stage. The local focus of the s. 23 analysis may disguise the fact that the CSF, while having substandard facilities at the local level, in fact operates a system that is the same as or better than the systems operated by other school districts across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1099</w:t>
      </w:r>
      <w:r>
        <w:rPr>
          <w:rFonts w:ascii="arial" w:eastAsia="arial" w:hAnsi="arial" w:cs="arial"/>
          <w:color w:val="000000"/>
          <w:sz w:val="20"/>
          <w:lang w:val="en-US" w:eastAsia="en-US" w:bidi="ar-SA"/>
        </w:rPr>
        <w:t>  Overall, I find that the pertinent salutary effects will include what the system provides rightsholders with in the local community. Those benefits will fall to be decided based on the particular community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1100</w:t>
      </w:r>
      <w:r>
        <w:rPr>
          <w:rFonts w:ascii="arial" w:eastAsia="arial" w:hAnsi="arial" w:cs="arial"/>
          <w:color w:val="000000"/>
          <w:sz w:val="20"/>
          <w:lang w:val="en-US" w:eastAsia="en-US" w:bidi="ar-SA"/>
        </w:rPr>
        <w:t>  The evidence of salutary effects must also include evidence of what the system has yielded for the CSF across the province, and how it compares to what the system has yielded for majority school boards. That evidence tends to reflect the extent to which the Province is achieving its goal of a fair and equitable allocation of resources across the province. I make some findings about the CSF's system-wide performance in Chapter XII, Public Funds, and take those findings into account in the s. 1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1101</w:t>
      </w:r>
      <w:r>
        <w:rPr>
          <w:rFonts w:ascii="arial" w:eastAsia="arial" w:hAnsi="arial" w:cs="arial"/>
          <w:color w:val="000000"/>
          <w:sz w:val="20"/>
          <w:lang w:val="en-US" w:eastAsia="en-US" w:bidi="ar-SA"/>
        </w:rPr>
        <w:t>  Much like the salutary effects, the deleterious effects should also include consideration of both the local and systemic impact of the infringing measure. At the local level, the deleterious effects will include the particular nature of the breach, and the extent to which rightsholders' children are not receiving the global educational experience to which they are entitled. The deleterious effects at the systemic level must take into account the assimilative impact of the breach, which I discuss in Chapter V, The Remedial Purpose of s. 23 and Assimilation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1102</w:t>
      </w:r>
      <w:r>
        <w:rPr>
          <w:rFonts w:ascii="arial" w:eastAsia="arial" w:hAnsi="arial" w:cs="arial"/>
          <w:color w:val="000000"/>
          <w:sz w:val="20"/>
          <w:lang w:val="en-US" w:eastAsia="en-US" w:bidi="ar-SA"/>
        </w:rPr>
        <w:t xml:space="preserve">  Where there is a breach of s. 23 that is not justified, the remaining question is the appropriate remedy. The plaintiffs seek remedies pursuant to ss.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52(1) of the </w:t>
      </w:r>
      <w:r>
        <w:rPr>
          <w:rFonts w:ascii="arial" w:eastAsia="arial" w:hAnsi="arial" w:cs="arial"/>
          <w:i/>
          <w:color w:val="000000"/>
          <w:sz w:val="20"/>
          <w:lang w:val="en-US" w:eastAsia="en-US" w:bidi="ar-SA"/>
        </w:rPr>
        <w:t>Constitution Act,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1103</w:t>
      </w:r>
      <w:r>
        <w:rPr>
          <w:rFonts w:ascii="arial" w:eastAsia="arial" w:hAnsi="arial" w:cs="arial"/>
          <w:color w:val="000000"/>
          <w:sz w:val="20"/>
          <w:lang w:val="en-US" w:eastAsia="en-US" w:bidi="ar-SA"/>
        </w:rPr>
        <w:t xml:space="preserve">  Pursuant to s. 52(1)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the plaintiffs seek declarations of invalidity in connection with certain aspects of the Province's capital funding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1104</w:t>
      </w:r>
      <w:r>
        <w:rPr>
          <w:rFonts w:ascii="arial" w:eastAsia="arial" w:hAnsi="arial" w:cs="arial"/>
          <w:color w:val="000000"/>
          <w:sz w:val="20"/>
          <w:lang w:val="en-US" w:eastAsia="en-US" w:bidi="ar-SA"/>
        </w:rPr>
        <w:t xml:space="preserve">  Pursuant to s. 24(1) the plaintiffs seek a range of remedies: declarations of positive rights; mandatory declarations requiring the Minister to transfer school board property to the CSF; a reporting order requiring the Province to account for its progress implementing remedies; an Expanded Admissions Policy;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 trust remedy; and a duty to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1105</w:t>
      </w:r>
      <w:r>
        <w:rPr>
          <w:rFonts w:ascii="arial" w:eastAsia="arial" w:hAnsi="arial" w:cs="arial"/>
          <w:color w:val="000000"/>
          <w:sz w:val="20"/>
          <w:lang w:val="en-US" w:eastAsia="en-US" w:bidi="ar-SA"/>
        </w:rPr>
        <w:t xml:space="preserve">  When deciding what remedies are appropriate, the plaintiffs urge the Court to consider that "[t]he evidence clearly establishes that the defendants have failed to take the steps necessary to fully implement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BC" since 1982, in spite of clear judgments in 1996 and 1998. Given the historic nature of the breaches, the plaintiffs urge the Court to implement extraordinary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1106</w:t>
      </w:r>
      <w:r>
        <w:rPr>
          <w:rFonts w:ascii="arial" w:eastAsia="arial" w:hAnsi="arial" w:cs="arial"/>
          <w:color w:val="000000"/>
          <w:sz w:val="20"/>
          <w:lang w:val="en-US" w:eastAsia="en-US" w:bidi="ar-SA"/>
        </w:rPr>
        <w:t>  Most of these allegations have been addressed in Chapter V, The Remedial Purpose of s. 23 and Assimilation in British Columbia. There, I conclude that many of the issues that arise in this claim were in the mind of the Minority Language Education Task Force in 1990 and 1991, and that knowledge was passed on to the Ministry. However, I also conclude that the Task Force was not a formal representative body, and it was open to and reasonable for the Province to engage in broader consultations. The Province was unsure about the best method of implementing s. 23 in the Province, and explored different ways of doing so before settling on a single school board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1107</w:t>
      </w:r>
      <w:r>
        <w:rPr>
          <w:rFonts w:ascii="arial" w:eastAsia="arial" w:hAnsi="arial" w:cs="arial"/>
          <w:color w:val="000000"/>
          <w:sz w:val="20"/>
          <w:lang w:val="en-US" w:eastAsia="en-US" w:bidi="ar-SA"/>
        </w:rPr>
        <w:t xml:space="preserve">  The combined result is that, after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was decided in 1990, the Province studied how to implement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about five years before establishing the FEA in 1995. Following two constitutional challenges, the FEA was reconstituted as the CSF by way of legislation rather than regulation, its jurisdiction was extended to include the entire Province, it was given greater rights to funding and powers to acquire property, and a dispute resolution process (the </w:t>
      </w:r>
      <w:r>
        <w:rPr>
          <w:rFonts w:ascii="arial" w:eastAsia="arial" w:hAnsi="arial" w:cs="arial"/>
          <w:i/>
          <w:color w:val="000000"/>
          <w:sz w:val="20"/>
          <w:lang w:val="en-US" w:eastAsia="en-US" w:bidi="ar-SA"/>
        </w:rPr>
        <w:t>Education Mediation Regulation</w:t>
      </w:r>
      <w:r>
        <w:rPr>
          <w:rFonts w:ascii="arial" w:eastAsia="arial" w:hAnsi="arial" w:cs="arial"/>
          <w:color w:val="000000"/>
          <w:sz w:val="20"/>
          <w:lang w:val="en-US" w:eastAsia="en-US" w:bidi="ar-SA"/>
        </w:rPr>
        <w:t>) was created to assist the CSF and majority boards to resolve disputes. All of these processes were in place by about 1999. I conclude that the Province was justified in proceeding slowly when initially implementing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1108</w:t>
      </w:r>
      <w:r>
        <w:rPr>
          <w:rFonts w:ascii="arial" w:eastAsia="arial" w:hAnsi="arial" w:cs="arial"/>
          <w:color w:val="000000"/>
          <w:sz w:val="20"/>
          <w:lang w:val="en-US" w:eastAsia="en-US" w:bidi="ar-SA"/>
        </w:rPr>
        <w:t>  Since then, the CSF has been able to expand its programmes considerably. The Province has funded the CSF's acquisition of about 18 schools, and renovations and replacements of around half of them. The CSF also leases about 19 facilities, and the Province pays those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1109</w:t>
      </w:r>
      <w:r>
        <w:rPr>
          <w:rFonts w:ascii="arial" w:eastAsia="arial" w:hAnsi="arial" w:cs="arial"/>
          <w:color w:val="000000"/>
          <w:sz w:val="20"/>
          <w:lang w:val="en-US" w:eastAsia="en-US" w:bidi="ar-SA"/>
        </w:rPr>
        <w:t xml:space="preserve">  It is with that context in mind that I consider what types of remedies might be warranted for any breaches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 begin by resolving some preliminary questions concerning the plaintiffs' authority to seek remedies. Then I consider the availability of the specific remedies that the plaintiffs seek.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The Delineation of s. 24 and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1110</w:t>
      </w:r>
      <w:r>
        <w:rPr>
          <w:rFonts w:ascii="arial" w:eastAsia="arial" w:hAnsi="arial" w:cs="arial"/>
          <w:color w:val="000000"/>
          <w:sz w:val="20"/>
          <w:lang w:val="en-US" w:eastAsia="en-US" w:bidi="ar-SA"/>
        </w:rPr>
        <w:t xml:space="preserve">  The rights in s. 23 can be enforced with reference to two provisions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s. 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1111</w:t>
      </w:r>
      <w:r>
        <w:rPr>
          <w:rFonts w:ascii="arial" w:eastAsia="arial" w:hAnsi="arial" w:cs="arial"/>
          <w:color w:val="000000"/>
          <w:sz w:val="20"/>
          <w:lang w:val="en-US" w:eastAsia="en-US" w:bidi="ar-SA"/>
        </w:rPr>
        <w:t xml:space="preserve">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Anyone whose rights or freedoms, as guaranteed by this Charter,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1112</w:t>
      </w:r>
      <w:r>
        <w:rPr>
          <w:rFonts w:ascii="arial" w:eastAsia="arial" w:hAnsi="arial" w:cs="arial"/>
          <w:color w:val="000000"/>
          <w:sz w:val="20"/>
          <w:lang w:val="en-US" w:eastAsia="en-US" w:bidi="ar-SA"/>
        </w:rPr>
        <w:t xml:space="preserve">  Section 52(1)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Constitution of Canada is the supreme law of Canada, and any law that is inconsistent with the provisions of the Constitution is, to the extent of the inconsistency, of no force or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1113</w:t>
      </w:r>
      <w:r>
        <w:rPr>
          <w:rFonts w:ascii="arial" w:eastAsia="arial" w:hAnsi="arial" w:cs="arial"/>
          <w:color w:val="000000"/>
          <w:sz w:val="20"/>
          <w:lang w:val="en-US" w:eastAsia="en-US" w:bidi="ar-SA"/>
        </w:rPr>
        <w:t xml:space="preserve">  The two provisions differ in their application and in the types of remedies they offer. Section 52(1) applies to the entire </w:t>
      </w:r>
      <w:r>
        <w:rPr>
          <w:rFonts w:ascii="arial" w:eastAsia="arial" w:hAnsi="arial" w:cs="arial"/>
          <w:i/>
          <w:color w:val="000000"/>
          <w:sz w:val="20"/>
          <w:lang w:val="en-US" w:eastAsia="en-US" w:bidi="ar-SA"/>
        </w:rPr>
        <w:t>Constitution</w:t>
      </w:r>
      <w:r>
        <w:rPr>
          <w:rFonts w:ascii="arial" w:eastAsia="arial" w:hAnsi="arial" w:cs="arial"/>
          <w:color w:val="000000"/>
          <w:sz w:val="20"/>
          <w:lang w:val="en-US" w:eastAsia="en-US" w:bidi="ar-SA"/>
        </w:rPr>
        <w:t xml:space="preserve">, including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 supremacy clause, s. 52(1) results in any law that is inconsistent with the </w:t>
      </w:r>
      <w:r>
        <w:rPr>
          <w:rFonts w:ascii="arial" w:eastAsia="arial" w:hAnsi="arial" w:cs="arial"/>
          <w:i/>
          <w:color w:val="000000"/>
          <w:sz w:val="20"/>
          <w:lang w:val="en-US" w:eastAsia="en-US" w:bidi="ar-SA"/>
        </w:rPr>
        <w:t>Constitution</w:t>
      </w:r>
      <w:r>
        <w:rPr>
          <w:rFonts w:ascii="arial" w:eastAsia="arial" w:hAnsi="arial" w:cs="arial"/>
          <w:color w:val="000000"/>
          <w:sz w:val="20"/>
          <w:lang w:val="en-US" w:eastAsia="en-US" w:bidi="ar-SA"/>
        </w:rPr>
        <w:t xml:space="preserve"> being declared of no force and effect to the extent of that inconsistency. Section 24(1) only applies to breaches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It gives courts a wide discretion to provide an appropriate and just remedy to any person whose rights have been infringed.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1114</w:t>
      </w:r>
      <w:r>
        <w:rPr>
          <w:rFonts w:ascii="arial" w:eastAsia="arial" w:hAnsi="arial" w:cs="arial"/>
          <w:color w:val="000000"/>
          <w:sz w:val="20"/>
          <w:lang w:val="en-US" w:eastAsia="en-US" w:bidi="ar-SA"/>
        </w:rPr>
        <w:t>  There are two preliminary issues: whether remedies can be sought pursuant to ss. 24 and 52 concurrently; and whether the plaintiffs have standing to seek s. 24 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Concurrent Remedies Pursuant to ss. 24 and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1115</w:t>
      </w:r>
      <w:r>
        <w:rPr>
          <w:rFonts w:ascii="arial" w:eastAsia="arial" w:hAnsi="arial" w:cs="arial"/>
          <w:color w:val="000000"/>
          <w:sz w:val="20"/>
          <w:lang w:val="en-US" w:eastAsia="en-US" w:bidi="ar-SA"/>
        </w:rPr>
        <w:t xml:space="preserve">  Sections 24 and 52 serve different remedial purposes. Generally, s. 52 provides a remedy for constitutionally impermissible laws, while s. 24 provides a remedy when government actions taken pursuant to constitutionally valid legislation infringe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at paras.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thus becomes apparent that ss. 52(1) and 24(1) serve different remedial purposes. Section 52(1) provides a remedy for </w:t>
      </w:r>
      <w:r>
        <w:rPr>
          <w:rFonts w:ascii="arial" w:eastAsia="arial" w:hAnsi="arial" w:cs="arial"/>
          <w:i/>
          <w:color w:val="000000"/>
          <w:sz w:val="20"/>
          <w:lang w:val="en-US" w:eastAsia="en-US" w:bidi="ar-SA"/>
        </w:rPr>
        <w:t>laws</w:t>
      </w:r>
      <w:r>
        <w:rPr>
          <w:rFonts w:ascii="arial" w:eastAsia="arial" w:hAnsi="arial" w:cs="arial"/>
          <w:color w:val="000000"/>
          <w:sz w:val="20"/>
          <w:lang w:val="en-US" w:eastAsia="en-US" w:bidi="ar-SA"/>
        </w:rPr>
        <w:t xml:space="preserve"> that violate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either in purpose or in effect. Section 24(1), by contrast, provides a remedy for </w:t>
      </w:r>
      <w:r>
        <w:rPr>
          <w:rFonts w:ascii="arial" w:eastAsia="arial" w:hAnsi="arial" w:cs="arial"/>
          <w:i/>
          <w:color w:val="000000"/>
          <w:sz w:val="20"/>
          <w:lang w:val="en-US" w:eastAsia="en-US" w:bidi="ar-SA"/>
        </w:rPr>
        <w:t>government acts</w:t>
      </w:r>
      <w:r>
        <w:rPr>
          <w:rFonts w:ascii="arial" w:eastAsia="arial" w:hAnsi="arial" w:cs="arial"/>
          <w:color w:val="000000"/>
          <w:sz w:val="20"/>
          <w:lang w:val="en-US" w:eastAsia="en-US" w:bidi="ar-SA"/>
        </w:rPr>
        <w:t xml:space="preserve"> that violate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provides a personal remedy against unconstitutional government action and so, unlike s. 52(1), can be invoked only by a party alleging a violation of that party's own constitutional rights: </w:t>
      </w:r>
      <w:r>
        <w:rPr>
          <w:rFonts w:ascii="arial" w:eastAsia="arial" w:hAnsi="arial" w:cs="arial"/>
          <w:i/>
          <w:color w:val="000000"/>
          <w:sz w:val="20"/>
          <w:lang w:val="en-US" w:eastAsia="en-US" w:bidi="ar-SA"/>
        </w:rPr>
        <w:t>Big M</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[1985] 1 S.C.R. 295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Edwards</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[1996] 1 S.C.R. 128</w:t>
        </w:r>
      </w:hyperlink>
      <w:r>
        <w:rPr>
          <w:rFonts w:ascii="arial" w:eastAsia="arial" w:hAnsi="arial" w:cs="arial"/>
          <w:color w:val="000000"/>
          <w:sz w:val="20"/>
          <w:lang w:val="en-US" w:eastAsia="en-US" w:bidi="ar-SA"/>
        </w:rPr>
        <w:t xml:space="preserve">. Thus this Court has repeatedly affirmed that the validity of laws is determined by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while the validity of government action falls to be determined under s.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974649 Ontario Inc.</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[2001] 3 S.C.R. 575</w:t>
        </w:r>
      </w:hyperlink>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2001 SCC 81</w:t>
        </w:r>
      </w:hyperlink>
      <w:r>
        <w:rPr>
          <w:rFonts w:ascii="arial" w:eastAsia="arial" w:hAnsi="arial" w:cs="arial"/>
          <w:color w:val="000000"/>
          <w:sz w:val="20"/>
          <w:lang w:val="en-US" w:eastAsia="en-US" w:bidi="ar-SA"/>
        </w:rPr>
        <w:t xml:space="preserve">. We are here concerned with a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xml:space="preserve"> that is alleged to violate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This suggests that s. 52(1) provides the proper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1116</w:t>
      </w:r>
      <w:r>
        <w:rPr>
          <w:rFonts w:ascii="arial" w:eastAsia="arial" w:hAnsi="arial" w:cs="arial"/>
          <w:color w:val="000000"/>
          <w:sz w:val="20"/>
          <w:lang w:val="en-US" w:eastAsia="en-US" w:bidi="ar-SA"/>
        </w:rPr>
        <w:t xml:space="preserve">  Therefore, in </w:t>
      </w:r>
      <w:r>
        <w:rPr>
          <w:rFonts w:ascii="arial" w:eastAsia="arial" w:hAnsi="arial" w:cs="arial"/>
          <w:i/>
          <w:color w:val="000000"/>
          <w:sz w:val="20"/>
          <w:lang w:val="en-US" w:eastAsia="en-US" w:bidi="ar-SA"/>
        </w:rPr>
        <w:t>Schachter v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the Court held (at 720) that in most cases, s. 52 remedies are not available in conjunction with s. 24(1) 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individual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will rarely be available in conjunction with action under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Ordinarily, where a provision is declared unconstitutional and immediately struck down pursuant to s. 52, that will be the end of the matter. No retroactive s. 24 remedy will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1117</w:t>
      </w:r>
      <w:r>
        <w:rPr>
          <w:rFonts w:ascii="arial" w:eastAsia="arial" w:hAnsi="arial" w:cs="arial"/>
          <w:color w:val="000000"/>
          <w:sz w:val="20"/>
          <w:lang w:val="en-US" w:eastAsia="en-US" w:bidi="ar-SA"/>
        </w:rPr>
        <w:t>  The plaintiffs urge that the remedies they seek pursuant to s. 24 rest on a different footing than those they seek pursuant to s. 52. Thus, they say that this is not a case where the plaintiffs seek remedies under ss. 24 and 52 in conjunction. They suggest that the s. 24(1) remedies are directed at rectifying the injustices of the past, while the s. 52(1) declarations are designed to prevent future injustices.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the Court left it open that, in rare cases, a remedy under s. 24(1) might be sought in conjunction with a remedy pursuant to s. 52 (at 720).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the Court expanded on this principle, and confirmed that, where necessary, remedies pursuant to both provisions could be applied in conjunction where it is necessary to provide the claimant with an effective remedy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jurisprudence of this Court allows a s. 24(1) remedy in connection with a s. 52(1) declaration of invalidity in unusual cases where additional s. 24(1) relief is necessary to provide the claimant with an effective remedy: </w:t>
      </w:r>
      <w:r>
        <w:rPr>
          <w:rFonts w:ascii="arial" w:eastAsia="arial" w:hAnsi="arial" w:cs="arial"/>
          <w:i/>
          <w:color w:val="000000"/>
          <w:sz w:val="20"/>
          <w:lang w:val="en-US" w:eastAsia="en-US" w:bidi="ar-SA"/>
        </w:rPr>
        <w:t>R. v. Demers</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[2004] 2 S.C.R. 489</w:t>
        </w:r>
      </w:hyperlink>
      <w:r>
        <w:rPr>
          <w:rFonts w:ascii="arial" w:eastAsia="arial" w:hAnsi="arial" w:cs="arial"/>
          <w:color w:val="000000"/>
          <w:sz w:val="20"/>
          <w:lang w:val="en-US" w:eastAsia="en-US" w:bidi="ar-SA"/>
        </w:rPr>
        <w:t xml:space="preserve">. However, the argument that s. 24(1) can provide a stand-alone remedy for laws with unconstitutional effects depends on reading s. 24(1) in isolation, rather than in conjunction with the scheme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a whole, as required by principles of statutory and constitutional interpretation. When s. 24(1) is read in context, it becomes apparent that the intent of the framers of the Constitution was that it function primarily as a remedy for unconstitutional government acts.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1119</w:t>
      </w:r>
      <w:r>
        <w:rPr>
          <w:rFonts w:ascii="arial" w:eastAsia="arial" w:hAnsi="arial" w:cs="arial"/>
          <w:color w:val="000000"/>
          <w:sz w:val="20"/>
          <w:lang w:val="en-US" w:eastAsia="en-US" w:bidi="ar-SA"/>
        </w:rPr>
        <w:t xml:space="preserve">  The court's comments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echo the comments in Mr. Justice Lebel's concurring reasons in </w:t>
      </w:r>
      <w:r>
        <w:rPr>
          <w:rFonts w:ascii="arial" w:eastAsia="arial" w:hAnsi="arial" w:cs="arial"/>
          <w:i/>
          <w:color w:val="000000"/>
          <w:sz w:val="20"/>
          <w:lang w:val="en-US" w:eastAsia="en-US" w:bidi="ar-SA"/>
        </w:rPr>
        <w:t>R. v. Demers</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2004 SCC 46</w:t>
        </w:r>
      </w:hyperlink>
      <w:r>
        <w:rPr>
          <w:rFonts w:ascii="arial" w:eastAsia="arial" w:hAnsi="arial" w:cs="arial"/>
          <w:color w:val="000000"/>
          <w:sz w:val="20"/>
          <w:lang w:val="en-US" w:eastAsia="en-US" w:bidi="ar-SA"/>
        </w:rPr>
        <w:t>, where he suggested that it might be appropriate, in some circumstances, to combine remedies pursuant to ss. 24 and 52 (at para. 104). In reaching that conclusion, he articulated the distinction between the aims of public law and private law litigation. Remedies in private law litigation are targeted to compensating a plaintiff for a loss suffered at the hands of a defendant, while remedies in public law litigation seek to ensure compliance with the Constitution to the benefit of the rights and freedoms of all citizens. Private law seeks to compensate an individual for losses suffered due to past events, while public law remedies focus on future compliance and reach beyond the individual actors (at paras. 99-100).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1120</w:t>
      </w:r>
      <w:r>
        <w:rPr>
          <w:rFonts w:ascii="arial" w:eastAsia="arial" w:hAnsi="arial" w:cs="arial"/>
          <w:color w:val="000000"/>
          <w:sz w:val="20"/>
          <w:lang w:val="en-US" w:eastAsia="en-US" w:bidi="ar-SA"/>
        </w:rPr>
        <w:t>  However, given that public law actions are brought by an individual or group seeking redress, he also emphasized the importance of providing the complainant in a public law action with an appropriate remedy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Nevertheless, public law actions share a necessary commonality with private litigation: an individual or group is seeking to redress a wrong done to </w:t>
      </w:r>
      <w:r>
        <w:rPr>
          <w:rFonts w:ascii="arial" w:eastAsia="arial" w:hAnsi="arial" w:cs="arial"/>
          <w:i/>
          <w:color w:val="000000"/>
          <w:sz w:val="20"/>
          <w:u w:val="single"/>
          <w:lang w:val="en-US" w:eastAsia="en-US" w:bidi="ar-SA"/>
        </w:rPr>
        <w:t>them</w:t>
      </w:r>
      <w:r>
        <w:rPr>
          <w:rFonts w:ascii="arial" w:eastAsia="arial" w:hAnsi="arial" w:cs="arial"/>
          <w:color w:val="000000"/>
          <w:sz w:val="20"/>
          <w:u w:val="single"/>
          <w:lang w:val="en-US" w:eastAsia="en-US" w:bidi="ar-SA"/>
        </w:rPr>
        <w:t>. The larger public dimensions of a constitutional challenge piggyback on the claimant's pursuit of his or her own interests,</w:t>
      </w:r>
      <w:r>
        <w:rPr>
          <w:rFonts w:ascii="arial" w:eastAsia="arial" w:hAnsi="arial" w:cs="arial"/>
          <w:color w:val="000000"/>
          <w:sz w:val="20"/>
          <w:lang w:val="en-US" w:eastAsia="en-US" w:bidi="ar-SA"/>
        </w:rPr>
        <w:t xml:space="preserve"> particularly in criminal law cases. Courts should not lose sight of this symbiosis; they should not forget to provide a remedy to the party who brought the challenge. This is not a reward so much as a vindication of the particularized claim brought by </w:t>
      </w:r>
      <w:r>
        <w:rPr>
          <w:rFonts w:ascii="arial" w:eastAsia="arial" w:hAnsi="arial" w:cs="arial"/>
          <w:i/>
          <w:color w:val="000000"/>
          <w:sz w:val="20"/>
          <w:lang w:val="en-US" w:eastAsia="en-US" w:bidi="ar-SA"/>
        </w:rPr>
        <w:t>this</w:t>
      </w:r>
      <w:r>
        <w:rPr>
          <w:rFonts w:ascii="arial" w:eastAsia="arial" w:hAnsi="arial" w:cs="arial"/>
          <w:color w:val="000000"/>
          <w:sz w:val="20"/>
          <w:lang w:val="en-US" w:eastAsia="en-US" w:bidi="ar-SA"/>
        </w:rPr>
        <w:t xml:space="preserve"> person in assertion of </w:t>
      </w:r>
      <w:r>
        <w:rPr>
          <w:rFonts w:ascii="arial" w:eastAsia="arial" w:hAnsi="arial" w:cs="arial"/>
          <w:i/>
          <w:color w:val="000000"/>
          <w:sz w:val="20"/>
          <w:lang w:val="en-US" w:eastAsia="en-US" w:bidi="ar-SA"/>
        </w:rPr>
        <w:t>his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her</w:t>
      </w:r>
      <w:r>
        <w:rPr>
          <w:rFonts w:ascii="arial" w:eastAsia="arial" w:hAnsi="arial" w:cs="arial"/>
          <w:color w:val="000000"/>
          <w:sz w:val="20"/>
          <w:lang w:val="en-US" w:eastAsia="en-US" w:bidi="ar-SA"/>
        </w:rPr>
        <w:t xml:space="preserve"> rights. </w:t>
      </w:r>
      <w:r>
        <w:rPr>
          <w:rFonts w:ascii="arial" w:eastAsia="arial" w:hAnsi="arial" w:cs="arial"/>
          <w:color w:val="000000"/>
          <w:sz w:val="20"/>
          <w:u w:val="single"/>
          <w:lang w:val="en-US" w:eastAsia="en-US" w:bidi="ar-SA"/>
        </w:rPr>
        <w:t>Corrective justice suggests that the successful applicant has a right to a remedy. There will be occasions where the failure to grant the claimant immediate and concrete relief will result in an ongoing injustice. That is the case here</w:t>
      </w:r>
      <w:r>
        <w:rPr>
          <w:rFonts w:ascii="arial" w:eastAsia="arial" w:hAnsi="arial" w:cs="arial"/>
          <w:color w:val="000000"/>
          <w:sz w:val="20"/>
          <w:lang w:val="en-US" w:eastAsia="en-US" w:bidi="ar-SA"/>
        </w:rPr>
        <w:t>. [Underline emphasis added. Italics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1121</w:t>
      </w:r>
      <w:r>
        <w:rPr>
          <w:rFonts w:ascii="arial" w:eastAsia="arial" w:hAnsi="arial" w:cs="arial"/>
          <w:color w:val="000000"/>
          <w:sz w:val="20"/>
          <w:lang w:val="en-US" w:eastAsia="en-US" w:bidi="ar-SA"/>
        </w:rPr>
        <w:t xml:space="preserve">  In this case, there are real corollaries between private law and public law litigation. As I explained in Chapter VI, The Respective Roles of the Province and the CSF, s. 23 is unique among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that it places a positive duty on government to provide minority language education facilities out of public funds where the numbers so warrant. An unconstitutional failure by a government to provide the facilities to which a group is entitled manifests as a loss to rightsholders suffered at the hands of the defendants. I also note the real risk that generations of rightsholders might be lost if the government does not act expeditiously to meet its obligations. The need for concrete relief warrants a remedy pursuant to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1122</w:t>
      </w:r>
      <w:r>
        <w:rPr>
          <w:rFonts w:ascii="arial" w:eastAsia="arial" w:hAnsi="arial" w:cs="arial"/>
          <w:color w:val="000000"/>
          <w:sz w:val="20"/>
          <w:lang w:val="en-US" w:eastAsia="en-US" w:bidi="ar-SA"/>
        </w:rPr>
        <w:t>  At the same time, there may also be grounds for relief pursuant to s. 52(1). To the extent that a rights breach is caused by the unconstitutional effects of a law, that law should not be left on the books. Section 52 requires that the law be declared invalid to the extent of the inconsistency. Thus, in my view, this case is one of those rare circumstances where it may be appropriate to issue orders pursuant to ss. 52(1) and 24(1) in conjunction with one another to ensure the claimants have an effective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Standing to seek s. 24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1123</w:t>
      </w:r>
      <w:r>
        <w:rPr>
          <w:rFonts w:ascii="arial" w:eastAsia="arial" w:hAnsi="arial" w:cs="arial"/>
          <w:color w:val="000000"/>
          <w:sz w:val="20"/>
          <w:lang w:val="en-US" w:eastAsia="en-US" w:bidi="ar-SA"/>
        </w:rPr>
        <w:t>  The express wording of s. 24(1) makes the personal remedies allowed by that provision available to "[a]nyone whose rights or freedoms ... have been infringed or denied". As a result, its remedies are available to a more limited class than would be available under s. 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1124</w:t>
      </w:r>
      <w:r>
        <w:rPr>
          <w:rFonts w:ascii="arial" w:eastAsia="arial" w:hAnsi="arial" w:cs="arial"/>
          <w:color w:val="000000"/>
          <w:sz w:val="20"/>
          <w:lang w:val="en-US" w:eastAsia="en-US" w:bidi="ar-SA"/>
        </w:rPr>
        <w:t xml:space="preserve">  The plaintiffs acknowledge that the CSF and the FPFCB are not individuals whose rights have been breached pursuant to s. 23. However, they take the position that rightsholders who did not receive minority language education as a result of breaches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ought to nevertheless be compensated by way of remedies pursuant to s. 24(1). In the plaintiffs' submission, individual rightsholders should not be denied recourse because they were not well positioned to advance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1125</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Canada (Attorney General) v. Downtown Eastside Sex Workers United Against Violence Society</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2012 SCC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Downtown Eastside Sex Workers</w:t>
      </w:r>
      <w:r>
        <w:rPr>
          <w:rFonts w:ascii="arial" w:eastAsia="arial" w:hAnsi="arial" w:cs="arial"/>
          <w:color w:val="000000"/>
          <w:sz w:val="20"/>
          <w:lang w:val="en-US" w:eastAsia="en-US" w:bidi="ar-SA"/>
        </w:rPr>
        <w:t>] at para. 51. They draw an analogy between the plaintiffs in that case and in this one, suggesting the CSF and the FPFCB are public interest litigants acting on behalf of a constitutionally-defined class of individuals whose legal rights are at stake, who cannot advance their claims as efficiently as the CSF and FPFCB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Downtown Eastside Sex Workers</w:t>
      </w:r>
      <w:r>
        <w:rPr>
          <w:rFonts w:ascii="arial" w:eastAsia="arial" w:hAnsi="arial" w:cs="arial"/>
          <w:color w:val="000000"/>
          <w:sz w:val="20"/>
          <w:lang w:val="en-US" w:eastAsia="en-US" w:bidi="ar-SA"/>
        </w:rPr>
        <w:t xml:space="preserve"> sets out the test for public interest standing. The question of remedies did not arise, and was not discussed. It is not helpful in assessing whether the plaintiffs have standing to seek personal remedies under s. 24(1) on behalf of rightsholders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1127</w:t>
      </w:r>
      <w:r>
        <w:rPr>
          <w:rFonts w:ascii="arial" w:eastAsia="arial" w:hAnsi="arial" w:cs="arial"/>
          <w:color w:val="000000"/>
          <w:sz w:val="20"/>
          <w:lang w:val="en-US" w:eastAsia="en-US" w:bidi="ar-SA"/>
        </w:rPr>
        <w:t xml:space="preserve">  The plaintiffs also cite comments made by Mr. Justice Willcock in a chambers ruling in this matter, </w:t>
      </w:r>
      <w:r>
        <w:rPr>
          <w:rFonts w:ascii="arial" w:eastAsia="arial" w:hAnsi="arial" w:cs="arial"/>
          <w:i/>
          <w:color w:val="000000"/>
          <w:sz w:val="20"/>
          <w:lang w:val="en-US" w:eastAsia="en-US" w:bidi="ar-SA"/>
        </w:rPr>
        <w:t>Conseil Scolaire francophone de la Colombie-Britannique v. British Columbia (Education),</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2011 BCSC 1219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Association des Parents- Standing Ruling</w:t>
      </w:r>
      <w:r>
        <w:rPr>
          <w:rFonts w:ascii="arial" w:eastAsia="arial" w:hAnsi="arial" w:cs="arial"/>
          <w:color w:val="000000"/>
          <w:sz w:val="20"/>
          <w:lang w:val="en-US" w:eastAsia="en-US" w:bidi="ar-SA"/>
        </w:rPr>
        <w:t>] at para. 71, which they say illustrates that the plaintiffs in this matter act in a representative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Association des Parents- Standing Ruling</w:t>
      </w:r>
      <w:r>
        <w:rPr>
          <w:rFonts w:ascii="arial" w:eastAsia="arial" w:hAnsi="arial" w:cs="arial"/>
          <w:color w:val="000000"/>
          <w:sz w:val="20"/>
          <w:lang w:val="en-US" w:eastAsia="en-US" w:bidi="ar-SA"/>
        </w:rPr>
        <w:t xml:space="preserve">, the defendants sought an order striking the CSF and the FPFCB as plaintiffs in this case for not meeting the tests for either private or public interest standing. Mr. Justice Willcock began by reviewing the declarations that the plaintiffs seek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well as the orders they seek for funding of capital improvement projects and the reporting orders (at paras.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1129</w:t>
      </w:r>
      <w:r>
        <w:rPr>
          <w:rFonts w:ascii="arial" w:eastAsia="arial" w:hAnsi="arial" w:cs="arial"/>
          <w:color w:val="000000"/>
          <w:sz w:val="20"/>
          <w:lang w:val="en-US" w:eastAsia="en-US" w:bidi="ar-SA"/>
        </w:rPr>
        <w:t xml:space="preserve">  Mr. Justice Willcock considered the test for private interest standing as stated in </w:t>
      </w:r>
      <w:r>
        <w:rPr>
          <w:rFonts w:ascii="arial" w:eastAsia="arial" w:hAnsi="arial" w:cs="arial"/>
          <w:i/>
          <w:color w:val="000000"/>
          <w:sz w:val="20"/>
          <w:lang w:val="en-US" w:eastAsia="en-US" w:bidi="ar-SA"/>
        </w:rPr>
        <w:t>Boyce v. Paddington</w:t>
      </w:r>
      <w:r>
        <w:rPr>
          <w:rFonts w:ascii="arial" w:eastAsia="arial" w:hAnsi="arial" w:cs="arial"/>
          <w:color w:val="000000"/>
          <w:sz w:val="20"/>
          <w:lang w:val="en-US" w:eastAsia="en-US" w:bidi="ar-SA"/>
        </w:rPr>
        <w:t xml:space="preserve">, [1903] 1 Ch. 109 and </w:t>
      </w:r>
      <w:r>
        <w:rPr>
          <w:rFonts w:ascii="arial" w:eastAsia="arial" w:hAnsi="arial" w:cs="arial"/>
          <w:i/>
          <w:color w:val="000000"/>
          <w:sz w:val="20"/>
          <w:lang w:val="en-US" w:eastAsia="en-US" w:bidi="ar-SA"/>
        </w:rPr>
        <w:t>Finlay v. Canada (Minister of Finance</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[1986] 2 S.C.R. 607</w:t>
        </w:r>
      </w:hyperlink>
      <w:r>
        <w:rPr>
          <w:rFonts w:ascii="arial" w:eastAsia="arial" w:hAnsi="arial" w:cs="arial"/>
          <w:color w:val="000000"/>
          <w:sz w:val="20"/>
          <w:lang w:val="en-US" w:eastAsia="en-US" w:bidi="ar-SA"/>
        </w:rPr>
        <w:t xml:space="preserve"> at p. 617. He decided that the CSF was not entitled to private interest standing over all aspects of the claim even though some of the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private interest standing were present, and the CSF was acting as the agent through which rightsholders exercise their constitutionally guaranteed rights (at paras. 50-55).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1130</w:t>
      </w:r>
      <w:r>
        <w:rPr>
          <w:rFonts w:ascii="arial" w:eastAsia="arial" w:hAnsi="arial" w:cs="arial"/>
          <w:color w:val="000000"/>
          <w:sz w:val="20"/>
          <w:lang w:val="en-US" w:eastAsia="en-US" w:bidi="ar-SA"/>
        </w:rPr>
        <w:t>  Instead, Mr. Justice Willcock considered that the CSF had public interest standing. In doing so, he took specific account of "[t]he unique, collective aspect of minority language education rights" and the corresponding "creation of school boards as a means of exercising the management and control of the education system mandated by the constitution" (at para. 63). He also took into account that school boards and parent associations frequently bring s. 23 actions to trial, which "speaks to the traditional role of the minority language school boards as representatives of the students for whom they provide instruction and facilities" (at para. 69). Given that role, he concluded that the CSF was the party best placed to litigate the matters at issue and ensure an effective challenge to unconstitutional legislation and government actions (at paras. 70-71).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CSF acts in most instances as an agent of government</w:t>
      </w:r>
      <w:r>
        <w:rPr>
          <w:rFonts w:ascii="arial" w:eastAsia="arial" w:hAnsi="arial" w:cs="arial"/>
          <w:i/>
          <w:color w:val="000000"/>
          <w:sz w:val="20"/>
          <w:lang w:val="en-US" w:eastAsia="en-US" w:bidi="ar-SA"/>
        </w:rPr>
        <w:t>: British Columbia Public School Employers' Assn. v. British Columbia Teachers' Federation</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2005 BCCA 393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Douglas/Kwantlen Faculty Assoc. v. Douglas College</w:t>
      </w:r>
      <w:r>
        <w:rPr>
          <w:rFonts w:ascii="arial" w:eastAsia="arial" w:hAnsi="arial" w:cs="arial"/>
          <w:color w:val="000000"/>
          <w:sz w:val="20"/>
          <w:lang w:val="en-US" w:eastAsia="en-US" w:bidi="ar-SA"/>
        </w:rPr>
        <w:t xml:space="preserve"> (S.C.C.), </w:t>
      </w:r>
      <w:hyperlink r:id="rId391" w:history="1">
        <w:r>
          <w:rPr>
            <w:rFonts w:ascii="arial" w:eastAsia="arial" w:hAnsi="arial" w:cs="arial"/>
            <w:i/>
            <w:color w:val="0077CC"/>
            <w:sz w:val="20"/>
            <w:u w:val="single"/>
            <w:shd w:val="clear" w:color="auto" w:fill="FFFFFF"/>
            <w:lang w:val="en-US" w:eastAsia="en-US" w:bidi="ar-SA"/>
          </w:rPr>
          <w:t>[1990] 3 S.C.R. 570</w:t>
        </w:r>
      </w:hyperlink>
      <w:r>
        <w:rPr>
          <w:rFonts w:ascii="arial" w:eastAsia="arial" w:hAnsi="arial" w:cs="arial"/>
          <w:color w:val="000000"/>
          <w:sz w:val="20"/>
          <w:lang w:val="en-US" w:eastAsia="en-US" w:bidi="ar-SA"/>
        </w:rPr>
        <w:t xml:space="preserve">. That fact alone does not, in my opinion, preclude it from seeking declaratory relief from the courts in relation to the constitutional obligations of the Province. </w:t>
      </w:r>
      <w:r>
        <w:rPr>
          <w:rFonts w:ascii="arial" w:eastAsia="arial" w:hAnsi="arial" w:cs="arial"/>
          <w:color w:val="000000"/>
          <w:sz w:val="20"/>
          <w:u w:val="single"/>
          <w:lang w:val="en-US" w:eastAsia="en-US" w:bidi="ar-SA"/>
        </w:rPr>
        <w:t xml:space="preserve">I am satisfied, given the particular constitutional role of minority language school boards, that the CSF is an appropriate party to speak to the public interest in the group rights conferred by s. 23 of the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The issue of the sufficiency of the resources devoted to discharging the Province's positive obligation to fund minority language education may be litigated at the instance of the CSF.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this finding, it remains to be considered whether there is a more appropriate party to advance the claims made by the CSF. There are individuals asserting their own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the case at bar. </w:t>
      </w:r>
      <w:r>
        <w:rPr>
          <w:rFonts w:ascii="arial" w:eastAsia="arial" w:hAnsi="arial" w:cs="arial"/>
          <w:color w:val="000000"/>
          <w:sz w:val="20"/>
          <w:u w:val="single"/>
          <w:lang w:val="en-US" w:eastAsia="en-US" w:bidi="ar-SA"/>
        </w:rPr>
        <w:t xml:space="preserve">While individuals are the most appropriate parties to speak to alleged breaches of their rights, as rights-holders, they will speak to specific examples only. Their claims may result in a piecemeal assessment of the Province's observance of the duty to linguistic minorities described in the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There is no one rights-holder capable of advancing the claim that individuals rights have been infringed as a result of a global error on the part of the Province, for example, in assessing transportation needs, or the global capital requirements of the minority language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1131</w:t>
      </w:r>
      <w:r>
        <w:rPr>
          <w:rFonts w:ascii="arial" w:eastAsia="arial" w:hAnsi="arial" w:cs="arial"/>
          <w:color w:val="000000"/>
          <w:sz w:val="20"/>
          <w:lang w:val="en-US" w:eastAsia="en-US" w:bidi="ar-SA"/>
        </w:rPr>
        <w:t xml:space="preserve">  In light of that ruling, I consider that Mr. Justice Willcock has already decided that the plaintiffs have public interest standing to seek declarations, funding orders, and reporting orders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although they do not, technically, fit the criteria of "Anyone whose rights or freedoms ... have been infringed or denied." The defendants did not argue that the plaintiffs did not have standing to seek the other s. 24 remedies that they seek, namely, an Expanded Admissions Policy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 therefore proceed on the assumption that they do, without deciding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Section 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1132</w:t>
      </w:r>
      <w:r>
        <w:rPr>
          <w:rFonts w:ascii="arial" w:eastAsia="arial" w:hAnsi="arial" w:cs="arial"/>
          <w:color w:val="000000"/>
          <w:sz w:val="20"/>
          <w:lang w:val="en-US" w:eastAsia="en-US" w:bidi="ar-SA"/>
        </w:rPr>
        <w:t xml:space="preserve">  Pursuant to s. 52(1), where a law is inconsistent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it is to be declared of no force and effect to the extent of the inconsistency.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the Court explained that nullification pursuant to s. 52 is the typical approach when a law is found unconstitutional, but admits of some flexibility (at 695):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has flexibility in determining what course of action to take following a violation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does not survive s. 1 scrutiny. Section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mandates the striking down of any law that is inconsistent with the provisions of the Constitution, but only "to the extent of the inconsistency". Depending upon the circumstances, a court may simply strike down, it may strike down and temporarily suspend the declaration of invalidity, or it may resort to the techniques of reading down or reading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1133</w:t>
      </w:r>
      <w:r>
        <w:rPr>
          <w:rFonts w:ascii="arial" w:eastAsia="arial" w:hAnsi="arial" w:cs="arial"/>
          <w:color w:val="000000"/>
          <w:sz w:val="20"/>
          <w:lang w:val="en-US" w:eastAsia="en-US" w:bidi="ar-SA"/>
        </w:rPr>
        <w:t>  In some instances, it may be appropriate to issue declarations pursuant to s. 52 to the effect that the capital funding system is unconstitutional to the extent of an inconsistency. These remedies will be appropriate in the latter half of the decision, when examining the plaintiffs' complaints that the CSF is disadvantaged by the operation of capital funding system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 Section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1134</w:t>
      </w:r>
      <w:r>
        <w:rPr>
          <w:rFonts w:ascii="arial" w:eastAsia="arial" w:hAnsi="arial" w:cs="arial"/>
          <w:color w:val="000000"/>
          <w:sz w:val="20"/>
          <w:lang w:val="en-US" w:eastAsia="en-US" w:bidi="ar-SA"/>
        </w:rPr>
        <w:t xml:space="preserve">  There is no doubt that the Court's jurisdiction to make orders pursuant to s. 24(1) is very broad. It allows courts to order whatever remedy it considers "appropriate and just in the circumstances". In </w:t>
      </w:r>
      <w:r>
        <w:rPr>
          <w:rFonts w:ascii="arial" w:eastAsia="arial" w:hAnsi="arial" w:cs="arial"/>
          <w:i/>
          <w:color w:val="000000"/>
          <w:sz w:val="20"/>
          <w:lang w:val="en-US" w:eastAsia="en-US" w:bidi="ar-SA"/>
        </w:rPr>
        <w:t>Mills v. The Queen</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[1986] 1 S.C.R. 863</w:t>
        </w:r>
      </w:hyperlink>
      <w:r>
        <w:rPr>
          <w:rFonts w:ascii="arial" w:eastAsia="arial" w:hAnsi="arial" w:cs="arial"/>
          <w:color w:val="000000"/>
          <w:sz w:val="20"/>
          <w:lang w:val="en-US" w:eastAsia="en-US" w:bidi="ar-SA"/>
        </w:rPr>
        <w:t>, Mr. Justice McIntyre (for the majority) commented on the wide and generous scope of the Court's discretion (at 965):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imagine language which could give the court a wider and less fettered discretion. It is impossible to reduce this wide discretion to some sort of binding formula for general application in all cases, and it is not for appellate courts to pre-empt or cut down this wide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court cited McIntyre J.'s comments in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and offered that the grant of discretion is fettered only by the concern of what is "appropriate and just", and should not be reduced to a binding formula for general application in all cases. However, the Court also noted that prior cases and judicial guidance might offer some assistance in assessing what is appropriate and just in given circumstances (at paras. 18-19).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the Court offered some assistance for courts to take into account when deciding whether a remedy is just and appropriate in the circumstances. The Court articulated five principles relevant to the question, which may be informed by jurisprudence relating to remedies outside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context. To summarize them, an appropriate and just remedy should meaningfully vindicate the rights and freedoms of the claimants, and address the circumstances in which the right was infringed or denied. It must also apply means that are legitimate within the framework of our constitutional democracy, respecting the separation of functions between the legislature, executive and the judiciary. Third, the remedy should invoke the functions and powers of a court; the remedy should be a judicial one. Fourth, the remedy should be fair as against the party that it is made. Finally, it should be allowed to develop novel and creative features to be flexible and responsive to the needs of a given case (at paras. 54-59).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1137</w:t>
      </w:r>
      <w:r>
        <w:rPr>
          <w:rFonts w:ascii="arial" w:eastAsia="arial" w:hAnsi="arial" w:cs="arial"/>
          <w:color w:val="000000"/>
          <w:sz w:val="20"/>
          <w:lang w:val="en-US" w:eastAsia="en-US" w:bidi="ar-SA"/>
        </w:rPr>
        <w:t xml:space="preserve">  The plaintiffs seek a number of remedies pursuant to s. 24(1), which they say are appropriate and just in this case: declarations, reporting orders, an Expanded Admissions Policy,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 trust remedy and a duty to consult.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1138</w:t>
      </w:r>
      <w:r>
        <w:rPr>
          <w:rFonts w:ascii="arial" w:eastAsia="arial" w:hAnsi="arial" w:cs="arial"/>
          <w:color w:val="000000"/>
          <w:sz w:val="20"/>
          <w:lang w:val="en-US" w:eastAsia="en-US" w:bidi="ar-SA"/>
        </w:rPr>
        <w:t xml:space="preserve">  Courts may issue declarations pursuant to s. 24(1). The principles concerning the granting of a declaration were stated in </w:t>
      </w:r>
      <w:r>
        <w:rPr>
          <w:rFonts w:ascii="arial" w:eastAsia="arial" w:hAnsi="arial" w:cs="arial"/>
          <w:i/>
          <w:color w:val="000000"/>
          <w:sz w:val="20"/>
          <w:lang w:val="en-US" w:eastAsia="en-US" w:bidi="ar-SA"/>
        </w:rPr>
        <w:t>Solosky v. The Queen</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[1980] 1 S.C.R. 821</w:t>
        </w:r>
      </w:hyperlink>
      <w:r>
        <w:rPr>
          <w:rFonts w:ascii="arial" w:eastAsia="arial" w:hAnsi="arial" w:cs="arial"/>
          <w:color w:val="000000"/>
          <w:sz w:val="20"/>
          <w:lang w:val="en-US" w:eastAsia="en-US" w:bidi="ar-SA"/>
        </w:rPr>
        <w:t xml:space="preserve"> at 830-833. Where an issue falls to be determined between persons sharing a legal relationship, a declaration is available provided that real, rather than fictitious or academic issues are raised, and provided that a declaration will have the practical effect of determining the matter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1139</w:t>
      </w:r>
      <w:r>
        <w:rPr>
          <w:rFonts w:ascii="arial" w:eastAsia="arial" w:hAnsi="arial" w:cs="arial"/>
          <w:color w:val="000000"/>
          <w:sz w:val="20"/>
          <w:lang w:val="en-US" w:eastAsia="en-US" w:bidi="ar-SA"/>
        </w:rPr>
        <w:t>  With respect to any failure by the Province to meet its positive obligations in particular communities in this case, in my view declarations under s. 24 will typically afford an appropriate remedy as a means of determining a very real legal matter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1140</w:t>
      </w:r>
      <w:r>
        <w:rPr>
          <w:rFonts w:ascii="arial" w:eastAsia="arial" w:hAnsi="arial" w:cs="arial"/>
          <w:color w:val="000000"/>
          <w:sz w:val="20"/>
          <w:lang w:val="en-US" w:eastAsia="en-US" w:bidi="ar-SA"/>
        </w:rPr>
        <w:t xml:space="preserve">  At times in their argument, the plaintiffs seek declarations more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requiring the Province to take specific positive steps to remedy a problem. I acknowledge that declaratory relief presents the risk that the government will delay the implementation of declaratory relief. In </w:t>
      </w:r>
      <w:r>
        <w:rPr>
          <w:rFonts w:ascii="arial" w:eastAsia="arial" w:hAnsi="arial" w:cs="arial"/>
          <w:i/>
          <w:color w:val="000000"/>
          <w:sz w:val="20"/>
          <w:lang w:val="en-US" w:eastAsia="en-US" w:bidi="ar-SA"/>
        </w:rPr>
        <w:t>Canada (Attorney General) v. PHS Community Services Society</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2011 SCC 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Insite</w:t>
      </w:r>
      <w:r>
        <w:rPr>
          <w:rFonts w:ascii="arial" w:eastAsia="arial" w:hAnsi="arial" w:cs="arial"/>
          <w:color w:val="000000"/>
          <w:sz w:val="20"/>
          <w:lang w:val="en-US" w:eastAsia="en-US" w:bidi="ar-SA"/>
        </w:rPr>
        <w:t xml:space="preserve">], the Court considered what remedy to award when a minister had refused an exemption to a safe injection site pursuant to s. 56 of the </w:t>
      </w:r>
      <w:r>
        <w:rPr>
          <w:rFonts w:ascii="arial" w:eastAsia="arial" w:hAnsi="arial" w:cs="arial"/>
          <w:i/>
          <w:color w:val="000000"/>
          <w:sz w:val="20"/>
          <w:lang w:val="en-US" w:eastAsia="en-US" w:bidi="ar-SA"/>
        </w:rPr>
        <w:t>Controlled Drugs and Substances Act</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xml:space="preserve">. The Court held that a declaration that the Minister had erred by refusing the exemption would have been inadequate as the infringement was a serious one, threatening the lives of claimants. The delay while awaiting a new decision might give rise to new litigation. The Court held that a bare declaration was not acceptable. Reasoning that the only option available to the Minister was to grant the exemption, the Court issued an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requiring the Minister to grant the exemption to Insite forthwith (at paras. 148,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1141</w:t>
      </w:r>
      <w:r>
        <w:rPr>
          <w:rFonts w:ascii="arial" w:eastAsia="arial" w:hAnsi="arial" w:cs="arial"/>
          <w:color w:val="000000"/>
          <w:sz w:val="20"/>
          <w:lang w:val="en-US" w:eastAsia="en-US" w:bidi="ar-SA"/>
        </w:rPr>
        <w:t>  Some of the same concerns are present here. With every year of delay, there is a real concern that more rightsholders might choose not to enrol their children in a CSF school, and lose their children's status as Education Rightsholders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1142</w:t>
      </w:r>
      <w:r>
        <w:rPr>
          <w:rFonts w:ascii="arial" w:eastAsia="arial" w:hAnsi="arial" w:cs="arial"/>
          <w:color w:val="000000"/>
          <w:sz w:val="20"/>
          <w:lang w:val="en-US" w:eastAsia="en-US" w:bidi="ar-SA"/>
        </w:rPr>
        <w:t xml:space="preserve">  However, this must be balanced against the proper role of the court in relation to the legislative and executive branches of government. In </w:t>
      </w:r>
      <w:r>
        <w:rPr>
          <w:rFonts w:ascii="arial" w:eastAsia="arial" w:hAnsi="arial" w:cs="arial"/>
          <w:i/>
          <w:color w:val="000000"/>
          <w:sz w:val="20"/>
          <w:lang w:val="en-US" w:eastAsia="en-US" w:bidi="ar-SA"/>
        </w:rPr>
        <w:t>Eldridge</w:t>
      </w:r>
      <w:r>
        <w:rPr>
          <w:rFonts w:ascii="arial" w:eastAsia="arial" w:hAnsi="arial" w:cs="arial"/>
          <w:color w:val="000000"/>
          <w:sz w:val="20"/>
          <w:lang w:val="en-US" w:eastAsia="en-US" w:bidi="ar-SA"/>
        </w:rPr>
        <w:t>, the Court confirmed that where there are various options available to government that may rectify a lack of constitutionality, a declaration as opposed to injunctive relief is more appropriate. The Court confirmed that it goes against the role of the court to dictate how the unconstitutional regime ought to be rectified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1143</w:t>
      </w:r>
      <w:r>
        <w:rPr>
          <w:rFonts w:ascii="arial" w:eastAsia="arial" w:hAnsi="arial" w:cs="arial"/>
          <w:color w:val="000000"/>
          <w:sz w:val="20"/>
          <w:lang w:val="en-US" w:eastAsia="en-US" w:bidi="ar-SA"/>
        </w:rPr>
        <w:t xml:space="preserve">  A similar consideration was at play in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In that case, the plaintiffs sought declarations in respect of the rights which must be accorded to s. 23 rightsholders in Edmonton, as well as declarations that the legislation at play was of no force and effect to the extent it was inconsistent with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353-354). The Court declined to issue declarations of invalidity concerning the laws at issue in that case, as it would have had the effect of creating a legislative vacuum and temporarily precluding the public authorities from exercising their powers to change the existing system and bring it into compliance. The Court also considered that the plaintiffs were not entitled to any legislative scheme, but to a certain type of education system. For those reasons, the Court restricted itself to making a declaration in respect of the concrete rights of the parents, which left the government with some flexibility to fashion a response (at 392-393):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these reasons I think it best if the Court restricts itself in this appeal to making a declaration in respect of the concrete rights which are due to the minority language parents in Edmonton under s. 23. </w:t>
      </w:r>
      <w:r>
        <w:rPr>
          <w:rFonts w:ascii="arial" w:eastAsia="arial" w:hAnsi="arial" w:cs="arial"/>
          <w:color w:val="000000"/>
          <w:sz w:val="20"/>
          <w:u w:val="single"/>
          <w:lang w:val="en-US" w:eastAsia="en-US" w:bidi="ar-SA"/>
        </w:rPr>
        <w:t>Such a declaration will ensure that the appellants' rights are realized while, at the same time, leaving the government with the flexibility necessary to fashion a response which is suited to the circumstances. As the Attorney General for Ontario submits, the government should have the widest possible discretion in selecting the institutional means by which its s. 23 obligations are to be met; the courts should be loath to interfere and impose what will be necessarily procrustean standards, unless that discretion is not exercised at all, or is exercised in such a way as to deny a constitutional right. Once the Court has declared what is required in Edmonton, then the government can and must do whatever is necessary to ensure that these appellants, and other parents in their situation, receive what they are due under s. 23.</w:t>
      </w:r>
      <w:r>
        <w:rPr>
          <w:rFonts w:ascii="arial" w:eastAsia="arial" w:hAnsi="arial" w:cs="arial"/>
          <w:color w:val="000000"/>
          <w:sz w:val="20"/>
          <w:lang w:val="en-US" w:eastAsia="en-US" w:bidi="ar-SA"/>
        </w:rPr>
        <w:t xml:space="preserve"> Section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imposes on provincial legislatures the positive obligation of enacting precise legislative schemes providing for minority language instruction and educational facilities where numbers warrant. To date, the legislature of Alberta has failed to discharge that obligation. It must delay no longer in putting into place the appropriate minority language education scheme.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1144</w:t>
      </w:r>
      <w:r>
        <w:rPr>
          <w:rFonts w:ascii="arial" w:eastAsia="arial" w:hAnsi="arial" w:cs="arial"/>
          <w:color w:val="000000"/>
          <w:sz w:val="20"/>
          <w:lang w:val="en-US" w:eastAsia="en-US" w:bidi="ar-SA"/>
        </w:rPr>
        <w:t xml:space="preserve">  I have already explained that I do not consider the Province to have delayed implementing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British Columbia. In light of the importance of leaving some latitude to government, absent evidence leading me to believe that a declaration would not be effective, I will typically make an affirmative declaration of rights rather than compel the defendants to take specific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Foremost among these, the plaintiffs ask the Court to issue declarations requiring the Minister to order the transfer school board property to the CSF pursuant to the newly amended s. 74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which provides: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(1) Subject to the orders of the minister, a board is responsible for the management of the schools in its school district and for the custody, maintenance and safekeeping of all property owned or leased by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1145</w:t>
      </w:r>
      <w:r>
        <w:rPr>
          <w:rFonts w:ascii="arial" w:eastAsia="arial" w:hAnsi="arial" w:cs="arial"/>
          <w:color w:val="000000"/>
          <w:sz w:val="20"/>
          <w:lang w:val="en-US" w:eastAsia="en-US" w:bidi="ar-SA"/>
        </w:rPr>
        <w:t xml:space="preserve">  In Mr. Miller's discovery and the Province's case, Ministry officials maintained that the Minister had no power to compel school boards to dispose of property to the CSF. The legislative history reveals that s. 74 was amended by Bill 11-2015, </w:t>
      </w:r>
      <w:r>
        <w:rPr>
          <w:rFonts w:ascii="arial" w:eastAsia="arial" w:hAnsi="arial" w:cs="arial"/>
          <w:i/>
          <w:color w:val="000000"/>
          <w:sz w:val="20"/>
          <w:lang w:val="en-US" w:eastAsia="en-US" w:bidi="ar-SA"/>
        </w:rPr>
        <w:t>Education Statutes Amendment Act,</w:t>
      </w:r>
      <w:r>
        <w:rPr>
          <w:rFonts w:ascii="arial" w:eastAsia="arial" w:hAnsi="arial" w:cs="arial"/>
          <w:color w:val="000000"/>
          <w:sz w:val="20"/>
          <w:lang w:val="en-US" w:eastAsia="en-US" w:bidi="ar-SA"/>
        </w:rPr>
        <w:t xml:space="preserve"> 4th Sess., 40th Leg., BC, 2015 [</w:t>
      </w:r>
      <w:r>
        <w:rPr>
          <w:rFonts w:ascii="arial" w:eastAsia="arial" w:hAnsi="arial" w:cs="arial"/>
          <w:i/>
          <w:color w:val="000000"/>
          <w:sz w:val="20"/>
          <w:lang w:val="en-US" w:eastAsia="en-US" w:bidi="ar-SA"/>
        </w:rPr>
        <w:t>Bill 11</w:t>
      </w:r>
      <w:r>
        <w:rPr>
          <w:rFonts w:ascii="arial" w:eastAsia="arial" w:hAnsi="arial" w:cs="arial"/>
          <w:color w:val="000000"/>
          <w:sz w:val="20"/>
          <w:lang w:val="en-US" w:eastAsia="en-US" w:bidi="ar-SA"/>
        </w:rPr>
        <w:t xml:space="preserve">], Cl. 12. </w:t>
      </w:r>
      <w:r>
        <w:rPr>
          <w:rFonts w:ascii="arial" w:eastAsia="arial" w:hAnsi="arial" w:cs="arial"/>
          <w:i/>
          <w:color w:val="000000"/>
          <w:sz w:val="20"/>
          <w:lang w:val="en-US" w:eastAsia="en-US" w:bidi="ar-SA"/>
        </w:rPr>
        <w:t>Bill 11</w:t>
      </w:r>
      <w:r>
        <w:rPr>
          <w:rFonts w:ascii="arial" w:eastAsia="arial" w:hAnsi="arial" w:cs="arial"/>
          <w:color w:val="000000"/>
          <w:sz w:val="20"/>
          <w:lang w:val="en-US" w:eastAsia="en-US" w:bidi="ar-SA"/>
        </w:rPr>
        <w:t xml:space="preserve"> passed third reading on May 14, 2015, and came into force on July 1, 2015, when this Court was not sitting. The defendants closed their case in the middle of August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1146</w:t>
      </w:r>
      <w:r>
        <w:rPr>
          <w:rFonts w:ascii="arial" w:eastAsia="arial" w:hAnsi="arial" w:cs="arial"/>
          <w:color w:val="000000"/>
          <w:sz w:val="20"/>
          <w:lang w:val="en-US" w:eastAsia="en-US" w:bidi="ar-SA"/>
        </w:rPr>
        <w:t>  The plaintiffs say the amendments to s. 74(1) changed the nature of the powers the Minister has in connection with property owned and managed by school boards. In the plaintiffs' submission, the Minister now has broad, plenary authority to intervene in the public interest to make orders concerning the disposal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1147</w:t>
      </w:r>
      <w:r>
        <w:rPr>
          <w:rFonts w:ascii="arial" w:eastAsia="arial" w:hAnsi="arial" w:cs="arial"/>
          <w:color w:val="000000"/>
          <w:sz w:val="20"/>
          <w:lang w:val="en-US" w:eastAsia="en-US" w:bidi="ar-SA"/>
        </w:rPr>
        <w:t xml:space="preserve">  For the defendants, the relevant question is not how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qualifies the powers of school boards, but what jurisdiction lies with the Minister. The defendants press that cl. 12 of </w:t>
      </w:r>
      <w:r>
        <w:rPr>
          <w:rFonts w:ascii="arial" w:eastAsia="arial" w:hAnsi="arial" w:cs="arial"/>
          <w:i/>
          <w:color w:val="000000"/>
          <w:sz w:val="20"/>
          <w:lang w:val="en-US" w:eastAsia="en-US" w:bidi="ar-SA"/>
        </w:rPr>
        <w:t>Bill 11</w:t>
      </w:r>
      <w:r>
        <w:rPr>
          <w:rFonts w:ascii="arial" w:eastAsia="arial" w:hAnsi="arial" w:cs="arial"/>
          <w:color w:val="000000"/>
          <w:sz w:val="20"/>
          <w:lang w:val="en-US" w:eastAsia="en-US" w:bidi="ar-SA"/>
        </w:rPr>
        <w:t xml:space="preserve"> simply added a new limit to the otherwise plenary power of school boards to deal with their properties without giving the Minister new jurisdiction to make limiting orders. The defendants point the Court to s. 168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which establishes the Minister's jurisdiction. In their submission, the Minister's jurisdiction pursuant to that provision is not unrestricted. They note, for example, that the Minister cannot order a school closure unless enrolment falls below eight students (s. 168(2)(g)). The defendants also point to comments made during the legislative debate concerning </w:t>
      </w:r>
      <w:r>
        <w:rPr>
          <w:rFonts w:ascii="arial" w:eastAsia="arial" w:hAnsi="arial" w:cs="arial"/>
          <w:i/>
          <w:color w:val="000000"/>
          <w:sz w:val="20"/>
          <w:lang w:val="en-US" w:eastAsia="en-US" w:bidi="ar-SA"/>
        </w:rPr>
        <w:t>Bill 11</w:t>
      </w:r>
      <w:r>
        <w:rPr>
          <w:rFonts w:ascii="arial" w:eastAsia="arial" w:hAnsi="arial" w:cs="arial"/>
          <w:color w:val="000000"/>
          <w:sz w:val="20"/>
          <w:lang w:val="en-US" w:eastAsia="en-US" w:bidi="ar-SA"/>
        </w:rPr>
        <w:t>, which tend to confirm that the legislature did not intend to expand the Minister's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Conseil Scolaire Francophone de la Colombie-Britannique v. British Columbia (Education),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2013 BCSC 1242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Association des Parents- Injunction Ruling</w:t>
      </w:r>
      <w:r>
        <w:rPr>
          <w:rFonts w:ascii="arial" w:eastAsia="arial" w:hAnsi="arial" w:cs="arial"/>
          <w:color w:val="000000"/>
          <w:sz w:val="20"/>
          <w:lang w:val="en-US" w:eastAsia="en-US" w:bidi="ar-SA"/>
        </w:rPr>
        <w:t xml:space="preserve">], Mr. Justice Willcock considered an application in this case by the plaintiffs for an interim injunction requiring the Minister to order SD39-Vancouver to offer to lease the former J.W. Sexsmith Elementary to the CSF for a three-year period. The defendants argued there was no authority in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for the Minister to make that order, and that the court should not issue a mandatory injunction directing the Minister to do something he is not empowered to do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1149</w:t>
      </w:r>
      <w:r>
        <w:rPr>
          <w:rFonts w:ascii="arial" w:eastAsia="arial" w:hAnsi="arial" w:cs="arial"/>
          <w:color w:val="000000"/>
          <w:sz w:val="20"/>
          <w:lang w:val="en-US" w:eastAsia="en-US" w:bidi="ar-SA"/>
        </w:rPr>
        <w:t xml:space="preserve">  Mr. Justice Willcock explained that, in his view, the appropriate question at the first stage of the injunction test was "whether there is an arguable case [the plaintiffs] are entitled to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that would justify the issuance of the injunctions sought" (at para. 22). He went on to state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mandatory injunction compelling the Minister of Education to order [SD39-Vancouver] to deal with property in the manner proposed in relation to short-term relief should not be issued if there is no statutory authority for the Minister to make such an order, and therefore no triable issue as to the plaintiff's right to seek that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1150</w:t>
      </w:r>
      <w:r>
        <w:rPr>
          <w:rFonts w:ascii="arial" w:eastAsia="arial" w:hAnsi="arial" w:cs="arial"/>
          <w:color w:val="000000"/>
          <w:sz w:val="20"/>
          <w:lang w:val="en-US" w:eastAsia="en-US" w:bidi="ar-SA"/>
        </w:rPr>
        <w:t xml:space="preserve">  Mr. Justice Willcock considered the jurisdiction of the Minister set out in s. 168(1)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and the Minister's powers under ss. 73, 74, 85 and 96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He accepted the submission by the defendants that the scheme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was such that SD39-Vancouver, like other school boards, holds its property with the powers and capacities of a natural person, and the Minister cannot order school boards to dispose of school property (at paras. 36-37):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the submissions of the Province and [SD39-Vancouver] with respect to the scope of the powers of the Minister of Education under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The scheme of the Act is clearly intended to give plenary powers to the boards, subject to the power of the Minister to intervene in the public interest in relation to certain actions. While the board's powers are described in broad terms, the Minister's powers are specifically enumerated.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no statutory authority that would permit the Minister of Education to order [SD39-Vancouver] to offer to lease the Sexsmith property to the CSF. For that reason, I find there is no triable issue as to the plaintiffs' entitlement to the relief they seek in relation to the Sexsmith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1151</w:t>
      </w:r>
      <w:r>
        <w:rPr>
          <w:rFonts w:ascii="arial" w:eastAsia="arial" w:hAnsi="arial" w:cs="arial"/>
          <w:color w:val="000000"/>
          <w:sz w:val="20"/>
          <w:lang w:val="en-US" w:eastAsia="en-US" w:bidi="ar-SA"/>
        </w:rPr>
        <w:t>  As a result, he concluded that there was no triable issue in relation to the breach of the plaintiffs' claim for an order requiring SD39-Vancouver to dispose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1152</w:t>
      </w:r>
      <w:r>
        <w:rPr>
          <w:rFonts w:ascii="arial" w:eastAsia="arial" w:hAnsi="arial" w:cs="arial"/>
          <w:color w:val="000000"/>
          <w:sz w:val="20"/>
          <w:lang w:val="en-US" w:eastAsia="en-US" w:bidi="ar-SA"/>
        </w:rPr>
        <w:t xml:space="preserve">  I agree with Mr. Justice Willcock's interpretation of the scheme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and following the principles in </w:t>
      </w:r>
      <w:r>
        <w:rPr>
          <w:rFonts w:ascii="arial" w:eastAsia="arial" w:hAnsi="arial" w:cs="arial"/>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at paras. 4-5 and </w:t>
      </w:r>
      <w:r>
        <w:rPr>
          <w:rFonts w:ascii="arial" w:eastAsia="arial" w:hAnsi="arial" w:cs="arial"/>
          <w:i/>
          <w:color w:val="000000"/>
          <w:sz w:val="20"/>
          <w:lang w:val="en-US" w:eastAsia="en-US" w:bidi="ar-SA"/>
        </w:rPr>
        <w:t>Chief Mountain v. British Columbia (Attorney General)</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2011 BCSC 1394</w:t>
        </w:r>
      </w:hyperlink>
      <w:r>
        <w:rPr>
          <w:rFonts w:ascii="arial" w:eastAsia="arial" w:hAnsi="arial" w:cs="arial"/>
          <w:color w:val="000000"/>
          <w:sz w:val="20"/>
          <w:lang w:val="en-US" w:eastAsia="en-US" w:bidi="ar-SA"/>
        </w:rPr>
        <w:t xml:space="preserve"> at paras. 74-104, consider it appropriate to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1153</w:t>
      </w:r>
      <w:r>
        <w:rPr>
          <w:rFonts w:ascii="arial" w:eastAsia="arial" w:hAnsi="arial" w:cs="arial"/>
          <w:color w:val="000000"/>
          <w:sz w:val="20"/>
          <w:lang w:val="en-US" w:eastAsia="en-US" w:bidi="ar-SA"/>
        </w:rPr>
        <w:t xml:space="preserve">  As I see it, the Minister's jurisdiction to make orders is established in s. 168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subject to this Act and the regulations,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charge of the maintenance and management of all Provincial schools established under this Act,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advise the Lieutenant Governor in Council on all matters relating to education in British Columbia,</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designate a member of the public service to act on behalf of the minister, and</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charge fees with respect to any goods or services provided by the minister or the ministry, and may establish different fees for different circumstances.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make orders for the purpose of carrying out any of the minister's powers, duties or functions under this Act and, without restriction, may make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governing the provision of educational programs,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(5), determining the general requirements for graduation from an educational program,</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determining the general nature of educational programs for use in schools and francophone schools and specifying educational program guides,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 process for the assessment of the effectiveness of educational programs and requiring a board or a francophone education authority to cause its schools to participate in the process for the purpose of comparison to provincial, national and international standards,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 process for measuring individual student performance, and requiring a board or a francophone education authority to cause its schools to participate in the process for the purpose of assessing the effectiveness of educational programs,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educational resource materials in support of educational programs,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and causing to be operated Provincial resource programs and Provincial schools in British Columbia,</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a board to close a school if the number of students attending the school falls below 8,</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a francophone education authority to close a francophone school if the number of francophone students falls below 8,</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distributed learning educational programs,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committees and authorizing the payment of expenses to the members of the committees and other advisory bodies established under this Act,</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fees that may be charged by a board or a francophone education authority, and those fees may be different for different circumstances,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designating an educational activity or a category of educational activities for the purposes of section 168.1,</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for the purposes of section 168.1, the amount a student or a child registered under section 13 may be reimbursed, including</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the maximum amount that may be paid,</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a limit on the number of educational activities or categories of educational activities for which reimbursement may be made, and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different amounts and different limits for different educational activities or different categories of educational activities,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the use of student records, and records referred to in paragraph (d) of the definition of "student record", by boards and francophone education authorities,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the circumstances in which persons other than students and francophone students and their parents, and employees of boards and francophone education authorities, must have access to student records,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policies and procedures that are to be followed by boards and francophone education authorities in a tendering process related to a capital expenditure by the board or francophone education authority,</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2012-17-12.]</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the appointment of auditors under section 158 (1) or, in the case of francophone education authorities, under section 166.37,</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accounting, accounting records and financial reports and statements referred to in sections 156 (1), 157 (2) and 157.1,</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the opening and closing of schools under section 73 (1) (a),</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a board assisting in paying the cost of a person attending an educational institution outside of British Columbia under section 83 (b),</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2015-24-30.]</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the appointment, remuneration and duties of a special advisor or special advisory committee,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1) establishing Provincial standards for a code of conduct required under section 85 (1.1),</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varying the dates in section 168.2 (3),</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section 86 (6), designating one or more persons, including a board, who provide procurement, managerial, administrative or other services as a designated service provider, specifying the service with respect to which a person is a designated service provider and specifying one or more boards with respect to which a person is a designated service provider, and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minister otherwise considers advisable to effectively administer this Act or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1154</w:t>
      </w:r>
      <w:r>
        <w:rPr>
          <w:rFonts w:ascii="arial" w:eastAsia="arial" w:hAnsi="arial" w:cs="arial"/>
          <w:color w:val="000000"/>
          <w:sz w:val="20"/>
          <w:lang w:val="en-US" w:eastAsia="en-US" w:bidi="ar-SA"/>
        </w:rPr>
        <w:t xml:space="preserve">  Nothing in that provision gives the Minister the power to make orders requiring school boards to dispose of land. That has not changed since Mr. Justice Willcock made his decision in </w:t>
      </w:r>
      <w:r>
        <w:rPr>
          <w:rFonts w:ascii="arial" w:eastAsia="arial" w:hAnsi="arial" w:cs="arial"/>
          <w:i/>
          <w:color w:val="000000"/>
          <w:sz w:val="20"/>
          <w:lang w:val="en-US" w:eastAsia="en-US" w:bidi="ar-SA"/>
        </w:rPr>
        <w:t>Association des Parents- Injunction Ruling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1155</w:t>
      </w:r>
      <w:r>
        <w:rPr>
          <w:rFonts w:ascii="arial" w:eastAsia="arial" w:hAnsi="arial" w:cs="arial"/>
          <w:color w:val="000000"/>
          <w:sz w:val="20"/>
          <w:lang w:val="en-US" w:eastAsia="en-US" w:bidi="ar-SA"/>
        </w:rPr>
        <w:t xml:space="preserve">  Sections 73, 74, 85 and 96 concern the powers of school boards in connection with the property they own. Due to c. 12 of </w:t>
      </w:r>
      <w:r>
        <w:rPr>
          <w:rFonts w:ascii="arial" w:eastAsia="arial" w:hAnsi="arial" w:cs="arial"/>
          <w:i/>
          <w:color w:val="000000"/>
          <w:sz w:val="20"/>
          <w:lang w:val="en-US" w:eastAsia="en-US" w:bidi="ar-SA"/>
        </w:rPr>
        <w:t>Bill 11</w:t>
      </w:r>
      <w:r>
        <w:rPr>
          <w:rFonts w:ascii="arial" w:eastAsia="arial" w:hAnsi="arial" w:cs="arial"/>
          <w:color w:val="000000"/>
          <w:sz w:val="20"/>
          <w:lang w:val="en-US" w:eastAsia="en-US" w:bidi="ar-SA"/>
        </w:rPr>
        <w:t>, the power of school boards to manage their property in s. 74(1), as amended, is now subject to valid ministerial orders in the same way that school boards' powers to establish and close schools (s. 73) and to acquire and dispose of land and improvements (s. 96(3)) always have been. The stipulation that those powers are "subject to an order by the Minister" does not expand the Minister's jurisdiction to make orders. It simply makes school boards' powers subject to a valid exercise of the Minister's power to issue orders pursuant to s. 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1156</w:t>
      </w:r>
      <w:r>
        <w:rPr>
          <w:rFonts w:ascii="arial" w:eastAsia="arial" w:hAnsi="arial" w:cs="arial"/>
          <w:color w:val="000000"/>
          <w:sz w:val="20"/>
          <w:lang w:val="en-US" w:eastAsia="en-US" w:bidi="ar-SA"/>
        </w:rPr>
        <w:t xml:space="preserve">  In reaching this conclusion, I am supported by the comments of Minister Fassbender in British Columbia, Legislative Assembly, </w:t>
      </w:r>
      <w:r>
        <w:rPr>
          <w:rFonts w:ascii="arial" w:eastAsia="arial" w:hAnsi="arial" w:cs="arial"/>
          <w:i/>
          <w:color w:val="000000"/>
          <w:sz w:val="20"/>
          <w:lang w:val="en-US" w:eastAsia="en-US" w:bidi="ar-SA"/>
        </w:rPr>
        <w:t>Debates of the Legislative Assembly (Hansard)</w:t>
      </w:r>
      <w:r>
        <w:rPr>
          <w:rFonts w:ascii="arial" w:eastAsia="arial" w:hAnsi="arial" w:cs="arial"/>
          <w:color w:val="000000"/>
          <w:sz w:val="20"/>
          <w:lang w:val="en-US" w:eastAsia="en-US" w:bidi="ar-SA"/>
        </w:rPr>
        <w:t>, 40th Parl., 4th Sess., Vol. 26, No. 5 (13 May 2015). In the course of the legislative debate, Minister Peter Fassbender responded to a question from Mr. R. Flemming concerning the rationale for "a section that appears to give the Minister the ability to dispose much more easily of land that is held as an asset by 60 different school boards throughout the province of B.C." (at 8453-8454). Minister Fassbender responded as follows (at 8454):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Hon. P. Fassbender: Indeed, this section - I have had a number of discussions and feedback from school districts.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Let me make it very clear. Currently under the act the minister cannot order a board to dispose of property. That is in the purview of the board, and that does not change in the new act.</w:t>
      </w:r>
      <w:r>
        <w:rPr>
          <w:rFonts w:ascii="arial" w:eastAsia="arial" w:hAnsi="arial" w:cs="arial"/>
          <w:color w:val="000000"/>
          <w:sz w:val="20"/>
          <w:lang w:val="en-US" w:eastAsia="en-US" w:bidi="ar-SA"/>
        </w:rPr>
        <w:t xml:space="preserve"> The words "Management of schools and property" - that's the management of those schools and properties as it relates to any of the services to maintain those properties, to maintain the schools under the shared-services initiative.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 as we move forward in consultation with districts, under the regulations there will be clarity in terms of what that does and does not mean. </w:t>
      </w:r>
      <w:r>
        <w:rPr>
          <w:rFonts w:ascii="arial" w:eastAsia="arial" w:hAnsi="arial" w:cs="arial"/>
          <w:color w:val="000000"/>
          <w:sz w:val="20"/>
          <w:u w:val="single"/>
          <w:lang w:val="en-US" w:eastAsia="en-US" w:bidi="ar-SA"/>
        </w:rPr>
        <w:t>But it is very clear - and I stand here clearly saying - in other sections of the act that the minister will not have increased powers to order boards to dispose of property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1157</w:t>
      </w:r>
      <w:r>
        <w:rPr>
          <w:rFonts w:ascii="arial" w:eastAsia="arial" w:hAnsi="arial" w:cs="arial"/>
          <w:color w:val="000000"/>
          <w:sz w:val="20"/>
          <w:lang w:val="en-US" w:eastAsia="en-US" w:bidi="ar-SA"/>
        </w:rPr>
        <w:t>  Since the Minister has no jurisdiction or authority to order school boards to dispose of property, I will not make declarations requiring the Minister to transfer or otherwise deal with school board property in favour of the CSF. Such a remedy would have no practical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Reporting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1158</w:t>
      </w:r>
      <w:r>
        <w:rPr>
          <w:rFonts w:ascii="arial" w:eastAsia="arial" w:hAnsi="arial" w:cs="arial"/>
          <w:color w:val="000000"/>
          <w:sz w:val="20"/>
          <w:lang w:val="en-US" w:eastAsia="en-US" w:bidi="ar-SA"/>
        </w:rPr>
        <w:t>  The plaintiffs also ask the Court to retain jurisdiction in this matter to do two things: (1) receive periodic reports regarding the defendants' progress in providing the relief ordered by the Court; and (2) make declarations and orders regarding temporary relief. The plaintiffs suggest there is a significant risk the declarations and orders sought would prove ineffective, pointing to what they say is a history of delay by the Province. The plaintiffs are particularly concerned about reporting orders concerning the relief sought in several communities, where they say poor conditions and lengthy delays require it: Vancouver (West), Vancouver (East), Burnaby, Abbotsford, Squamish, Whistler, Pemberton, Sechelt, Penticton, Richmond, Nelson, and Victoria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1159</w:t>
      </w:r>
      <w:r>
        <w:rPr>
          <w:rFonts w:ascii="arial" w:eastAsia="arial" w:hAnsi="arial" w:cs="arial"/>
          <w:color w:val="000000"/>
          <w:sz w:val="20"/>
          <w:lang w:val="en-US" w:eastAsia="en-US" w:bidi="ar-SA"/>
        </w:rPr>
        <w:t xml:space="preserve">  The plaintiffs note several instances of courts retaining jurisdiction in s. 23 and other language rights cases. They rely on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where the trial judge held hearings requiring the defendants to report on the implementation of his remedies. They note that Mr. Justice Willcock retained jurisdiction in </w:t>
      </w:r>
      <w:r>
        <w:rPr>
          <w:rFonts w:ascii="arial" w:eastAsia="arial" w:hAnsi="arial" w:cs="arial"/>
          <w:i/>
          <w:color w:val="000000"/>
          <w:sz w:val="20"/>
          <w:lang w:val="en-US" w:eastAsia="en-US" w:bidi="ar-SA"/>
        </w:rPr>
        <w:t>Association des Parents - BCSC</w:t>
      </w:r>
      <w:r>
        <w:rPr>
          <w:rFonts w:ascii="arial" w:eastAsia="arial" w:hAnsi="arial" w:cs="arial"/>
          <w:color w:val="000000"/>
          <w:sz w:val="20"/>
          <w:lang w:val="en-US" w:eastAsia="en-US" w:bidi="ar-SA"/>
        </w:rPr>
        <w:t xml:space="preserve"> "to hear applications for any further relief that may be sought by the Petitioners arising out of the issues raised by the pleadings" (at para. 161). Mr. Justice Vickers, too, retained jurisdiction: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xml:space="preserve"> at para 54. They also point to </w:t>
      </w:r>
      <w:r>
        <w:rPr>
          <w:rFonts w:ascii="arial" w:eastAsia="arial" w:hAnsi="arial" w:cs="arial"/>
          <w:i/>
          <w:color w:val="000000"/>
          <w:sz w:val="20"/>
          <w:lang w:val="en-US" w:eastAsia="en-US" w:bidi="ar-SA"/>
        </w:rPr>
        <w:t>Lavoie v. Nova Scotia (Attorney General)</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(1988), 47 D.L.R. (4th) 586</w:t>
        </w:r>
      </w:hyperlink>
      <w:r>
        <w:rPr>
          <w:rFonts w:ascii="arial" w:eastAsia="arial" w:hAnsi="arial" w:cs="arial"/>
          <w:color w:val="000000"/>
          <w:sz w:val="20"/>
          <w:lang w:val="en-US" w:eastAsia="en-US" w:bidi="ar-SA"/>
        </w:rPr>
        <w:t xml:space="preserve">, 84 N.S.R. (2d) 387 (NSSC(TD)) at 593-95; </w:t>
      </w:r>
      <w:r>
        <w:rPr>
          <w:rFonts w:ascii="arial" w:eastAsia="arial" w:hAnsi="arial" w:cs="arial"/>
          <w:i/>
          <w:color w:val="000000"/>
          <w:sz w:val="20"/>
          <w:lang w:val="en-US" w:eastAsia="en-US" w:bidi="ar-SA"/>
        </w:rPr>
        <w:t>La Société des Acadiens du Nouveau-Brunswick Inc. v. Minority Language School Board No. 50</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(1983), 48 N.B.R. (2d) 361</w:t>
        </w:r>
      </w:hyperlink>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[1983] A.N.-B. no 245</w:t>
        </w:r>
      </w:hyperlink>
      <w:r>
        <w:rPr>
          <w:rFonts w:ascii="arial" w:eastAsia="arial" w:hAnsi="arial" w:cs="arial"/>
          <w:color w:val="000000"/>
          <w:sz w:val="20"/>
          <w:lang w:val="en-US" w:eastAsia="en-US" w:bidi="ar-SA"/>
        </w:rPr>
        <w:t xml:space="preserve"> (QL) (QB)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1160</w:t>
      </w:r>
      <w:r>
        <w:rPr>
          <w:rFonts w:ascii="arial" w:eastAsia="arial" w:hAnsi="arial" w:cs="arial"/>
          <w:color w:val="000000"/>
          <w:sz w:val="20"/>
          <w:lang w:val="en-US" w:eastAsia="en-US" w:bidi="ar-SA"/>
        </w:rPr>
        <w:t xml:space="preserve">  The plaintiffs also refer to </w:t>
      </w:r>
      <w:r>
        <w:rPr>
          <w:rFonts w:ascii="arial" w:eastAsia="arial" w:hAnsi="arial" w:cs="arial"/>
          <w:i/>
          <w:color w:val="000000"/>
          <w:sz w:val="20"/>
          <w:lang w:val="en-US" w:eastAsia="en-US" w:bidi="ar-SA"/>
        </w:rPr>
        <w:t>Reference re Manitoba Language Rights</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[1985] 1 S.C.R. 721</w:t>
        </w:r>
      </w:hyperlink>
      <w:r>
        <w:rPr>
          <w:rFonts w:ascii="arial" w:eastAsia="arial" w:hAnsi="arial" w:cs="arial"/>
          <w:color w:val="000000"/>
          <w:sz w:val="20"/>
          <w:lang w:val="en-US" w:eastAsia="en-US" w:bidi="ar-SA"/>
        </w:rPr>
        <w:t xml:space="preserve"> at 780 and the orders made thereunder: </w:t>
      </w:r>
      <w:r>
        <w:rPr>
          <w:rFonts w:ascii="arial" w:eastAsia="arial" w:hAnsi="arial" w:cs="arial"/>
          <w:i/>
          <w:color w:val="000000"/>
          <w:sz w:val="20"/>
          <w:lang w:val="en-US" w:eastAsia="en-US" w:bidi="ar-SA"/>
        </w:rPr>
        <w:t>Re Manitoba Language Rights Order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[1985] 2 S.C.R. 347</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Re Manitoba Language Rights Order</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[1990] 3 S.C.R. 1417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Reference re Manitoba Language Rights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212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Order</w:t>
      </w:r>
      <w:r>
        <w:rPr>
          <w:rFonts w:ascii="arial" w:eastAsia="arial" w:hAnsi="arial" w:cs="arial"/>
          <w:color w:val="000000"/>
          <w:sz w:val="20"/>
          <w:lang w:val="en-US" w:eastAsia="en-US" w:bidi="ar-SA"/>
        </w:rPr>
        <w:t xml:space="preserve">]. There, the Court retained jurisdiction during a temporary suspension of a declaration of validity that had been put in place to allow Manitoba to translate its laws. The Court made several orders continuing the period of validity of laws pending their translation. In the </w:t>
      </w:r>
      <w:r>
        <w:rPr>
          <w:rFonts w:ascii="arial" w:eastAsia="arial" w:hAnsi="arial" w:cs="arial"/>
          <w:i/>
          <w:color w:val="000000"/>
          <w:sz w:val="20"/>
          <w:lang w:val="en-US" w:eastAsia="en-US" w:bidi="ar-SA"/>
        </w:rPr>
        <w:t>1992 Order</w:t>
      </w:r>
      <w:r>
        <w:rPr>
          <w:rFonts w:ascii="arial" w:eastAsia="arial" w:hAnsi="arial" w:cs="arial"/>
          <w:color w:val="000000"/>
          <w:sz w:val="20"/>
          <w:lang w:val="en-US" w:eastAsia="en-US" w:bidi="ar-SA"/>
        </w:rPr>
        <w:t>, the Court went further and addressed whether certain government documents also had to be translated.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1161</w:t>
      </w:r>
      <w:r>
        <w:rPr>
          <w:rFonts w:ascii="arial" w:eastAsia="arial" w:hAnsi="arial" w:cs="arial"/>
          <w:color w:val="000000"/>
          <w:sz w:val="20"/>
          <w:lang w:val="en-US" w:eastAsia="en-US" w:bidi="ar-SA"/>
        </w:rPr>
        <w:t xml:space="preserve">  The plaintiffs also suggest there is precedent for reporting orders in the field of human rights law: </w:t>
      </w:r>
      <w:r>
        <w:rPr>
          <w:rFonts w:ascii="arial" w:eastAsia="arial" w:hAnsi="arial" w:cs="arial"/>
          <w:i/>
          <w:color w:val="000000"/>
          <w:sz w:val="20"/>
          <w:lang w:val="en-US" w:eastAsia="en-US" w:bidi="ar-SA"/>
        </w:rPr>
        <w:t>Lepofsky v. TTC</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2007 HRTO 23</w:t>
        </w:r>
      </w:hyperlink>
      <w:r>
        <w:rPr>
          <w:rFonts w:ascii="arial" w:eastAsia="arial" w:hAnsi="arial" w:cs="arial"/>
          <w:color w:val="000000"/>
          <w:sz w:val="20"/>
          <w:lang w:val="en-US" w:eastAsia="en-US" w:bidi="ar-SA"/>
        </w:rPr>
        <w:t xml:space="preserve"> at paras. 12-14 (where the tribunal remained seized of a matter pending a decision on what remedies would be required of the Respondent); </w:t>
      </w:r>
      <w:r>
        <w:rPr>
          <w:rFonts w:ascii="arial" w:eastAsia="arial" w:hAnsi="arial" w:cs="arial"/>
          <w:i/>
          <w:color w:val="000000"/>
          <w:sz w:val="20"/>
          <w:lang w:val="en-US" w:eastAsia="en-US" w:bidi="ar-SA"/>
        </w:rPr>
        <w:t>Hughes v. Elections Canada</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2010 CHRT 4</w:t>
        </w:r>
      </w:hyperlink>
      <w:r>
        <w:rPr>
          <w:rFonts w:ascii="arial" w:eastAsia="arial" w:hAnsi="arial" w:cs="arial"/>
          <w:color w:val="000000"/>
          <w:sz w:val="20"/>
          <w:lang w:val="en-US" w:eastAsia="en-US" w:bidi="ar-SA"/>
        </w:rPr>
        <w:t xml:space="preserve"> at para. 99 (in that case this was done on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1162</w:t>
      </w:r>
      <w:r>
        <w:rPr>
          <w:rFonts w:ascii="arial" w:eastAsia="arial" w:hAnsi="arial" w:cs="arial"/>
          <w:color w:val="000000"/>
          <w:sz w:val="20"/>
          <w:lang w:val="en-US" w:eastAsia="en-US" w:bidi="ar-SA"/>
        </w:rPr>
        <w:t xml:space="preserve">  The plaintiffs take the position the reporting orders they seek meet the test for appropriate remedies set out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In their submission, it is consistent with our constitutional democracy, and fair to both parties. They say that it is the best way to ensure that s. 23 violations are remedied without delay, while allowing the defendants some flexibility with respect to the modalities of implementation.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1163</w:t>
      </w:r>
      <w:r>
        <w:rPr>
          <w:rFonts w:ascii="arial" w:eastAsia="arial" w:hAnsi="arial" w:cs="arial"/>
          <w:color w:val="000000"/>
          <w:sz w:val="20"/>
          <w:lang w:val="en-US" w:eastAsia="en-US" w:bidi="ar-SA"/>
        </w:rPr>
        <w:t xml:space="preserve">  The defendants suggest that a reporting order is unnecessary in this case. They suggest that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involved special circumstances: a longstanding, admitted violation of s. 23 that had gone unaddressed for many years. The defendants say any unjustified infringement of s. 23 in this case will be newly declared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1164</w:t>
      </w:r>
      <w:r>
        <w:rPr>
          <w:rFonts w:ascii="arial" w:eastAsia="arial" w:hAnsi="arial" w:cs="arial"/>
          <w:color w:val="000000"/>
          <w:sz w:val="20"/>
          <w:lang w:val="en-US" w:eastAsia="en-US" w:bidi="ar-SA"/>
        </w:rPr>
        <w:t>  The defendants also take the position that it is unnecessary for the Court to retain jurisdiction as it is always open to the parties to return to court to seek enforcement of any orders granted in this matter. In their submission, there is great cost associated with this litigation, and it would be disproportionately expensive for the parties to return to court on a regular basis to report on the process of implementing whatever orders this Court grants.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1165</w:t>
      </w:r>
      <w:r>
        <w:rPr>
          <w:rFonts w:ascii="arial" w:eastAsia="arial" w:hAnsi="arial" w:cs="arial"/>
          <w:color w:val="000000"/>
          <w:sz w:val="20"/>
          <w:lang w:val="en-US" w:eastAsia="en-US" w:bidi="ar-SA"/>
        </w:rPr>
        <w:t xml:space="preserve">  The plaintiffs primarily rely on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Doucet-Boudreau et al. v. Nova Scotia (Minister of Education)</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(2000), 185 N.S.R. (2d) 246</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[2000] N.S.J. No. 191</w:t>
        </w:r>
      </w:hyperlink>
      <w:r>
        <w:rPr>
          <w:rFonts w:ascii="arial" w:eastAsia="arial" w:hAnsi="arial" w:cs="arial"/>
          <w:color w:val="000000"/>
          <w:sz w:val="20"/>
          <w:lang w:val="en-US" w:eastAsia="en-US" w:bidi="ar-SA"/>
        </w:rPr>
        <w:t xml:space="preserve"> (QL) (SC), the trial judge acceded to the agreement between the parties that the court retain jurisdiction. The trial judge scheduled a further appearance at which time the respondents would report on the status of their efforts (at para. 245). The Court of Appeal for Nova Scotia described the procedure this way in </w:t>
      </w:r>
      <w:r>
        <w:rPr>
          <w:rFonts w:ascii="arial" w:eastAsia="arial" w:hAnsi="arial" w:cs="arial"/>
          <w:i/>
          <w:color w:val="000000"/>
          <w:sz w:val="20"/>
          <w:lang w:val="en-US" w:eastAsia="en-US" w:bidi="ar-SA"/>
        </w:rPr>
        <w:t>Doucet-Boudreau et al. v. Nova Scotia (Minister of Education)</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2001 NSCA 104</w:t>
        </w:r>
      </w:hyperlink>
      <w:r>
        <w:rPr>
          <w:rFonts w:ascii="arial" w:eastAsia="arial" w:hAnsi="arial" w:cs="arial"/>
          <w:color w:val="000000"/>
          <w:sz w:val="20"/>
          <w:lang w:val="en-US" w:eastAsia="en-US" w:bidi="ar-SA"/>
        </w:rPr>
        <w:t>, noting the appellants did not agree to the precise format the reporting sessions took (at paras.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instructive to review, briefly, what took place at the subsequent "reporting sessions" before the trial judge. I refer to these subsequent appearances before the trial judge as "reporting sessions" because that is what they were. They were not fresh proceedings instituted by the application of any party seeking relief. Three such sessions took place between the date of the trial judge's decision (June 15, 2000) and the date of the order giving effect to that decision (December 14, 2000); namely, on July 27, 2000; August 9, 2000 and October 23, 2000. A fourth session was held on March 23, 2001. At least one further reporting session is to be held on August 10,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each reporting session the trial judge directed the Province to file an affidavit from the appropriate official at the Department of Education setting out the department's progress in complying with the trial judge's decision. The trial judge permitted the respondents and CSAP to cross-examine the government official on his affidavits. He also permitted the respondents and CSAP to adduce evidence, including rebuttal evidence. All of this was done without any application seeking particular relief, and, therefore, there was nothing to define the parameters of the reporting session. Further, all this was done over the objections of counsel for the appellant claiming that the trial judge had no jurisdiction to conduct these reporting sessions, that the trial judge was functus officio, that there was no fresh proceeding before him, and that the trial judge was powerless to make any order without such fresh proceedings. The trial judge rejected the objections of counsel for the appellant. It was only at the most recent reporting session (March 23, 2001) that the trial judge appears to concede that he is powerless to make any order with respect to any matter arising out of these reporting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the five-judge majority opinion authored by Iacobucci and Arbour JJ. held that the reporting orders made by the trial judge were appropriate and just remedies pursuant to s. 24(1). They noted that the trial judge had found "serious rates of assimilation and a history of delay in the provision of French-language education", and ordered reporting hearings to identify difficulties with timely implementation, instead of requiring fresh applications when it appeared a party was not exercising best efforts to comply with a decision (at para. 60). The majority held that the order was "a creative blending of remedies and processes already known to the courts in order to give life to the right in s. 23" without requiring significant time and resources from parents to bring fresh applications (at para. 61). Thus, the majority found that the orders meaningfully vindicated the rights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1167</w:t>
      </w:r>
      <w:r>
        <w:rPr>
          <w:rFonts w:ascii="arial" w:eastAsia="arial" w:hAnsi="arial" w:cs="arial"/>
          <w:color w:val="000000"/>
          <w:sz w:val="20"/>
          <w:lang w:val="en-US" w:eastAsia="en-US" w:bidi="ar-SA"/>
        </w:rPr>
        <w:t>  The majority was also satisfied the reporting order respected the framework of the constitutional democracy. They observed that the trial judge "took into account, and did not depart unduly or unnecessarily from, the role of courts" by building into his orders a "best efforts" requirement that allowed the government some flexibility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1168</w:t>
      </w:r>
      <w:r>
        <w:rPr>
          <w:rFonts w:ascii="arial" w:eastAsia="arial" w:hAnsi="arial" w:cs="arial"/>
          <w:color w:val="000000"/>
          <w:sz w:val="20"/>
          <w:lang w:val="en-US" w:eastAsia="en-US" w:bidi="ar-SA"/>
        </w:rPr>
        <w:t>  With connection with the principle that a s. 24(1) remedy should call on the function and powers of a court, the majority considered that the order was a judicial one, as courts order remedies involving their continuing involvement in other instances, particularly in the courts of equity (at paras. 71-72). The majority also considered the means chosen to be fair, rejecting an argument that the reporting order was vaguely worded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1169</w:t>
      </w:r>
      <w:r>
        <w:rPr>
          <w:rFonts w:ascii="arial" w:eastAsia="arial" w:hAnsi="arial" w:cs="arial"/>
          <w:color w:val="000000"/>
          <w:sz w:val="20"/>
          <w:lang w:val="en-US" w:eastAsia="en-US" w:bidi="ar-SA"/>
        </w:rPr>
        <w:t>  In affirming the trial judge's reporting order, the majority placed importance on the trial judge's findings concerning the behaviour of the government. The Court considered that it had been "clear to and accepted by the parties from the start that the government was required to provide the homogeneous French-language facilities at issue", and that the trial judge had concluded the government had failed to prioritize s. 23 in the face of rapid assimilation (at paras. 63, 65). They expressed concern that the dissenting opinion inappropriately interfered with those findings of fact (at paras. 64-65).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1170</w:t>
      </w:r>
      <w:r>
        <w:rPr>
          <w:rFonts w:ascii="arial" w:eastAsia="arial" w:hAnsi="arial" w:cs="arial"/>
          <w:color w:val="000000"/>
          <w:sz w:val="20"/>
          <w:lang w:val="en-US" w:eastAsia="en-US" w:bidi="ar-SA"/>
        </w:rPr>
        <w:t xml:space="preserve">  In the four-member dissenting opinion, LeBel and Deschamps JJ. found the reporting order was not an appropriate remedy in the circumstances. They concluded that a court purporting to retain jurisdiction after a final order would be acting inappropriately by breaching the principle of separation of powers and the doctrine of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1171</w:t>
      </w:r>
      <w:r>
        <w:rPr>
          <w:rFonts w:ascii="arial" w:eastAsia="arial" w:hAnsi="arial" w:cs="arial"/>
          <w:color w:val="000000"/>
          <w:sz w:val="20"/>
          <w:lang w:val="en-US" w:eastAsia="en-US" w:bidi="ar-SA"/>
        </w:rPr>
        <w:t>  The comments in the dissenting opinion concerning the separation of powers are apposite here. Deschamps and LeBel JJ. explained that the appropriate role of the Court is to interpret and declare the law and provide remedies for infringements. Courts should exercise restraint beyond those functions because governments have a tradition of complying with judicial interpretations and court orders (at para. 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are called upon to play a fundamental role in the Canadian constitutional regime. When needed, they must be assertive in enforcing constitutional rights. At times, they have to grant such relief as will be required to safeguard basic constitutional rights and the rule of law, despite the sensitivity of certain issues or circumstances and the reverberations of their decisions in their societal environment. Despite - or, perhaps, because of - the critical importance of their functions, courts should be wary of going beyond the proper scope of the role assigned to them in the public law of Canada. In essence, this role is to declare what the law is, contribute to its development and to give claimants such relief in the form of declarations, interpretation and orders as will be needed to remedy infringements of constitutional and legal rights by public authorities. Beyond these functions, an attitude of restraint remains all the more justified, given that, as the majority reasons acknowledge, Canada has maintained a tradition of compliance by governments and public servants with judicial interpretations of the law and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1172</w:t>
      </w:r>
      <w:r>
        <w:rPr>
          <w:rFonts w:ascii="arial" w:eastAsia="arial" w:hAnsi="arial" w:cs="arial"/>
          <w:color w:val="000000"/>
          <w:sz w:val="20"/>
          <w:lang w:val="en-US" w:eastAsia="en-US" w:bidi="ar-SA"/>
        </w:rPr>
        <w:t>  The dissenting opinion emphasizes the importance of the courts generally avoiding interfering in the management of public administration outside their duties on judicial review (at para. 110). This, Lebel and Deschamps JJ. opined, was particularly so after courts had rendered judgment, when courts should assume that governments will execute judgments and orders with reasonable diligence and good faith (at para.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1173</w:t>
      </w:r>
      <w:r>
        <w:rPr>
          <w:rFonts w:ascii="arial" w:eastAsia="arial" w:hAnsi="arial" w:cs="arial"/>
          <w:color w:val="000000"/>
          <w:sz w:val="20"/>
          <w:lang w:val="en-US" w:eastAsia="en-US" w:bidi="ar-SA"/>
        </w:rPr>
        <w:t xml:space="preserve">  Applying that principle and the principle of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xml:space="preserve"> to the situation, the minority found that the trial judge breached the principle of separation of powers by assuming a supervisory role over administrative functions that properly lie in the sphere of the executive, and are beyond the capacities of courts (at para. 120). The trial judge would have also "undermined the norm of co-operation and mutual respect that not only describes the relationship between the various actors in the constitutional order, but defines its particularly Canadian nature, and invests each branch with legitimacy" (at paras.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1174</w:t>
      </w:r>
      <w:r>
        <w:rPr>
          <w:rFonts w:ascii="arial" w:eastAsia="arial" w:hAnsi="arial" w:cs="arial"/>
          <w:color w:val="000000"/>
          <w:sz w:val="20"/>
          <w:lang w:val="en-US" w:eastAsia="en-US" w:bidi="ar-SA"/>
        </w:rPr>
        <w:t>  The dissenting opinion also left it open that it might be appropriate for a court to order a remedy that breached the separation of powers principle in some circumstances. Lebel and Deschamps JJ. wrote that it might be argued that it is appropriate to breach the principle where necessary to vindicate rights or if the government had ignored less intrusive judicial measures; however, they found that the case did not give rise to either of those arguments (at para. 135). They found that alternative remedies were available to vindicate rights, and that the evidence did not reveal that the defendants had failed to comply with previous court orders (at paras. 136-137, 139-140):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Turning to the first argument, if the hearings were aimed at ensuring the vindication of the claimants' rights by providing them with the opportunity to enforce or alter the remedy, there were alternatives available. If the claimants felt that the government was not complying with any part of the order, then they could have brought an application for contempt. The majority seems to suggest that contempt proceedings would have been less effective in this case in ensuring timely performance of the order, without being any more respectful of the separation of powers. However, we would note that expedited applications are possible in Nova Scotia and other jurisdictions to deal with cases quickly and efficiently. In addition, the reporting order at issue in this case precluded applying to any other judge for relief and was, in this way, even more limiting than a contempt proceeding. Most importantly, contempt proceedings are more consistent with our adversarial system, which is based on the common law norm of giving the parties primary control over the proceedings (see J. I. H. Jacob, </w:t>
      </w:r>
      <w:r>
        <w:rPr>
          <w:rFonts w:ascii="arial" w:eastAsia="arial" w:hAnsi="arial" w:cs="arial"/>
          <w:i/>
          <w:color w:val="000000"/>
          <w:sz w:val="20"/>
          <w:lang w:val="en-US" w:eastAsia="en-US" w:bidi="ar-SA"/>
        </w:rPr>
        <w:t>The Fabric of English Civil Justice</w:t>
      </w:r>
      <w:r>
        <w:rPr>
          <w:rFonts w:ascii="arial" w:eastAsia="arial" w:hAnsi="arial" w:cs="arial"/>
          <w:color w:val="000000"/>
          <w:sz w:val="20"/>
          <w:lang w:val="en-US" w:eastAsia="en-US" w:bidi="ar-SA"/>
        </w:rPr>
        <w:t xml:space="preserve"> (1987), at p. 13). In contrast, the present order for reporting sessions placed the trial judge in an inappropriate, ongoing supervisory and investigative role despite the availability of the equally effective, well-established, and minimally intrusive alternative of contempt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it is clear that the order for reporting hearings was not the only means of vindicating the claimants' rights, and that recourse to a readily available alternative would have been consistent with a defining feature of our legal system. Recourse to this alternative would not have resulted in an interpretation of the court's remedial powers that was so broad as to purport to endow the court with powers that it was "never intended to exercise" (</w:t>
      </w:r>
      <w:r>
        <w:rPr>
          <w:rFonts w:ascii="arial" w:eastAsia="arial" w:hAnsi="arial" w:cs="arial"/>
          <w:i/>
          <w:color w:val="000000"/>
          <w:sz w:val="20"/>
          <w:lang w:val="en-US" w:eastAsia="en-US" w:bidi="ar-SA"/>
        </w:rPr>
        <w:t xml:space="preserve">Dunedin, </w:t>
      </w:r>
      <w:hyperlink r:id="rId385" w:history="1">
        <w:r>
          <w:rPr>
            <w:rFonts w:ascii="arial" w:eastAsia="arial" w:hAnsi="arial" w:cs="arial"/>
            <w:i/>
            <w:color w:val="0077CC"/>
            <w:sz w:val="20"/>
            <w:u w:val="single"/>
            <w:shd w:val="clear" w:color="auto" w:fill="FFFFFF"/>
            <w:lang w:val="en-US" w:eastAsia="en-US" w:bidi="ar-SA"/>
          </w:rPr>
          <w:t>[2001] 3 S.C.R. 575</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para. 22). It is important to stress that in the present case, it is not clear that actual recourse to a contempt application would have been necessary. The point is simply that if judicial enforcement of the deadlines in question were necessary, recourse to this alternative would not have overextended the court's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argument is simply not applicable in this case. The facts here do not require us to decide whether previous government non-compliance can ever justify remedial orders that breach principles of procedural fairness and the separation of powers. The Government of Nova Scotia did not refuse to comply with either a prior remedial order or a declaration with respect to its particular obligations in the fact-situation at hand. No such order was made and it is impossible to determine whether the government would have responded in the present case to either a declaration of rights, or the injunction to meet the deadline as these measures were combined with the order purporting to retain jurisdiction to oversee the reporting sessions. Therefore, it cannot be asserted that the trial judge's order has succeeded where less intrusive remedial measures failed.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what was required by the Government of Nova Scotia to comply with its obligations pursuant to s. 23 was not self-evident at trial. The trial judge was not faced with a government which was cognizant of how it should fulfill its obligations, but refused to do so. Indeed, at issue before the trial judge was precisely the question of what compliance with s. 23 involved. The present order, therefore, did not overcome governmental recalcitrance in the face of a clear understanding of what s. 23 required in the circumstances of the case. Remedies must be chosen in light of the nature and structure of the Canadian constitutional order, an important feature of which is the presumption of co-operation between the branches of government. Therefore, unless it is established that this constitutional balance has been upset by the executive's clear defiance of a directly applicable judicial order, increased judicial intervention in public administration will rarely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1175</w:t>
      </w:r>
      <w:r>
        <w:rPr>
          <w:rFonts w:ascii="arial" w:eastAsia="arial" w:hAnsi="arial" w:cs="arial"/>
          <w:color w:val="000000"/>
          <w:sz w:val="20"/>
          <w:lang w:val="en-US" w:eastAsia="en-US" w:bidi="ar-SA"/>
        </w:rPr>
        <w:t>  Reading the majority and the dissenting opinions together, it appears as though reporting orders may be appropriate in some circumstances. The majority found that the trial judge's reporting order was appropriate due to the nature of the breach in that case, particularly evidence that the government had willfully delayed implementing s. 23 in the face of known, rapid assimilation. The dissenting opinion did not disagree that it might be appropriate to implement such an order in an instance where it appeared that the government was likely not to comply with a declaration. The difference between the two opinions, regarding the separation of powers principle and how it applied to the case, appears to arise out of their view of the trial judge's findings of fact, and whether there was government conduct to justify finding that the orders were necessary to ensure compliance with the court's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1176</w:t>
      </w:r>
      <w:r>
        <w:rPr>
          <w:rFonts w:ascii="arial" w:eastAsia="arial" w:hAnsi="arial" w:cs="arial"/>
          <w:color w:val="000000"/>
          <w:sz w:val="20"/>
          <w:lang w:val="en-US" w:eastAsia="en-US" w:bidi="ar-SA"/>
        </w:rPr>
        <w:t>  In my view, though, the decision does not stand for the proposition that such orders are appropriate in all s. 23 cases. The principles surrounding separation of powers explained in the dissenting opinion are important and valid ones. Canadian tradition is that governments will comply with declarations of constitutional rights. Courts must exercise caution not to stray into the role of the executive and the legislature except in those instances where it is necessary to ensure vindication of rights, or where there is reason to believe that the government will not comply with an order expeditiously.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1177</w:t>
      </w:r>
      <w:r>
        <w:rPr>
          <w:rFonts w:ascii="arial" w:eastAsia="arial" w:hAnsi="arial" w:cs="arial"/>
          <w:color w:val="000000"/>
          <w:sz w:val="20"/>
          <w:lang w:val="en-US" w:eastAsia="en-US" w:bidi="ar-SA"/>
        </w:rPr>
        <w:t xml:space="preserve">  This echoes the conclusion that </w:t>
      </w:r>
      <w:r>
        <w:rPr>
          <w:rFonts w:ascii="arial" w:eastAsia="arial" w:hAnsi="arial" w:cs="arial"/>
          <w:i/>
          <w:color w:val="000000"/>
          <w:sz w:val="20"/>
          <w:lang w:val="en-US" w:eastAsia="en-US" w:bidi="ar-SA"/>
        </w:rPr>
        <w:t>Hogg</w:t>
      </w:r>
      <w:r>
        <w:rPr>
          <w:rFonts w:ascii="arial" w:eastAsia="arial" w:hAnsi="arial" w:cs="arial"/>
          <w:color w:val="000000"/>
          <w:sz w:val="20"/>
          <w:lang w:val="en-US" w:eastAsia="en-US" w:bidi="ar-SA"/>
        </w:rPr>
        <w:t xml:space="preserve"> reaches concerning the appropriateness of reporting orders. After expressing approval for the dissenting view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he suggests that "[a] supervisory order should be a remedy of last resort, to be employed only against governments who have refused to carry out their constitutional responsibilities", in part because the courts cannot easily be apprised of all the considerations required to evaluate progress in the development of a school building (at 40-46).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1178</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Association des Parents-SCC</w:t>
      </w:r>
      <w:r>
        <w:rPr>
          <w:rFonts w:ascii="arial" w:eastAsia="arial" w:hAnsi="arial" w:cs="arial"/>
          <w:color w:val="000000"/>
          <w:sz w:val="20"/>
          <w:lang w:val="en-US" w:eastAsia="en-US" w:bidi="ar-SA"/>
        </w:rPr>
        <w:t xml:space="preserve"> the Court emphasized the tradition of state actors taking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declarations seriously, and considerations related to the proper role of the court in relation to the executive. There, the court affirmed that it is best left to minority language school boards and the government to work out between themselves the best manner of achieving s. 23 rights, without deep participation by courts in operational questions around school construction (at paras. 65,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That said, there is a tradition in Canada of state actors taking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declarations seriously</w:t>
      </w:r>
      <w:r>
        <w:rPr>
          <w:rFonts w:ascii="arial" w:eastAsia="arial" w:hAnsi="arial" w:cs="arial"/>
          <w:color w:val="000000"/>
          <w:sz w:val="20"/>
          <w:lang w:val="en-US" w:eastAsia="en-US" w:bidi="ar-SA"/>
        </w:rPr>
        <w:t xml:space="preserve">: see, e.g., P. W. Hogg, </w:t>
      </w:r>
      <w:r>
        <w:rPr>
          <w:rFonts w:ascii="arial" w:eastAsia="arial" w:hAnsi="arial" w:cs="arial"/>
          <w:i/>
          <w:color w:val="000000"/>
          <w:sz w:val="20"/>
          <w:lang w:val="en-US" w:eastAsia="en-US" w:bidi="ar-SA"/>
        </w:rPr>
        <w:t>Constitutional Law of Canada</w:t>
      </w:r>
      <w:r>
        <w:rPr>
          <w:rFonts w:ascii="arial" w:eastAsia="arial" w:hAnsi="arial" w:cs="arial"/>
          <w:color w:val="000000"/>
          <w:sz w:val="20"/>
          <w:lang w:val="en-US" w:eastAsia="en-US" w:bidi="ar-SA"/>
        </w:rPr>
        <w:t xml:space="preserve"> (5th ed. Supp.), at p. 40-37. As this Court noted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"[t]he assumption underlying this choice of remedy is that governments will comply with the declaration promptly and fully" (para. 62). </w:t>
      </w:r>
      <w:r>
        <w:rPr>
          <w:rFonts w:ascii="arial" w:eastAsia="arial" w:hAnsi="arial" w:cs="arial"/>
          <w:color w:val="000000"/>
          <w:sz w:val="20"/>
          <w:u w:val="single"/>
          <w:lang w:val="en-US" w:eastAsia="en-US" w:bidi="ar-SA"/>
        </w:rPr>
        <w:t>Indeed, this represents one reason why courts often choose to issue declarations in the context of s. 23</w:t>
      </w:r>
      <w:r>
        <w:rPr>
          <w:rFonts w:ascii="arial" w:eastAsia="arial" w:hAnsi="arial" w:cs="arial"/>
          <w:color w:val="000000"/>
          <w:sz w:val="20"/>
          <w:lang w:val="en-US" w:eastAsia="en-US" w:bidi="ar-SA"/>
        </w:rPr>
        <w:t xml:space="preserve"> (M. Doucet, "L'article 23 de la </w:t>
      </w:r>
      <w:r>
        <w:rPr>
          <w:rFonts w:ascii="arial" w:eastAsia="arial" w:hAnsi="arial" w:cs="arial"/>
          <w:i/>
          <w:color w:val="000000"/>
          <w:sz w:val="20"/>
          <w:lang w:val="en-US" w:eastAsia="en-US" w:bidi="ar-SA"/>
        </w:rPr>
        <w:t>Charte canadienne des droits et libertés</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(2013), 62 S.C.L.R. (2d) 421</w:t>
        </w:r>
      </w:hyperlink>
      <w:r>
        <w:rPr>
          <w:rFonts w:ascii="arial" w:eastAsia="arial" w:hAnsi="arial" w:cs="arial"/>
          <w:color w:val="000000"/>
          <w:sz w:val="20"/>
          <w:lang w:val="en-US" w:eastAsia="en-US" w:bidi="ar-SA"/>
        </w:rPr>
        <w:t>, at pp. 462-63).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declaratory relief granted by the judge at the conclusion of the first phase of litigation defers to the parties, allowing them to determine among themselves the best course of action to remedy the lack of equivalence (see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pp. 392-93). </w:t>
      </w:r>
      <w:r>
        <w:rPr>
          <w:rFonts w:ascii="arial" w:eastAsia="arial" w:hAnsi="arial" w:cs="arial"/>
          <w:color w:val="000000"/>
          <w:sz w:val="20"/>
          <w:u w:val="single"/>
          <w:lang w:val="en-US" w:eastAsia="en-US" w:bidi="ar-SA"/>
        </w:rPr>
        <w:t>To the extent that there are disputes between a provincial ministry of education and a minority language school board over how best to ensure compliance with the requirements of s. 23, these disputes should be worked out between those parties whenever possible.</w:t>
      </w:r>
      <w:r>
        <w:rPr>
          <w:rFonts w:ascii="arial" w:eastAsia="arial" w:hAnsi="arial" w:cs="arial"/>
          <w:color w:val="000000"/>
          <w:sz w:val="20"/>
          <w:lang w:val="en-US" w:eastAsia="en-US" w:bidi="ar-SA"/>
        </w:rPr>
        <w:t xml:space="preserve"> While parents may have representation on school boards, and thus have a degree of input over school board priorities, school boards are also governmental actors. </w:t>
      </w:r>
      <w:r>
        <w:rPr>
          <w:rFonts w:ascii="arial" w:eastAsia="arial" w:hAnsi="arial" w:cs="arial"/>
          <w:color w:val="000000"/>
          <w:sz w:val="20"/>
          <w:u w:val="single"/>
          <w:lang w:val="en-US" w:eastAsia="en-US" w:bidi="ar-SA"/>
        </w:rPr>
        <w:t xml:space="preserve">It does not play to the institutional strength of courts to have judges participate deeply in operational questions, such as detailed decisions surrounding the construction of a new school facility. In the face of competing resource demands and the imperfect realities of day-to-day management of an education system, s. 23 of the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requires good faith on the part of all interested parties to ensure substantive equivalence for rights holders.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1179</w:t>
      </w:r>
      <w:r>
        <w:rPr>
          <w:rFonts w:ascii="arial" w:eastAsia="arial" w:hAnsi="arial" w:cs="arial"/>
          <w:color w:val="000000"/>
          <w:sz w:val="20"/>
          <w:lang w:val="en-US" w:eastAsia="en-US" w:bidi="ar-SA"/>
        </w:rPr>
        <w:t xml:space="preserve">  Taking into account the totality of the evidence in this case, I am unable to conclude that the context makes a reporting order necessary or appropriate. This is not a case like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where the government has accepted that a school is necessary and willfully delayed building a new school. To the contrary, there are minority language schools to serve the students living in all the claim areas. Even students from Burnaby and Abbotsford, where there are no schools in the communities themselves, have access to reasonably proximate schools by way of transportation. Moreover, I am not persuaded that a lack of minority language schools is contributing to the high rate of assimilation in British Columbia, or that they will slow its strong pull.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1180</w:t>
      </w:r>
      <w:r>
        <w:rPr>
          <w:rFonts w:ascii="arial" w:eastAsia="arial" w:hAnsi="arial" w:cs="arial"/>
          <w:color w:val="000000"/>
          <w:sz w:val="20"/>
          <w:lang w:val="en-US" w:eastAsia="en-US" w:bidi="ar-SA"/>
        </w:rPr>
        <w:t>  I do not find evidence of inappropriate delay by the province implementing s. 23 in any communities. Rather, it is appropriate in this case to presume that the government will act expeditiously to comply with any declarations that I may grant. It would go beyond the competencies of this court to delve into the intricacies of school planning by way of reporting conferences. Against that back drop, and given that the parties may always return to court by way of application, I find that a reporting order is not appropriate or just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Expanded Admissions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1181</w:t>
      </w:r>
      <w:r>
        <w:rPr>
          <w:rFonts w:ascii="arial" w:eastAsia="arial" w:hAnsi="arial" w:cs="arial"/>
          <w:color w:val="000000"/>
          <w:sz w:val="20"/>
          <w:lang w:val="en-US" w:eastAsia="en-US" w:bidi="ar-SA"/>
        </w:rPr>
        <w:t xml:space="preserve">  The plaintiffs also seek, as a remedy, the right to admit non-rightsholders to CSF schools. The plaintiffs say the remedial purpose of s. 23 protects the admission of non-rightsholders pursuant to a Descendant Clause as a remedy for delay implementing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plaintiffs urge that otherwise, the Province would be able to benefit from a reduction in the number of rightsholders caused by its failure to implement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between 1982 and 1996. The plaintiffs suggest that children who were of school-age in those years are now of child-bearing age, and their children would be eligible to attend CSF schools if the Province had acted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1182</w:t>
      </w:r>
      <w:r>
        <w:rPr>
          <w:rFonts w:ascii="arial" w:eastAsia="arial" w:hAnsi="arial" w:cs="arial"/>
          <w:color w:val="000000"/>
          <w:sz w:val="20"/>
          <w:lang w:val="en-US" w:eastAsia="en-US" w:bidi="ar-SA"/>
        </w:rPr>
        <w:t>  The defendants counter that given the number of Francophones in the participation rates in the province, it is not clear how many rightsholders have lost the right for their children to attend minority language schools in British Columbia. The defendants also suggest it would be inappropriate for the Court to grant such a remedy in the face of valid legislation restricting admissions. The defendants take the position that it exceeds the role of a court to allow a law to be broken for a period of time as a remedy without at least striking down that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1183</w:t>
      </w:r>
      <w:r>
        <w:rPr>
          <w:rFonts w:ascii="arial" w:eastAsia="arial" w:hAnsi="arial" w:cs="arial"/>
          <w:color w:val="000000"/>
          <w:sz w:val="20"/>
          <w:lang w:val="en-US" w:eastAsia="en-US" w:bidi="ar-SA"/>
        </w:rPr>
        <w:t>  I have already concluded that the defendants have validly restricted admission to CSF schools. For the plaintiffs' proposed remedy to be appropriate, a number of conditions precedent would need to be fulfilled: evidence that the minority was not receiving what it was entitled to in a given community; an ongoing breach for a sufficient period of time as to create a generation of lost rightsholders; and evidence that members of the minority were actually deterred from sending their children to minority language schools. The plaintiffs did not tender this type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1184</w:t>
      </w:r>
      <w:r>
        <w:rPr>
          <w:rFonts w:ascii="arial" w:eastAsia="arial" w:hAnsi="arial" w:cs="arial"/>
          <w:color w:val="000000"/>
          <w:sz w:val="20"/>
          <w:lang w:val="en-US" w:eastAsia="en-US" w:bidi="ar-SA"/>
        </w:rPr>
        <w:t xml:space="preserve">  Moreover, given that the Province has validly restricted the admission of rightsholders, I do not find that this is an appropriate remedy.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the majority explained that an appropriate and just remedy is one that employs means legitimate within the framework of a constitutional democracy. Courts must respect the appropriate functions of the legislature, executive and judiciary (at para. 56). Acting within its powers to do so, the Province has validly chosen to restrict admissions to the children of s. 23 rightsholders and Immigrant Rightsholders. Declaring otherwise valid laws invalid as a remedy would require the court to inappropriately stray into the proper sphere of the legislature. I therefore decline to grant the plaintiffs an Expanded Admissions Policy regardless of whether they could establish that individuals have lost their rightsholder status as a result of substandard facilities.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4. Charter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1185</w:t>
      </w:r>
      <w:r>
        <w:rPr>
          <w:rFonts w:ascii="arial" w:eastAsia="arial" w:hAnsi="arial" w:cs="arial"/>
          <w:color w:val="000000"/>
          <w:sz w:val="20"/>
          <w:lang w:val="en-US" w:eastAsia="en-US" w:bidi="ar-SA"/>
        </w:rPr>
        <w:t xml:space="preserve">  The plaintiffs seek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to recognize the harm done to members of the French-language community individually, and at large. The defendants submit that this is not an appropriate case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1186</w:t>
      </w:r>
      <w:r>
        <w:rPr>
          <w:rFonts w:ascii="arial" w:eastAsia="arial" w:hAnsi="arial" w:cs="arial"/>
          <w:color w:val="000000"/>
          <w:sz w:val="20"/>
          <w:lang w:val="en-US" w:eastAsia="en-US" w:bidi="ar-SA"/>
        </w:rPr>
        <w:t xml:space="preserve">  The plaintiffs rely on the test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set out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which outlines (at paras. 25-29) the three purposes of granting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compensation, vindication and deterrence. In their submission, granting damages would further all three purposes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1187</w:t>
      </w:r>
      <w:r>
        <w:rPr>
          <w:rFonts w:ascii="arial" w:eastAsia="arial" w:hAnsi="arial" w:cs="arial"/>
          <w:color w:val="000000"/>
          <w:sz w:val="20"/>
          <w:lang w:val="en-US" w:eastAsia="en-US" w:bidi="ar-SA"/>
        </w:rPr>
        <w:t xml:space="preserve">  The plaintiffs submit that awarding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would help to compensate for the Province's failure to live up to its constitutional obligations for more than 30 years, and what they say is the consequent acceleration of the assimilation rate. The plaintiffs also suggest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would serve the objects of vindication and deterrence, and engage the seriousness of the state conduct by sending a strong message that governments cannot delay the implementation of s. 23. It would also, they say, deter future violations by imposing an economic incentive on the defendants to comply with their constitutional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Court held that s. 24 is broad enough to include the remedy of damages for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 distinct public law remedy that would require society to compensate an individual for a breach of their rights (at paras. 20-22). The court articulated four steps for the test: proof of a breach, functional justification of damages, a lack of countervailing factors and quantum (at paras. 23-57).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1189</w:t>
      </w:r>
      <w:r>
        <w:rPr>
          <w:rFonts w:ascii="arial" w:eastAsia="arial" w:hAnsi="arial" w:cs="arial"/>
          <w:color w:val="000000"/>
          <w:sz w:val="20"/>
          <w:lang w:val="en-US" w:eastAsia="en-US" w:bidi="ar-SA"/>
        </w:rPr>
        <w:t xml:space="preserve">  The plaintiffs' argument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focuses on the functional justification for damages. They leave aside the countervailing factors, which are important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Court confirmed that even where damages are functionally justified, other considerations might render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inappropriate or unjust (at para. 33). The Court pointed to two such considerations: the existence of alternative remedies and concerns for good governance.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1191</w:t>
      </w:r>
      <w:r>
        <w:rPr>
          <w:rFonts w:ascii="arial" w:eastAsia="arial" w:hAnsi="arial" w:cs="arial"/>
          <w:color w:val="000000"/>
          <w:sz w:val="20"/>
          <w:lang w:val="en-US" w:eastAsia="en-US" w:bidi="ar-SA"/>
        </w:rPr>
        <w:t xml:space="preserve">  As a countervailing factor, in some situations, an award of damages might not be appropriate "unless the state conduct meets a minimum threshold of gravity" (at para. 39). The principle, recognized prior to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"recognizes that the state must be afforded some immunity from liability in damages resulting from the conduct of certain functions that only the state can perform"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40). The Court listed among those the legislative and policy-making functions, as "the law does not wish to chill the exercise of policy-making discretion" (at para. 40). The Court held that damages should not be awarded for actions taken pursuant to a law that was later declared constitutionally invalid due to the important need that public officials carry out their duties, unless there was some evidence of bad faith, an abuse of power, or actions that are clearly wrong (at paras. 41,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argues that the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principle applies in this case, and, in the absence of state conduct that is at least "clearly wrong", bars Mr. Ward's claim. I cannot accept this submission. </w:t>
      </w:r>
      <w:r>
        <w:rPr>
          <w:rFonts w:ascii="arial" w:eastAsia="arial" w:hAnsi="arial" w:cs="arial"/>
          <w:i/>
          <w:color w:val="000000"/>
          <w:sz w:val="20"/>
          <w:u w:val="single"/>
          <w:lang w:val="en-US" w:eastAsia="en-US" w:bidi="ar-SA"/>
        </w:rPr>
        <w:t>Mackin</w:t>
      </w:r>
      <w:r>
        <w:rPr>
          <w:rFonts w:ascii="arial" w:eastAsia="arial" w:hAnsi="arial" w:cs="arial"/>
          <w:color w:val="000000"/>
          <w:sz w:val="20"/>
          <w:u w:val="single"/>
          <w:lang w:val="en-US" w:eastAsia="en-US" w:bidi="ar-SA"/>
        </w:rPr>
        <w:t xml:space="preserve"> stands for the principle that state action taken under a statute which is subsequently declared invalid will not give rise to public law damages because good governance requires that public officials carry out their duties under valid statutes without fear of liability in the event that the statute is later struck down.</w:t>
      </w:r>
      <w:r>
        <w:rPr>
          <w:rFonts w:ascii="arial" w:eastAsia="arial" w:hAnsi="arial" w:cs="arial"/>
          <w:color w:val="000000"/>
          <w:sz w:val="20"/>
          <w:lang w:val="en-US" w:eastAsia="en-US" w:bidi="ar-SA"/>
        </w:rPr>
        <w:t xml:space="preserve"> The present is not a situation of state action pursuant to a valid statute subsequently declared invalid. Nor is the rationale animating the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principle - that duly enacted laws should be enforced until declared invalid - applicable in the present situation. Thus, the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immunity does not apply to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Such concerns may find expression, as the law in this area matures, in various defences to s. 24(1) claims. </w:t>
      </w:r>
      <w:r>
        <w:rPr>
          <w:rFonts w:ascii="arial" w:eastAsia="arial" w:hAnsi="arial" w:cs="arial"/>
          <w:i/>
          <w:color w:val="000000"/>
          <w:sz w:val="20"/>
          <w:u w:val="single"/>
          <w:lang w:val="en-US" w:eastAsia="en-US" w:bidi="ar-SA"/>
        </w:rPr>
        <w:t>Mackin</w:t>
      </w:r>
      <w:r>
        <w:rPr>
          <w:rFonts w:ascii="arial" w:eastAsia="arial" w:hAnsi="arial" w:cs="arial"/>
          <w:color w:val="000000"/>
          <w:sz w:val="20"/>
          <w:u w:val="single"/>
          <w:lang w:val="en-US" w:eastAsia="en-US" w:bidi="ar-SA"/>
        </w:rPr>
        <w:t xml:space="preserve"> established a defence of immunity for state action under valid statutes subsequently declared invalid, unless the state conduct is "clearly wrong, in bad faith or an abuse of power" (para. 78). If and when other concerns under the rubric of effective governance emerge, these may be expected to give rise to analogous public law defences. By analogy to </w:t>
      </w:r>
      <w:r>
        <w:rPr>
          <w:rFonts w:ascii="arial" w:eastAsia="arial" w:hAnsi="arial" w:cs="arial"/>
          <w:i/>
          <w:color w:val="000000"/>
          <w:sz w:val="20"/>
          <w:u w:val="single"/>
          <w:lang w:val="en-US" w:eastAsia="en-US" w:bidi="ar-SA"/>
        </w:rPr>
        <w:t>Mackin</w:t>
      </w:r>
      <w:r>
        <w:rPr>
          <w:rFonts w:ascii="arial" w:eastAsia="arial" w:hAnsi="arial" w:cs="arial"/>
          <w:color w:val="000000"/>
          <w:sz w:val="20"/>
          <w:u w:val="single"/>
          <w:lang w:val="en-US" w:eastAsia="en-US" w:bidi="ar-SA"/>
        </w:rPr>
        <w:t xml:space="preserve"> and the private law, where the state establishes that s. 24(1) damages raise governance concerns, it would seem a minimum threshold, such as clear disregard for the claimant's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rights, may be appropriate.</w:t>
      </w:r>
      <w:r>
        <w:rPr>
          <w:rFonts w:ascii="arial" w:eastAsia="arial" w:hAnsi="arial" w:cs="arial"/>
          <w:color w:val="000000"/>
          <w:sz w:val="20"/>
          <w:lang w:val="en-US" w:eastAsia="en-US" w:bidi="ar-SA"/>
        </w:rPr>
        <w:t xml:space="preserve"> Different situations may call for different thresholds, as is the case at private law. Malicious prosecution, for example, requires that "malice" be proven because of the highly discretionary and quasi-judicial role of prosecutors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[2009] 3 S.C.R. 339</w:t>
        </w:r>
      </w:hyperlink>
      <w:r>
        <w:rPr>
          <w:rFonts w:ascii="arial" w:eastAsia="arial" w:hAnsi="arial" w:cs="arial"/>
          <w:color w:val="000000"/>
          <w:sz w:val="20"/>
          <w:lang w:val="en-US" w:eastAsia="en-US" w:bidi="ar-SA"/>
        </w:rPr>
        <w:t>), while negligent police investigation, which does not involve the same quasi-judicial decisions as to guilt or innocence or the evaluation of evidence according to legal standards, contemplates the lower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standard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When appropriate, private law thresholds and defences may offer guidance in determining whether s. 24(1) damages would be "appropriate and just". While the threshold for liability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must be distinct and autonomous from that developed under private law, the existing causes of action against state actors embody a certain amount of "practical wisdom" concerning the type of situation in which it is or is not appropriate to make an award of damages against the state. Similarly, it may be necessary for the court to consider the procedural requirements of alternative remedies. Procedural requirements associated with existing remedies are crafted to achieve a proper balance between public and private interests, and the underlying policy considerations of these requirements should not be negated by recourse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As stated earlier, s. 24(1) operates concurrently with, and does not replace, the general law. These are complex matters which have not been explored on this appeal. I therefore leave the exact parameters of future defences to future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1192</w:t>
      </w:r>
      <w:r>
        <w:rPr>
          <w:rFonts w:ascii="arial" w:eastAsia="arial" w:hAnsi="arial" w:cs="arial"/>
          <w:color w:val="000000"/>
          <w:sz w:val="20"/>
          <w:lang w:val="en-US" w:eastAsia="en-US" w:bidi="ar-SA"/>
        </w:rPr>
        <w:t xml:space="preserve">  In many instances, the "public good" countervailing factor will negate the plaintiffs' claims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plaintiffs ground their claims in the application of a valid law-- the capital funding system-- that might subsequently be found to be invalid because of its effects on the CSF. There is value in ensuring that public officers can act to apply those laws without fear of prosecution. Absent bad faith, an abuse of power or clearly wrong decisions, government actors should not be held liable in damages for actions taken to apply those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1193</w:t>
      </w:r>
      <w:r>
        <w:rPr>
          <w:rFonts w:ascii="arial" w:eastAsia="arial" w:hAnsi="arial" w:cs="arial"/>
          <w:color w:val="000000"/>
          <w:sz w:val="20"/>
          <w:lang w:val="en-US" w:eastAsia="en-US" w:bidi="ar-SA"/>
        </w:rPr>
        <w:t xml:space="preserve">  I have already explained that I see no intent or malice on behalf of the defendants. They were justified in operating at the speed they did when implementing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 do not find any evidence of bad faith, an abuse of power or clearly wrong decisions following </w:t>
      </w:r>
      <w:r>
        <w:rPr>
          <w:rFonts w:ascii="arial" w:eastAsia="arial" w:hAnsi="arial" w:cs="arial"/>
          <w:i/>
          <w:color w:val="000000"/>
          <w:sz w:val="20"/>
          <w:lang w:val="en-US" w:eastAsia="en-US" w:bidi="ar-SA"/>
        </w:rPr>
        <w:t>Vickers #2</w:t>
      </w:r>
      <w:r>
        <w:rPr>
          <w:rFonts w:ascii="arial" w:eastAsia="arial" w:hAnsi="arial" w:cs="arial"/>
          <w:color w:val="000000"/>
          <w:sz w:val="20"/>
          <w:lang w:val="en-US" w:eastAsia="en-US" w:bidi="ar-SA"/>
        </w:rPr>
        <w:t>, as the Province has worked steadily at providing the CSF with facilities where the numbers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1194</w:t>
      </w:r>
      <w:r>
        <w:rPr>
          <w:rFonts w:ascii="arial" w:eastAsia="arial" w:hAnsi="arial" w:cs="arial"/>
          <w:color w:val="000000"/>
          <w:sz w:val="20"/>
          <w:lang w:val="en-US" w:eastAsia="en-US" w:bidi="ar-SA"/>
        </w:rPr>
        <w:t xml:space="preserve">  Additionally, in many instances the other countervailing factor noted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availability of other remedies, will be at play. In particular declarations are likely to spur the defendants to provide the CSF with needed space, where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1195</w:t>
      </w:r>
      <w:r>
        <w:rPr>
          <w:rFonts w:ascii="arial" w:eastAsia="arial" w:hAnsi="arial" w:cs="arial"/>
          <w:color w:val="000000"/>
          <w:sz w:val="20"/>
          <w:lang w:val="en-US" w:eastAsia="en-US" w:bidi="ar-SA"/>
        </w:rPr>
        <w:t xml:space="preserve">  In the plaintiffs' submission,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are particularly appropriate in respect of breaches in several areas, given the delay and conditions in those communities:</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Victoria; (b) Vancouver, west of Main Street; (c) Burnaby; (d) Squamish; (e) Whistler; (f) Sechelt; (g) Penticton; (h) Abbotsford; (i) Chilliwack; (j) Kelowna; (k) Nanaimo; (k) the failure to provide the Conseil with the means to reduce bus ride-times to a constitutionally acceptable level; (i) the failure to indemnify the Conseil for the cost of the leases it has made with ELSDs and private organizations to provide instructional space; and (j) the failure to include the constitutional obligation to provide French-language education and educational facilities where the numbers warrant as a driver in the Province's capital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1196</w:t>
      </w:r>
      <w:r>
        <w:rPr>
          <w:rFonts w:ascii="arial" w:eastAsia="arial" w:hAnsi="arial" w:cs="arial"/>
          <w:color w:val="000000"/>
          <w:sz w:val="20"/>
          <w:lang w:val="en-US" w:eastAsia="en-US" w:bidi="ar-SA"/>
        </w:rPr>
        <w:t xml:space="preserve">  In the chapters relating to those communities, I will take specific account of the province's decisions and level of responsibility for any situations where rightsholders are not receiving all that they are entitled to, and explain how countervailing factors apply to the plaintiffs'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5. Trust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1197</w:t>
      </w:r>
      <w:r>
        <w:rPr>
          <w:rFonts w:ascii="arial" w:eastAsia="arial" w:hAnsi="arial" w:cs="arial"/>
          <w:color w:val="000000"/>
          <w:sz w:val="20"/>
          <w:lang w:val="en-US" w:eastAsia="en-US" w:bidi="ar-SA"/>
        </w:rPr>
        <w:t>  The plaintiffs suggest that the creation of a trust fund would be an effective and constructive means of remedying deficiencies in the defendants' capital planning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1198</w:t>
      </w:r>
      <w:r>
        <w:rPr>
          <w:rFonts w:ascii="arial" w:eastAsia="arial" w:hAnsi="arial" w:cs="arial"/>
          <w:color w:val="000000"/>
          <w:sz w:val="20"/>
          <w:lang w:val="en-US" w:eastAsia="en-US" w:bidi="ar-SA"/>
        </w:rPr>
        <w:t>  The plaintiffs tendered expert evidence concerning how a trust remedy might work based settlements of Aboriginal land claims. I will discuss that evidence before addressing the plaintiffs' argument that a trust remedy is just and appropriate in the circumstances.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1199</w:t>
      </w:r>
      <w:r>
        <w:rPr>
          <w:rFonts w:ascii="arial" w:eastAsia="arial" w:hAnsi="arial" w:cs="arial"/>
          <w:color w:val="000000"/>
          <w:sz w:val="20"/>
          <w:lang w:val="en-US" w:eastAsia="en-US" w:bidi="ar-SA"/>
        </w:rPr>
        <w:t>  Ms. Lisa Ethans graduated from Washington State University with a four-year degree in Business Administration with a focus on accounting. She is a Certified Public Accountant, Senior Appraiser of the American Society of Appraisers, a Fellow of the Institute of Chartered Accountants, a Charter Business Valuator and is certified in Financial Forensics. She is currently a partner in the Financial Advisory Group at Deloitte LLP, where she leads the British Columbia forensics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1200</w:t>
      </w:r>
      <w:r>
        <w:rPr>
          <w:rFonts w:ascii="arial" w:eastAsia="arial" w:hAnsi="arial" w:cs="arial"/>
          <w:color w:val="000000"/>
          <w:sz w:val="20"/>
          <w:lang w:val="en-US" w:eastAsia="en-US" w:bidi="ar-SA"/>
        </w:rPr>
        <w:t>  Ms. Ethans's practice focuses on structuring and administrating First Nation Community Trusts. She was personally involved in assisting clients to structure all nine First Nation Community Trusts where Deloitte acts as an administrative trustee, and was in the process of structuring four more at the time she prepared her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1201</w:t>
      </w:r>
      <w:r>
        <w:rPr>
          <w:rFonts w:ascii="arial" w:eastAsia="arial" w:hAnsi="arial" w:cs="arial"/>
          <w:color w:val="000000"/>
          <w:sz w:val="20"/>
          <w:lang w:val="en-US" w:eastAsia="en-US" w:bidi="ar-SA"/>
        </w:rPr>
        <w:t>  Ms. Ethans was asked to address the following questions:</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First Nation trusts, and why were they created?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First Nation community trust model, and why was it created?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First Nation community trusts operate (with concrete examples)?</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First Nation community trusts been successful?</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general, what are the circumstances in which community trusts have proven to be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1202</w:t>
      </w:r>
      <w:r>
        <w:rPr>
          <w:rFonts w:ascii="arial" w:eastAsia="arial" w:hAnsi="arial" w:cs="arial"/>
          <w:color w:val="000000"/>
          <w:sz w:val="20"/>
          <w:lang w:val="en-US" w:eastAsia="en-US" w:bidi="ar-SA"/>
        </w:rPr>
        <w:t>  Ms. Ethans explained that a First Nation trust is a legal trust often used as a vehicle for a government or company to transfer funds or assets to a First Nation for the benefit of both current and future generations. She advised that they were originally created to address situations where the Federal Government owed funds to a First Nation, such as those associated with the settlement of lawsuits or land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1203</w:t>
      </w:r>
      <w:r>
        <w:rPr>
          <w:rFonts w:ascii="arial" w:eastAsia="arial" w:hAnsi="arial" w:cs="arial"/>
          <w:color w:val="000000"/>
          <w:sz w:val="20"/>
          <w:lang w:val="en-US" w:eastAsia="en-US" w:bidi="ar-SA"/>
        </w:rPr>
        <w:t>  Ms. Ethans advised that a First Nation trust traditionally does not allow for community involvement and decision-making. A third party trustee invests and disburses funds according to the trust instrument, and the Chief and counsel determine how funds will be spent, with variable requirements for reporting 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1204</w:t>
      </w:r>
      <w:r>
        <w:rPr>
          <w:rFonts w:ascii="arial" w:eastAsia="arial" w:hAnsi="arial" w:cs="arial"/>
          <w:color w:val="000000"/>
          <w:sz w:val="20"/>
          <w:lang w:val="en-US" w:eastAsia="en-US" w:bidi="ar-SA"/>
        </w:rPr>
        <w:t xml:space="preserve">  A First Nation </w:t>
      </w:r>
      <w:r>
        <w:rPr>
          <w:rFonts w:ascii="arial" w:eastAsia="arial" w:hAnsi="arial" w:cs="arial"/>
          <w:i/>
          <w:color w:val="000000"/>
          <w:sz w:val="20"/>
          <w:lang w:val="en-US" w:eastAsia="en-US" w:bidi="ar-SA"/>
        </w:rPr>
        <w:t>community</w:t>
      </w:r>
      <w:r>
        <w:rPr>
          <w:rFonts w:ascii="arial" w:eastAsia="arial" w:hAnsi="arial" w:cs="arial"/>
          <w:color w:val="000000"/>
          <w:sz w:val="20"/>
          <w:lang w:val="en-US" w:eastAsia="en-US" w:bidi="ar-SA"/>
        </w:rPr>
        <w:t xml:space="preserve"> trust, by contrast, usually involves input from the community members that the trust is meant to benefit. To address concerns about a lack of communication with respect to the trust funds, Deloitte developed a model where a third-party, non-voting trustee is responsible for disbursing the funds (the "Administrative Trustee"). Several members of the First Nation also become trustees (the "Nation Trustees") and are responsible for making decisions concerning trust funds. While the Administrative Trustee cannot vote, he or she wields a power to veto a Nation Trustee decision in violation of the trust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1205</w:t>
      </w:r>
      <w:r>
        <w:rPr>
          <w:rFonts w:ascii="arial" w:eastAsia="arial" w:hAnsi="arial" w:cs="arial"/>
          <w:color w:val="000000"/>
          <w:sz w:val="20"/>
          <w:lang w:val="en-US" w:eastAsia="en-US" w:bidi="ar-SA"/>
        </w:rPr>
        <w:t>  Ms. Ethans' view was that all of the First Nation community trusts that Deloitte administers have been successful. She observed that Chiefs and Councils, Nation Trustees and the communities were actively involved in trust meetings, and no Nation Trustees had resigned because of a desire not to be engaged in the trusts. She confirmed that no Administrative Trustees had exercised their veto power, and no lawsuits had been taken against any of the Deloitte-model trusts. She further observed that the trusts had been protected by their terms, had received unqualified audit opinions, and had withstood political challenges. She also observed higher community engagement in connection with the trusts, and advised that no settlers had reported any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1206</w:t>
      </w:r>
      <w:r>
        <w:rPr>
          <w:rFonts w:ascii="arial" w:eastAsia="arial" w:hAnsi="arial" w:cs="arial"/>
          <w:color w:val="000000"/>
          <w:sz w:val="20"/>
          <w:lang w:val="en-US" w:eastAsia="en-US" w:bidi="ar-SA"/>
        </w:rPr>
        <w:t>  Ms. Ethans suggested several factors that make a community trust particularly beneficial, specifically:</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Monies being transferred by one party for the benefit of a group or community;</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community or group of beneficiaries can be clearly identified but may otherwise be very diverse;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for which the monies are to be used can be clearly identified;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expenditure of the monies is expected to take longer than 1-2 years and/or the monies will be invested over the medium to long term</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funding party seeks certainty that the funds will be spent as intended;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decision-makers over the expenditure of the funds are to be representatives of the group of beneficiaries;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stable, non-political group is needed to represent the interests of the community or group members so as to separate politics from funding decision;</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Community or group input is required or desired for decisions as to how to spend the funds;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the group or community to benefit from the funds do not necessarily have sufficient experience in investment management, project management, accounting, finance and legal issues to cooperatively manage the funds themselves; and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is needed to achieve some common vision as to how funds should be spent.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1207</w:t>
      </w:r>
      <w:r>
        <w:rPr>
          <w:rFonts w:ascii="arial" w:eastAsia="arial" w:hAnsi="arial" w:cs="arial"/>
          <w:color w:val="000000"/>
          <w:sz w:val="20"/>
          <w:lang w:val="en-US" w:eastAsia="en-US" w:bidi="ar-SA"/>
        </w:rPr>
        <w:t>  The plaintiffs rely on Ms. Ethans's evidence to show that trust funds are an effective way to provide a measure of financial autonomy to specific groups while ensuring accountability. They suggest the creation of a trust fund similar to a First Nation community trust as an appropriate remedy, with or without a requirement that the defendants make significant changes to their capital funding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1208</w:t>
      </w:r>
      <w:r>
        <w:rPr>
          <w:rFonts w:ascii="arial" w:eastAsia="arial" w:hAnsi="arial" w:cs="arial"/>
          <w:color w:val="000000"/>
          <w:sz w:val="20"/>
          <w:lang w:val="en-US" w:eastAsia="en-US" w:bidi="ar-SA"/>
        </w:rPr>
        <w:t>  In the plaintiffs' view, a trust fund would be an effective and constructive means of addressing the deficiencies in the defendants' capital planning process. It would also, they say, be aligned with the positive obligation that s. 23 places on governments to provide minority language educational facilities out of public funds. It would provide rightsholders with funding to fully realize management and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1209</w:t>
      </w:r>
      <w:r>
        <w:rPr>
          <w:rFonts w:ascii="arial" w:eastAsia="arial" w:hAnsi="arial" w:cs="arial"/>
          <w:color w:val="000000"/>
          <w:sz w:val="20"/>
          <w:lang w:val="en-US" w:eastAsia="en-US" w:bidi="ar-SA"/>
        </w:rPr>
        <w:t xml:space="preserve">  The plaintiffs suggest that trust remedies are not foreign to s. 23 claims. They note that in </w:t>
      </w:r>
      <w:r>
        <w:rPr>
          <w:rFonts w:ascii="arial" w:eastAsia="arial" w:hAnsi="arial" w:cs="arial"/>
          <w:i/>
          <w:color w:val="000000"/>
          <w:sz w:val="20"/>
          <w:lang w:val="en-US" w:eastAsia="en-US" w:bidi="ar-SA"/>
        </w:rPr>
        <w:t>Arsenault-Cameron et al. v. Prince Edward Island</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(1997), 147 Nfld. &amp; P.E.I.R. 308</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[1997] P.E.I.J. No. 7</w:t>
        </w:r>
      </w:hyperlink>
      <w:r>
        <w:rPr>
          <w:rFonts w:ascii="arial" w:eastAsia="arial" w:hAnsi="arial" w:cs="arial"/>
          <w:color w:val="000000"/>
          <w:sz w:val="20"/>
          <w:lang w:val="en-US" w:eastAsia="en-US" w:bidi="ar-SA"/>
        </w:rPr>
        <w:t xml:space="preserve"> (QL) (PEI Sup. Ct.), the plaintiffs sought a nominal sum of $5,000 damages, to be paid into a "trust fund" for the "ongoing educational needs of s. 23 children in the Summerside area" (at para. 113). While the trial judge did not award damages, he did not reject the idea that the damages could have been paid into a trust fund (at para.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1210</w:t>
      </w:r>
      <w:r>
        <w:rPr>
          <w:rFonts w:ascii="arial" w:eastAsia="arial" w:hAnsi="arial" w:cs="arial"/>
          <w:color w:val="000000"/>
          <w:sz w:val="20"/>
          <w:lang w:val="en-US" w:eastAsia="en-US" w:bidi="ar-SA"/>
        </w:rPr>
        <w:t xml:space="preserve">  I also note that in the litigation before Mr. Justice Vickers, the FPFCB sought an order under s.24(1)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a charitable purpose trust for the benefit of rightsholders in the Lower Mainland and Victoria, for the purpose of restoring the cultural and the linguistic rights and heritage of those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1211</w:t>
      </w:r>
      <w:r>
        <w:rPr>
          <w:rFonts w:ascii="arial" w:eastAsia="arial" w:hAnsi="arial" w:cs="arial"/>
          <w:color w:val="000000"/>
          <w:sz w:val="20"/>
          <w:lang w:val="en-US" w:eastAsia="en-US" w:bidi="ar-SA"/>
        </w:rPr>
        <w:t xml:space="preserve">  With reference to the principles governing when a remedy is just an appropriate as stated in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the plaintiffs submit that a trust would satisfy the first principle by vindicating the claimants' rights, and addressing the circumstances in which the right was infringed or denied. They say that it would allow the community to determine its own capital funding priorities and provide the CSF with financial autonomy to respond to the systemic claim, while preventing the CSF's capital priorities from being neglected by the capital funding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1212</w:t>
      </w:r>
      <w:r>
        <w:rPr>
          <w:rFonts w:ascii="arial" w:eastAsia="arial" w:hAnsi="arial" w:cs="arial"/>
          <w:color w:val="000000"/>
          <w:sz w:val="20"/>
          <w:lang w:val="en-US" w:eastAsia="en-US" w:bidi="ar-SA"/>
        </w:rPr>
        <w:t>  Second, the plaintiffs say that the remedy is constitutionally legitimate and does not depart from the role of courts adjudicating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1213</w:t>
      </w:r>
      <w:r>
        <w:rPr>
          <w:rFonts w:ascii="arial" w:eastAsia="arial" w:hAnsi="arial" w:cs="arial"/>
          <w:color w:val="000000"/>
          <w:sz w:val="20"/>
          <w:lang w:val="en-US" w:eastAsia="en-US" w:bidi="ar-SA"/>
        </w:rPr>
        <w:t>  Third, the plaintiffs suggest that the remedy falls within the capacity and powers of the Court's expertise, advising that a trust would not require the Court to make a detailed order concerning the structure of the trust fund, and would be flexible enough to allow the parties to determine the exact format to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1214</w:t>
      </w:r>
      <w:r>
        <w:rPr>
          <w:rFonts w:ascii="arial" w:eastAsia="arial" w:hAnsi="arial" w:cs="arial"/>
          <w:color w:val="000000"/>
          <w:sz w:val="20"/>
          <w:lang w:val="en-US" w:eastAsia="en-US" w:bidi="ar-SA"/>
        </w:rPr>
        <w:t>  Fourth, in the plaintiffs' view, the trust remedy would be fair to both the plaintiffs and the defendants. It would not, they say, impose substantial hardship unrelated to the rights at stake, and it will ensure that the breach of s. 23 is effectively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1215</w:t>
      </w:r>
      <w:r>
        <w:rPr>
          <w:rFonts w:ascii="arial" w:eastAsia="arial" w:hAnsi="arial" w:cs="arial"/>
          <w:color w:val="000000"/>
          <w:sz w:val="20"/>
          <w:lang w:val="en-US" w:eastAsia="en-US" w:bidi="ar-SA"/>
        </w:rPr>
        <w:t>  The defendants take the position that a trust is not appropriate in this case. In their view, the evidence has demonstrated the need for government oversight and scrutiny of capital projects, including those of the CSF. No trustee, they say, would have the necessary command of the system and the competing interests at stake that the Ministry has. In that connection, they suggest the evidence established several instances where, in hindsight, the Minister was justified refusing CSF requests for capital funding. They also take the position that it would be dangerous to rely on the CSF's optimistic enrolment projections to justify building new facilities, as the cost of those facilities and maintaining them would be unduly burdensome.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1216</w:t>
      </w:r>
      <w:r>
        <w:rPr>
          <w:rFonts w:ascii="arial" w:eastAsia="arial" w:hAnsi="arial" w:cs="arial"/>
          <w:color w:val="000000"/>
          <w:sz w:val="20"/>
          <w:lang w:val="en-US" w:eastAsia="en-US" w:bidi="ar-SA"/>
        </w:rPr>
        <w:t xml:space="preserve">  The plaintiffs' request for a trust remedy appears to be separate and apart from their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The plaintiffs appear to seek this remedy pursuant to s. 24(1) as a remedy for laws that unjustifiably infringe s. 23. To justify the claim for a trust fund, they point to what they see as the defendants "systemic lack of regard" for the capital implications of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need to "address the defendants' capital system's lack of responsiveness" to the plaintiffs'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1217</w:t>
      </w:r>
      <w:r>
        <w:rPr>
          <w:rFonts w:ascii="arial" w:eastAsia="arial" w:hAnsi="arial" w:cs="arial"/>
          <w:color w:val="000000"/>
          <w:sz w:val="20"/>
          <w:lang w:val="en-US" w:eastAsia="en-US" w:bidi="ar-SA"/>
        </w:rPr>
        <w:t xml:space="preserve">  As I explain above, pursuant to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a remedy for unconstitutional laws is typically found in a declaration of invalidity pursuant to s. 52(1)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Occasionally, a positive remedy might be available in conjunction to ensure an effective remedy. A trust would fall in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1218</w:t>
      </w:r>
      <w:r>
        <w:rPr>
          <w:rFonts w:ascii="arial" w:eastAsia="arial" w:hAnsi="arial" w:cs="arial"/>
          <w:color w:val="000000"/>
          <w:sz w:val="20"/>
          <w:lang w:val="en-US" w:eastAsia="en-US" w:bidi="ar-SA"/>
        </w:rPr>
        <w:t xml:space="preserve">  In this case, though, I am not persuaded that a trust for the linguistic minority is a just and appropriate remedy as it would trench on the role of the legislative and executive branches of government: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xml:space="preserve"> at para. 56. The legislature and executive have established law and policy for ensuring that capital projects are justified, built to standards that ensure equity across the system and that ensure the distribution of scarce resources across the Province. They have the authority to do so pursuant to their continued jurisdiction to oversee the structures of the education system pursuant to s.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1219</w:t>
      </w:r>
      <w:r>
        <w:rPr>
          <w:rFonts w:ascii="arial" w:eastAsia="arial" w:hAnsi="arial" w:cs="arial"/>
          <w:color w:val="000000"/>
          <w:sz w:val="20"/>
          <w:lang w:val="en-US" w:eastAsia="en-US" w:bidi="ar-SA"/>
        </w:rPr>
        <w:t xml:space="preserve">  Granting a trust remedy would allow the CSF to operate outside those laws and policies. It would therefore have the effect of invalidating those processes as they apply to the linguistic minority. Meanwhile, the Province would be deprived of their right to craft a new system that is responsive to s. 23 and responsive to the Province's pressing and substantial objectives. It would deprive the defendants of their remaining jurisdiction over minority language education pursuant to s. 93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as well as their right to supervision over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1220</w:t>
      </w:r>
      <w:r>
        <w:rPr>
          <w:rFonts w:ascii="arial" w:eastAsia="arial" w:hAnsi="arial" w:cs="arial"/>
          <w:color w:val="000000"/>
          <w:sz w:val="20"/>
          <w:lang w:val="en-US" w:eastAsia="en-US" w:bidi="ar-SA"/>
        </w:rPr>
        <w:t>  In the result, I do not find that a trust remedy is a just and appropriate remedy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1221</w:t>
      </w:r>
      <w:r>
        <w:rPr>
          <w:rFonts w:ascii="arial" w:eastAsia="arial" w:hAnsi="arial" w:cs="arial"/>
          <w:color w:val="000000"/>
          <w:sz w:val="20"/>
          <w:lang w:val="en-US" w:eastAsia="en-US" w:bidi="ar-SA"/>
        </w:rPr>
        <w:t>  However, that is not to say that the plaintiffs might not require some flexible funding to remedy deficiencies with the capital planning system. As I develop in Chapter XLII, Lack of Funds and a Capital Envelope for the CSF, this can be achieved by requiring the Province to craft a Capital Envelope to address the CSF's needs. Such an envelope would provide the CSF with some financial security and flexibility while respecting the proper role of the legislature and the executive by allowing them to oversee the CSF's capital decisions using valid capital planning tools.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6. Duty to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1222</w:t>
      </w:r>
      <w:r>
        <w:rPr>
          <w:rFonts w:ascii="arial" w:eastAsia="arial" w:hAnsi="arial" w:cs="arial"/>
          <w:color w:val="000000"/>
          <w:sz w:val="20"/>
          <w:lang w:val="en-US" w:eastAsia="en-US" w:bidi="ar-SA"/>
        </w:rPr>
        <w:t xml:space="preserve">  At the end of the plaintiffs' written submissions on remedy, the plaintiffs submit that the Court ought to draw from the well-developed case law regarding the duty to consult in the context of aboriginal rights, and recognize that the Province bears a similar duty when making policy decisions that have an impact on French language and culture. The plaintiffs cite the duty as it was explained in </w:t>
      </w:r>
      <w:r>
        <w:rPr>
          <w:rFonts w:ascii="arial" w:eastAsia="arial" w:hAnsi="arial" w:cs="arial"/>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xml:space="preserve"> at paras. 42-44.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1223</w:t>
      </w:r>
      <w:r>
        <w:rPr>
          <w:rFonts w:ascii="arial" w:eastAsia="arial" w:hAnsi="arial" w:cs="arial"/>
          <w:color w:val="000000"/>
          <w:sz w:val="20"/>
          <w:lang w:val="en-US" w:eastAsia="en-US" w:bidi="ar-SA"/>
        </w:rPr>
        <w:t xml:space="preserve">  The plaintiffs do not appear to have pleaded the existence or breach of that type of a duty to consult with the CSF. At most, they seek orders requiring that when new capital funding systems are developed, they be developed in consultation with the CSF. That is fundamentally different from the type of duty to consult discussed in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They did not argue the issue orally. Due to the schedule for the exchange of oral argument that the parties agreed to, the defendants had no notice of this argument until after they had already tendered their written argument, and substantially completed their oral argument. Since this issue seemingly was raised as an afterthought, and because it would be unfair to the defendants, I will not address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1224</w:t>
      </w:r>
      <w:r>
        <w:rPr>
          <w:rFonts w:ascii="arial" w:eastAsia="arial" w:hAnsi="arial" w:cs="arial"/>
          <w:color w:val="000000"/>
          <w:sz w:val="20"/>
          <w:lang w:val="en-US" w:eastAsia="en-US" w:bidi="ar-SA"/>
        </w:rPr>
        <w:t>  Having set out the legal and factual principles that inform the entirety of the claim, I turn to the second part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XI. INTRODUCTION TO PART 2: DISCRETE REQUESTS FOR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1225</w:t>
      </w:r>
      <w:r>
        <w:rPr>
          <w:rFonts w:ascii="arial" w:eastAsia="arial" w:hAnsi="arial" w:cs="arial"/>
          <w:color w:val="000000"/>
          <w:sz w:val="20"/>
          <w:lang w:val="en-US" w:eastAsia="en-US" w:bidi="ar-SA"/>
        </w:rPr>
        <w:t>  In the second part of these reasons, I address several of the plaintiffs' claims for discrete minority language educational facilities and resources province-wide. There are four of them: equivalent public funds (Chapter XII, Public Funds), increased funding pursuant to the Annual Facilities Grant (Chapter XIII, The Annual Facilities Grant), increased transportation funding (Chapter XIV, Transportation) and space and facilities for linguistic and cultural programming (including early childhood education) (Chapter XV, Linguistic and Cultural Programming).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1226</w:t>
      </w:r>
      <w:r>
        <w:rPr>
          <w:rFonts w:ascii="arial" w:eastAsia="arial" w:hAnsi="arial" w:cs="arial"/>
          <w:color w:val="000000"/>
          <w:sz w:val="20"/>
          <w:lang w:val="en-US" w:eastAsia="en-US" w:bidi="ar-SA"/>
        </w:rPr>
        <w:t>  All of these claims raise the question what the number of children across the province are entitled to. I am satisfied that at the provincial level, the numbers fall at the highest extremity of the sliding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Karakatsanis J. confirmed that courts may defer to decisions in earlier litigation concerning where the numbers fall on the sliding scale. She suggested that "where numbers have previously been found to warrant equivalent services, for example, in earlier litigation, the 'numbers warrant' analysis may become somewhat pro forma" unless evidence calls the numbers in earlier litigation into question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Mr. Justice Vickers concluded that the numbers in the Lower Mainland and Fraser Valley (3,848 students likely to enrol in CSF schools based on an agreed statement of facts) warranted the highest level of management and control (at paras. 44-47). As I see it, Mr. Justice Vickers was situating the numbers at the school district level for the purpose of determining what level of management and control was warranted province-wide.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1229</w:t>
      </w:r>
      <w:r>
        <w:rPr>
          <w:rFonts w:ascii="arial" w:eastAsia="arial" w:hAnsi="arial" w:cs="arial"/>
          <w:color w:val="000000"/>
          <w:sz w:val="20"/>
          <w:lang w:val="en-US" w:eastAsia="en-US" w:bidi="ar-SA"/>
        </w:rPr>
        <w:t>  Now, the CSF has jurisdiction over the entire province, including substantially more rightsholders. The CSF had 5,382 students enrolled in 2014/15: more than a number of small school districts. I therefore find that the number of children of rightsholders likely to enroll in CSF programmes across the province warrants provincial-level minority language educational facilities provided out of public funds on a standard of equivalence to the facilities afforded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1230</w:t>
      </w:r>
      <w:r>
        <w:rPr>
          <w:rFonts w:ascii="arial" w:eastAsia="arial" w:hAnsi="arial" w:cs="arial"/>
          <w:color w:val="000000"/>
          <w:sz w:val="20"/>
          <w:lang w:val="en-US" w:eastAsia="en-US" w:bidi="ar-SA"/>
        </w:rPr>
        <w:t>  I bear that standard in mind when addressing the plaintiffs' claims for improved resources and facilities in the next four chapters.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XII. PUBLIC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1231</w:t>
      </w:r>
      <w:r>
        <w:rPr>
          <w:rFonts w:ascii="arial" w:eastAsia="arial" w:hAnsi="arial" w:cs="arial"/>
          <w:color w:val="000000"/>
          <w:sz w:val="20"/>
          <w:lang w:val="en-US" w:eastAsia="en-US" w:bidi="ar-SA"/>
        </w:rPr>
        <w:t>  Section 23(3)(b) provides that where the numbers warrant minority language educational facilities, the facilities are to be "provided out of public funds." This raises issues about the extent to which the Province provides the CSF with public funds for minority language education facilities, and whether the CSF is receiving its fair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1232</w:t>
      </w:r>
      <w:r>
        <w:rPr>
          <w:rFonts w:ascii="arial" w:eastAsia="arial" w:hAnsi="arial" w:cs="arial"/>
          <w:color w:val="000000"/>
          <w:sz w:val="20"/>
          <w:lang w:val="en-US" w:eastAsia="en-US" w:bidi="ar-SA"/>
        </w:rPr>
        <w:t>  The plaintiffs take the position that majority districts have access to many financial resources that the CSF does not. They point to majority districts' legacy asset bases, existing Local and Capital Reserve amounts, and revenues from leasing surplus property, international student programmes and School Site Acquisition Charges as sources of funding that the CSF does not have access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1233</w:t>
      </w:r>
      <w:r>
        <w:rPr>
          <w:rFonts w:ascii="arial" w:eastAsia="arial" w:hAnsi="arial" w:cs="arial"/>
          <w:color w:val="000000"/>
          <w:sz w:val="20"/>
          <w:lang w:val="en-US" w:eastAsia="en-US" w:bidi="ar-SA"/>
        </w:rPr>
        <w:t>  The defendants agree that majority boards have some funding advantages that are not available to the CSF, specifically legacy assets and access to School Site Acquisition Charges. However, they urge that it is important to take into account the scale of the CSF's population. They further note that the CSF has access to sources of funding that majority school boards do not, like funding for its leases and Federal government operating and capital funding, which they say more than counterbalances the benefits to majority districts. They take the position that the in fact the CSF comes out ahead of majority boards in terms of the funding made available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1234</w:t>
      </w:r>
      <w:r>
        <w:rPr>
          <w:rFonts w:ascii="arial" w:eastAsia="arial" w:hAnsi="arial" w:cs="arial"/>
          <w:color w:val="000000"/>
          <w:sz w:val="20"/>
          <w:lang w:val="en-US" w:eastAsia="en-US" w:bidi="ar-SA"/>
        </w:rPr>
        <w:t>  Here, I address sources of funding available to both the majority and the minority, before turning to sources available exclusively or primarily to one group or the other. To conclude, I engage in a relative balancing of the sources of funding to discern whether, in practice, the CSF is disadvantaged because it lacks access to funds made available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 Sources Available to both the Minority and the Majority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1235</w:t>
      </w:r>
      <w:r>
        <w:rPr>
          <w:rFonts w:ascii="arial" w:eastAsia="arial" w:hAnsi="arial" w:cs="arial"/>
          <w:color w:val="000000"/>
          <w:sz w:val="20"/>
          <w:lang w:val="en-US" w:eastAsia="en-US" w:bidi="ar-SA"/>
        </w:rPr>
        <w:t>  All districts have access to Capital Planning Cycle funding, Local and Restricted Capital Reserve accounts and Operating Block funding.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Capital Planning Cycle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1236</w:t>
      </w:r>
      <w:r>
        <w:rPr>
          <w:rFonts w:ascii="arial" w:eastAsia="arial" w:hAnsi="arial" w:cs="arial"/>
          <w:color w:val="000000"/>
          <w:sz w:val="20"/>
          <w:lang w:val="en-US" w:eastAsia="en-US" w:bidi="ar-SA"/>
        </w:rPr>
        <w:t>  All districts have access to funding through the Ministry's Capital Planning Cycles. The defendants take the position that the CSF has received a proportionate share of that funding in light of its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1237</w:t>
      </w:r>
      <w:r>
        <w:rPr>
          <w:rFonts w:ascii="arial" w:eastAsia="arial" w:hAnsi="arial" w:cs="arial"/>
          <w:color w:val="000000"/>
          <w:sz w:val="20"/>
          <w:lang w:val="en-US" w:eastAsia="en-US" w:bidi="ar-SA"/>
        </w:rPr>
        <w:t>  Mr. Palmer's evidence reveals that since 2001, the Ministry's Capital Planning Cycle has invested about $111 million in major capital projects for the CSF. The Ministry invested an average of $42 million in major capital projects for each majority school board since 2001. Only 7 of 59 majority districts also had aggregate capital funding of more than $100 million in the same period: SD61-Greater Victoria ($108 million); SD43-Coquitlam ($119 million); SD44-North Vancouver ($125 million); SD34-Abbotsford ($147 million); SD41-Burnaby ($187 million); SD39-Vancouver ($274 million); and SD36-Surrey ($277 million). All of those school boards have significantly higher enrolment than does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1238</w:t>
      </w:r>
      <w:r>
        <w:rPr>
          <w:rFonts w:ascii="arial" w:eastAsia="arial" w:hAnsi="arial" w:cs="arial"/>
          <w:color w:val="000000"/>
          <w:sz w:val="20"/>
          <w:lang w:val="en-US" w:eastAsia="en-US" w:bidi="ar-SA"/>
        </w:rPr>
        <w:t xml:space="preserve">  Mr. Palmer's evidence also shows the Capital Planning Cycle funding that each district received since 2001, on a per student basis, based on 2014/15 enrolment levels. On average, majority districts received $4,649 per student since 2001. The CSF received more than $21,000 per student in that period. Only two districts received more annually on a per student basis in that period: SD50-Haida Gwaii and SD19-Revelstoke. The defendants suggest that both SD19-Revelstoke and SD50-Haida Gwaii are small districts that had high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spending because they each received one elementary and one secondary project. The CSF constructed at least four new schools in the same period: École Secondaire Jules-Verne (Vancouver), École Au-coeur-de-l'île (Comox), École Élémentaire Mer et Montagne (Campbell River), and École Victor-Brodeur (Victoria). It also acquired École L'Anse-au-Sable (Kelowna), École Élémentaire Océane (Nanaimo) and École Élémentaire Anne-Hébert (Vancouver (East)) in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1239</w:t>
      </w:r>
      <w:r>
        <w:rPr>
          <w:rFonts w:ascii="arial" w:eastAsia="arial" w:hAnsi="arial" w:cs="arial"/>
          <w:color w:val="000000"/>
          <w:sz w:val="20"/>
          <w:lang w:val="en-US" w:eastAsia="en-US" w:bidi="ar-SA"/>
        </w:rPr>
        <w:t xml:space="preserve">  The defendants' charts also illustrate the comparison between the CSF and only those majority districts where the CSF operates programmes ("Competing Districts"). The Competing Districts received $6,951 per 2014/15 student in those districts (aggregated) in that period, with only SD19-Revelstoke exceeding the CSF's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funding. The CSF's per pupil Capital Planning Cycle funding was about double that of the next nearest district, SD47-Powell River, which received about $10,600 per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1240</w:t>
      </w:r>
      <w:r>
        <w:rPr>
          <w:rFonts w:ascii="arial" w:eastAsia="arial" w:hAnsi="arial" w:cs="arial"/>
          <w:color w:val="000000"/>
          <w:sz w:val="20"/>
          <w:lang w:val="en-US" w:eastAsia="en-US" w:bidi="ar-SA"/>
        </w:rPr>
        <w:t>  In the plaintiffs' submission, the defendants erroneously included in their calculation the capital transfers that benefited the CSF, while simultaneously benefiting the majority boards from which the CSF acquired an asset. They note that majority boards benefited by about $41 million from transferring assets to the CSF, improving the situation of the majority relative to that of the minority. I note that even based on the plaintiffs' argument, which calculates capital funding per student after removing the asset transfers to the majority, the CSF fares far better than the majority average and better than every other district except for SD50-Haida Gwaii, SD19-Revelstoke and SD49-Central Coast. In the end, very little changes upon removing the majority board profits from transfers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1241</w:t>
      </w:r>
      <w:r>
        <w:rPr>
          <w:rFonts w:ascii="arial" w:eastAsia="arial" w:hAnsi="arial" w:cs="arial"/>
          <w:color w:val="000000"/>
          <w:sz w:val="20"/>
          <w:lang w:val="en-US" w:eastAsia="en-US" w:bidi="ar-SA"/>
        </w:rPr>
        <w:t>  The plaintiffs also argue that given the CSF's percentage variation of enrolment between 2001/02 and 2014/15, it ought to have received a disproportionately higher percentage of capital funding as compared to the majority boards. Indeed, the CSF's enrolment grew by 100% between 2001 and today. Almost every other school board had declining enrolment, many with between 20% and 40% enrolment decline. Of the six districts that had growing enrolment in that period, none saw enrolment growth of 20% or more. I agree this is the case, and find that capital expenditures since 2001 have appropriately favoured the CSF.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Local and Restricted Capital Reserve Accounts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1242</w:t>
      </w:r>
      <w:r>
        <w:rPr>
          <w:rFonts w:ascii="arial" w:eastAsia="arial" w:hAnsi="arial" w:cs="arial"/>
          <w:color w:val="000000"/>
          <w:sz w:val="20"/>
          <w:lang w:val="en-US" w:eastAsia="en-US" w:bidi="ar-SA"/>
        </w:rPr>
        <w:t>  From time to time school districts fund portions of capital projects using their capital reserve accounts: the "Local Capital" Reserve and the "Restricted Capital"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1243</w:t>
      </w:r>
      <w:r>
        <w:rPr>
          <w:rFonts w:ascii="arial" w:eastAsia="arial" w:hAnsi="arial" w:cs="arial"/>
          <w:color w:val="000000"/>
          <w:sz w:val="20"/>
          <w:lang w:val="en-US" w:eastAsia="en-US" w:bidi="ar-SA"/>
        </w:rPr>
        <w:t xml:space="preserve">  School districts have two capital reserve accounts: a Local Capital Reserve and a Restricted Capital Reserve. School boards can only spend from their Restricted Capital Reserve account with the Minister's approval. They may spend from their Local Capital Reserve account at their discretion: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s. 141(1)(b).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1244</w:t>
      </w:r>
      <w:r>
        <w:rPr>
          <w:rFonts w:ascii="arial" w:eastAsia="arial" w:hAnsi="arial" w:cs="arial"/>
          <w:color w:val="000000"/>
          <w:sz w:val="20"/>
          <w:lang w:val="en-US" w:eastAsia="en-US" w:bidi="ar-SA"/>
        </w:rPr>
        <w:t>  Mr. Miller advised that the Minister typically approves the use of Restricted Capital Reserve when that project is a relatively high priority based on the Ministry's Capital Planning Cycle metrics. That way, the Minister ensures that Restricted Capital Reserve funds lessen the burden on the Province to fund projects using Capital Planning Cycle funds. All projects constructed with Restricted Capital must adhere to the Area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1245</w:t>
      </w:r>
      <w:r>
        <w:rPr>
          <w:rFonts w:ascii="arial" w:eastAsia="arial" w:hAnsi="arial" w:cs="arial"/>
          <w:color w:val="000000"/>
          <w:sz w:val="20"/>
          <w:lang w:val="en-US" w:eastAsia="en-US" w:bidi="ar-SA"/>
        </w:rPr>
        <w:t>  Local Capital Reserve funds can only be used on capital projects. Otherwise, school boards can spend Local Capital at their discretion. Mr. Miller advised that districts usually use Local Capital to fund projects that would not be supported in a Capital Planning Cycle, like school board offices and lower-priority projects. Mr. Miller also advised that Local Capital may be used to build amenities in excess of the Area Standards. SD36-Surrey has even used its Local Capital to acquire school sites. The plaintiffs also suggest Local Capital could be used to improve building functionality, which is typically not a high Ministry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1246</w:t>
      </w:r>
      <w:r>
        <w:rPr>
          <w:rFonts w:ascii="arial" w:eastAsia="arial" w:hAnsi="arial" w:cs="arial"/>
          <w:color w:val="000000"/>
          <w:sz w:val="20"/>
          <w:lang w:val="en-US" w:eastAsia="en-US" w:bidi="ar-SA"/>
        </w:rPr>
        <w:t>  The most common way for school boards to generate Local and Restricted Capital Reserves is by selling surplus assets. Mr. Miller commented that some of the proceeds from the sale flow into each account depending on how the asset was originally paid for. If a school board funded a proportion of the construction of the asset with its own money, it retains the same proportion of the proceeds of the sale as Local Capital. The remaining proceeds flow into Restricted Capital. So, if a school board paid for 85% of the cost of acquiring and constructing a school, when that asset is sold the school board retains 85% of the proceeds as Local Capital. The remaining 15% of the proceeds flow into the district's Restricted Capital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1247</w:t>
      </w:r>
      <w:r>
        <w:rPr>
          <w:rFonts w:ascii="arial" w:eastAsia="arial" w:hAnsi="arial" w:cs="arial"/>
          <w:color w:val="000000"/>
          <w:sz w:val="20"/>
          <w:lang w:val="en-US" w:eastAsia="en-US" w:bidi="ar-SA"/>
        </w:rPr>
        <w:t>  Sometimes, a school board is considered to have funded 100% of the cost of acquiring and constructing an asset using its own funds. Prior to 1947, many schools were owned by municipalities and were paid for entirely by local taxpayers. After 1947, many of those facilities were transferred to school boards free of charge. Since the Province did not contribute to the acquisition of those schools, school boards retain all of the proceeds as Local Capital if they choose to sell them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1248</w:t>
      </w:r>
      <w:r>
        <w:rPr>
          <w:rFonts w:ascii="arial" w:eastAsia="arial" w:hAnsi="arial" w:cs="arial"/>
          <w:color w:val="000000"/>
          <w:sz w:val="20"/>
          <w:lang w:val="en-US" w:eastAsia="en-US" w:bidi="ar-SA"/>
        </w:rPr>
        <w:t>  If a school board cannot prove what local taxpayers contributed to the cost of the asset, then the default position allows the school board to retain 25% of the proceeds of sale in its Local Capital Reserve account. The remaining 75% of the proceeds flow into the district's Restricted Capital Reserve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1249</w:t>
      </w:r>
      <w:r>
        <w:rPr>
          <w:rFonts w:ascii="arial" w:eastAsia="arial" w:hAnsi="arial" w:cs="arial"/>
          <w:color w:val="000000"/>
          <w:sz w:val="20"/>
          <w:lang w:val="en-US" w:eastAsia="en-US" w:bidi="ar-SA"/>
        </w:rPr>
        <w:t>  Districts can supplement their Local Capital Reserve by designating an unlimited proportion of their operating revenue to Local Capital each year. Districts can supplement their Restricted Capital Reserve with cost savings from Ministry-funded capital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1250</w:t>
      </w:r>
      <w:r>
        <w:rPr>
          <w:rFonts w:ascii="arial" w:eastAsia="arial" w:hAnsi="arial" w:cs="arial"/>
          <w:color w:val="000000"/>
          <w:sz w:val="20"/>
          <w:lang w:val="en-US" w:eastAsia="en-US" w:bidi="ar-SA"/>
        </w:rPr>
        <w:t>  Local and Restricted Capital play a limited role in Capital Planning Cycle project approvals. Mr. Miller and Mr. Bonnefoy confirmed that the Ministry has looked to districts to bring something to the table by identifying Local and Restricted Capital Reserve they can contribute to a requested project. Mr. Miller advised that school boards can sometimes create a business case to have projects funded that would not otherwise be by contributing Local and Restricted Capital Reserve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1251</w:t>
      </w:r>
      <w:r>
        <w:rPr>
          <w:rFonts w:ascii="arial" w:eastAsia="arial" w:hAnsi="arial" w:cs="arial"/>
          <w:color w:val="000000"/>
          <w:sz w:val="20"/>
          <w:lang w:val="en-US" w:eastAsia="en-US" w:bidi="ar-SA"/>
        </w:rPr>
        <w:t xml:space="preserve">  This practice changed with the beginning of a new "Cash Management Strategy" in about 2014. Now, school boards are </w:t>
      </w:r>
      <w:r>
        <w:rPr>
          <w:rFonts w:ascii="arial" w:eastAsia="arial" w:hAnsi="arial" w:cs="arial"/>
          <w:color w:val="000000"/>
          <w:sz w:val="20"/>
          <w:u w:val="single"/>
          <w:lang w:val="en-US" w:eastAsia="en-US" w:bidi="ar-SA"/>
        </w:rPr>
        <w:t>required</w:t>
      </w:r>
      <w:r>
        <w:rPr>
          <w:rFonts w:ascii="arial" w:eastAsia="arial" w:hAnsi="arial" w:cs="arial"/>
          <w:color w:val="000000"/>
          <w:sz w:val="20"/>
          <w:lang w:val="en-US" w:eastAsia="en-US" w:bidi="ar-SA"/>
        </w:rPr>
        <w:t xml:space="preserve"> to contribute their capital resources to projects being funded through the Ministry's Capital Planning Cycle. This goes beyond Restricted Capital to school district idle Local Capital and operating surpluses. Mr. Palmer testified that the requirement arose out of an Auditor General's report that found that public entities, like school districts, had too much idle cash sitting on their books. Mr. Palmer testified that the new strategy also requires school boards to fund capital project budget overruns using their own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1252</w:t>
      </w:r>
      <w:r>
        <w:rPr>
          <w:rFonts w:ascii="arial" w:eastAsia="arial" w:hAnsi="arial" w:cs="arial"/>
          <w:color w:val="000000"/>
          <w:sz w:val="20"/>
          <w:lang w:val="en-US" w:eastAsia="en-US" w:bidi="ar-SA"/>
        </w:rPr>
        <w:t>  As the project evolved, the Ministry decided that seismic projects would not be subject to the strategy. For seismic projects, districts are only expected to contribute Restricted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1253</w:t>
      </w:r>
      <w:r>
        <w:rPr>
          <w:rFonts w:ascii="arial" w:eastAsia="arial" w:hAnsi="arial" w:cs="arial"/>
          <w:color w:val="000000"/>
          <w:sz w:val="20"/>
          <w:lang w:val="en-US" w:eastAsia="en-US" w:bidi="ar-SA"/>
        </w:rPr>
        <w:t>  Mr. Palmer's evidence was that the Cash Management Strategy has no impact on project prioritization. He confirmed that projects are prioritized by need and merit-- effectively, the Space Rank and FCI scores.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1254</w:t>
      </w:r>
      <w:r>
        <w:rPr>
          <w:rFonts w:ascii="arial" w:eastAsia="arial" w:hAnsi="arial" w:cs="arial"/>
          <w:color w:val="000000"/>
          <w:sz w:val="20"/>
          <w:lang w:val="en-US" w:eastAsia="en-US" w:bidi="ar-SA"/>
        </w:rPr>
        <w:t>  As of about 2014, across all 60 school districts, Mr. Miller was aware of about $80 million in Restricted Capital Reserve accounts, and a further $130 million in Local Capital Reserve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1255</w:t>
      </w:r>
      <w:r>
        <w:rPr>
          <w:rFonts w:ascii="arial" w:eastAsia="arial" w:hAnsi="arial" w:cs="arial"/>
          <w:color w:val="000000"/>
          <w:sz w:val="20"/>
          <w:lang w:val="en-US" w:eastAsia="en-US" w:bidi="ar-SA"/>
        </w:rPr>
        <w:t>  Mr. Palmer's evidence was that the Ministry tracks whether the Minister approved the use of Restricted Capital on a given project. The evidence reveals that since 2001, the Province funded some 499 capital projects at a cost of about $3 billion. The records show that districts contributed Restricted Capital to about 12% of capital projects approved in that period. The promise of Reserve Capital was linked to the approval of about 44, or 9% of capital project approvals. The total amount of Restricted Capital Reserve approved for use in those 44 projects was $107,587,318, or around 3.6% of the Province's total spending on capital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1256</w:t>
      </w:r>
      <w:r>
        <w:rPr>
          <w:rFonts w:ascii="arial" w:eastAsia="arial" w:hAnsi="arial" w:cs="arial"/>
          <w:color w:val="000000"/>
          <w:sz w:val="20"/>
          <w:lang w:val="en-US" w:eastAsia="en-US" w:bidi="ar-SA"/>
        </w:rPr>
        <w:t>  Of course, this also includes some CSF projects that included Restricted Capital. While he was under cross-examination, Mr. Bonnefoy testified that between 2004 and 2010, the CSF generated some capital reserve when it subdivided and sold a portion of the site for École Gabrielle-Roy (Surrey). The CSF also generated some capital reserve through the sale of the first building it acquired to house École L'Anse-au-Sable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1257</w:t>
      </w:r>
      <w:r>
        <w:rPr>
          <w:rFonts w:ascii="arial" w:eastAsia="arial" w:hAnsi="arial" w:cs="arial"/>
          <w:color w:val="000000"/>
          <w:sz w:val="20"/>
          <w:lang w:val="en-US" w:eastAsia="en-US" w:bidi="ar-SA"/>
        </w:rPr>
        <w:t>  In Chapter XXIV, École Élémentaire Rose-des-Vents (Vancouver (West)), I conclude that due to cost savings associated with the construction of École Secondaire Jules-Verne, the CSF was allowed to retain about $1.2 million for its Restricted Capital Reserve account. The CSF also retained cost savings from the construction of École Au-coeur-de-l'île (Comox), which also came in under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1258</w:t>
      </w:r>
      <w:r>
        <w:rPr>
          <w:rFonts w:ascii="arial" w:eastAsia="arial" w:hAnsi="arial" w:cs="arial"/>
          <w:color w:val="000000"/>
          <w:sz w:val="20"/>
          <w:lang w:val="en-US" w:eastAsia="en-US" w:bidi="ar-SA"/>
        </w:rPr>
        <w:t>  Both Mr. Allison and Mr. Bonnefoy testified that the CSF has not actively supplemented its Local Capital Reserve account by transferring operating revenue to its capital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1259</w:t>
      </w:r>
      <w:r>
        <w:rPr>
          <w:rFonts w:ascii="arial" w:eastAsia="arial" w:hAnsi="arial" w:cs="arial"/>
          <w:color w:val="000000"/>
          <w:sz w:val="20"/>
          <w:lang w:val="en-US" w:eastAsia="en-US" w:bidi="ar-SA"/>
        </w:rPr>
        <w:t>  The evidence shows that the CSF has spent a significant portion of its accumulated Restricted Capital. The CSF contributed about $1.75 million in Restricted Capital Reserve to its capital projects since 2001. The Ministry approved the use of some of those funds for the CSF to acquire École Élémentaire du Bois-joli (Delta), and some for the CSF to acquire a replacement facility for École Élémentaire L'Anse-au-Sable (Kelowna). Additionally, the Minister also approved the CSF's request to use of some Restricted Capital to acquire and relocate portables in Squamish when École Élémentaire Les Aiglons faced an eviction from its heterogeneous, leased space at Garibaldi Highlands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1260</w:t>
      </w:r>
      <w:r>
        <w:rPr>
          <w:rFonts w:ascii="arial" w:eastAsia="arial" w:hAnsi="arial" w:cs="arial"/>
          <w:color w:val="000000"/>
          <w:sz w:val="20"/>
          <w:lang w:val="en-US" w:eastAsia="en-US" w:bidi="ar-SA"/>
        </w:rPr>
        <w:t>  I accept the proposition that the CSF currently has very little (if any) Restricted Capital. If the $80 million in Restricted Capital Reserve funds held across the Province were proportioned between all districts based on their enrolment, the CSF would have about $800,000. If the $130 million in Local Capital were distributed proportionally to all school boards on the basis of population, the CSF would have about $1.3 million. I consider the CSF to be missing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1261</w:t>
      </w:r>
      <w:r>
        <w:rPr>
          <w:rFonts w:ascii="arial" w:eastAsia="arial" w:hAnsi="arial" w:cs="arial"/>
          <w:color w:val="000000"/>
          <w:sz w:val="20"/>
          <w:lang w:val="en-US" w:eastAsia="en-US" w:bidi="ar-SA"/>
        </w:rPr>
        <w:t>  The CSF has, however, been able to contribute a proportionate amount of Restricted Capital Reserve funds to its capital projects since 2001. Given that the CSF has about 1% of the student population, its proportionate share of the $107 million in Restricted Capital Reserves spent by school boards on capital projects would be about $1 million: about $750,000 less than the amount the CSF contributed to its capital projects in that period.</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1262</w:t>
      </w:r>
      <w:r>
        <w:rPr>
          <w:rFonts w:ascii="arial" w:eastAsia="arial" w:hAnsi="arial" w:cs="arial"/>
          <w:color w:val="000000"/>
          <w:sz w:val="20"/>
          <w:lang w:val="en-US" w:eastAsia="en-US" w:bidi="ar-SA"/>
        </w:rPr>
        <w:t>  The plaintiffs argue that the CSF has limited Local and Restricted Capital Reserves, placing it at a disadvantage when the CSF is trying to have its projects approved. The defendants take the position that the CSF has had access to a proportionate amount of Restricted Capital in light of its enrolment. As I see it, the CSF has limited Local and Restricted Capital Reserves, causing it to miss out on its proportionate share to the amount of about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1263</w:t>
      </w:r>
      <w:r>
        <w:rPr>
          <w:rFonts w:ascii="arial" w:eastAsia="arial" w:hAnsi="arial" w:cs="arial"/>
          <w:color w:val="000000"/>
          <w:sz w:val="20"/>
          <w:lang w:val="en-US" w:eastAsia="en-US" w:bidi="ar-SA"/>
        </w:rPr>
        <w:t>  This is troubling given the small role that Local and Restricted Capital Reserves play in project approvals. The evidence shows that projects from all districts compete for limited capital funds. If the Province must choose between supporting a project where a district can contribute some funds and a project where a district cannot, the district that can offer financial support is more likely to have its project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1264</w:t>
      </w:r>
      <w:r>
        <w:rPr>
          <w:rFonts w:ascii="arial" w:eastAsia="arial" w:hAnsi="arial" w:cs="arial"/>
          <w:color w:val="000000"/>
          <w:sz w:val="20"/>
          <w:lang w:val="en-US" w:eastAsia="en-US" w:bidi="ar-SA"/>
        </w:rPr>
        <w:t xml:space="preserve">  The plaintiffs' position is that, to the extent that the new Cash Management Strategy leads to less funding for the CSF's urgent capital projects and incentivizes funding other projects before the CSF's, it is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plaintiffs suggest that, contrary to Mr. Palmer's evidence, the Cash Management Strategy is likely to impact how the Ministry prioritizes capital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1265</w:t>
      </w:r>
      <w:r>
        <w:rPr>
          <w:rFonts w:ascii="arial" w:eastAsia="arial" w:hAnsi="arial" w:cs="arial"/>
          <w:color w:val="000000"/>
          <w:sz w:val="20"/>
          <w:lang w:val="en-US" w:eastAsia="en-US" w:bidi="ar-SA"/>
        </w:rPr>
        <w:t>  The defendants take the position that due to the Cash Management Strategy, school districts do not benefit in the form of project approvals from holding Restricted and Local Capital. They say that districts will be expected to exhaust their Local and Restricted Capital Reserves for all projects. They also point to Mr. Palmer's evidence that the prioritization of projects will not change based on what districts can contribute. Thus, they say, holding capital reserve funds will not be of much benefit to districts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1266</w:t>
      </w:r>
      <w:r>
        <w:rPr>
          <w:rFonts w:ascii="arial" w:eastAsia="arial" w:hAnsi="arial" w:cs="arial"/>
          <w:color w:val="000000"/>
          <w:sz w:val="20"/>
          <w:lang w:val="en-US" w:eastAsia="en-US" w:bidi="ar-SA"/>
        </w:rPr>
        <w:t xml:space="preserve">  As I see it, it is premature for the plaintiffs to make the claim that they do concerning the Cash Management Strategy.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cannot be proven based on speculation. Mr. Palmer's evidence was that the Cash Management Strategy would not have any impact on project prioritization. The plaintiffs do not point to any evidence that the Cash Management Strategy has led to any majority-board projects being favoured over CSF projects, and the CSF not receiving what it is entitled to as a result. I therefore reject 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1267</w:t>
      </w:r>
      <w:r>
        <w:rPr>
          <w:rFonts w:ascii="arial" w:eastAsia="arial" w:hAnsi="arial" w:cs="arial"/>
          <w:color w:val="000000"/>
          <w:sz w:val="20"/>
          <w:lang w:val="en-US" w:eastAsia="en-US" w:bidi="ar-SA"/>
        </w:rPr>
        <w:t>  The defendants' argument is also premature. There is little evidence about how projects will be approved pursuant to the new Cash Management Strategy. There is no evidence to suggest that all school districts will exhaust their Local and Restricted Capital Reserves, and that they will no longer play a role in project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Operating Block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1268</w:t>
      </w:r>
      <w:r>
        <w:rPr>
          <w:rFonts w:ascii="arial" w:eastAsia="arial" w:hAnsi="arial" w:cs="arial"/>
          <w:color w:val="000000"/>
          <w:sz w:val="20"/>
          <w:lang w:val="en-US" w:eastAsia="en-US" w:bidi="ar-SA"/>
        </w:rPr>
        <w:t>  The defendants argue that the CSF benefits more than any other district from the Ministry's method for allocating operating funding: the "Operating Block". I begin by describing how the Operating Block functions before discussing the extent to which the CSF benefits from it.</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Operating Block Funding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1269</w:t>
      </w:r>
      <w:r>
        <w:rPr>
          <w:rFonts w:ascii="arial" w:eastAsia="arial" w:hAnsi="arial" w:cs="arial"/>
          <w:color w:val="000000"/>
          <w:sz w:val="20"/>
          <w:lang w:val="en-US" w:eastAsia="en-US" w:bidi="ar-SA"/>
        </w:rPr>
        <w:t>  The Operating Block is an envelope of funds Treasury Board allocates to the Ministry to distribute to school districts, who use it to pay for the cost of operating educational programmes. Once districts receive their Operating Block grants, they make all decisions with respect to how to spend those funds on programme delivery. For 2013/14 through 2015/16, the Ministry anticipated the Operating Block would be about $4.7 billion to be divided between all 60 school districts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1270</w:t>
      </w:r>
      <w:r>
        <w:rPr>
          <w:rFonts w:ascii="arial" w:eastAsia="arial" w:hAnsi="arial" w:cs="arial"/>
          <w:color w:val="000000"/>
          <w:sz w:val="20"/>
          <w:lang w:val="en-US" w:eastAsia="en-US" w:bidi="ar-SA"/>
        </w:rPr>
        <w:t>  The Ministry divides the Operating Block between school districts using its operating funding model. Mr. Miller advised that the Ministry publishes an annual "Operating Grants Manual" with appended tables showing how the funding model works and the amounts that are provided to school districts. Mr. Lebrun, a funding analyst with the Funding and Allocation Branch of the Resource Management Division at the Ministry, is responsible for preparing the Operating Grants Manual and its associated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1271</w:t>
      </w:r>
      <w:r>
        <w:rPr>
          <w:rFonts w:ascii="arial" w:eastAsia="arial" w:hAnsi="arial" w:cs="arial"/>
          <w:color w:val="000000"/>
          <w:sz w:val="20"/>
          <w:lang w:val="en-US" w:eastAsia="en-US" w:bidi="ar-SA"/>
        </w:rPr>
        <w:t>  For about 20 years, Mr. Miller advised, the Ministry's "Technical Review Committee" has been responsible for reviewing the operating funding model. Every year, the Minister directs the Technical Review Committee to review certain elements of the funding model. The committee recommends changes which are implemented provided that the Minister approves. The Technical Review Committee has representation from the Ministry as well as representatives from school boards and trustees, who are appointed by the BC Association of School Business Officials ("BCASBO"), the professional association of school business officials working in school districts, including Secretary-Treasurers; and the BC School Trustees Association ("BCSTA"), the professional association that serves and supports school trustees across all of BC's school boards. Mr. Stewart and Mr. Miller both sat on the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1272</w:t>
      </w:r>
      <w:r>
        <w:rPr>
          <w:rFonts w:ascii="arial" w:eastAsia="arial" w:hAnsi="arial" w:cs="arial"/>
          <w:color w:val="000000"/>
          <w:sz w:val="20"/>
          <w:lang w:val="en-US" w:eastAsia="en-US" w:bidi="ar-SA"/>
        </w:rPr>
        <w:t>  Mr. Lebrun attends all Technical Review Committee meetings and is responsible for updating the terms of reference and its plans and deliverables. Since 2005/06, he has also kept minutes of their deliberations. Mr. Lebrun also finalizes the committee's recommendations. If the Minister accepts the recommendations, he incorporates them into the Operating Grants Manual and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1273</w:t>
      </w:r>
      <w:r>
        <w:rPr>
          <w:rFonts w:ascii="arial" w:eastAsia="arial" w:hAnsi="arial" w:cs="arial"/>
          <w:color w:val="000000"/>
          <w:sz w:val="20"/>
          <w:lang w:val="en-US" w:eastAsia="en-US" w:bidi="ar-SA"/>
        </w:rPr>
        <w:t>  The operating funding model went through significant changes in about 2002. Prior to 2002, the Ministry funded specific aspects of school board operations (the "Resource-Cost Funding Model"). Thereafter, the Ministry began allocating unrestricted grants to school boards based on enrolment (the "Enrolment-Based Funding Model"). The Ministry's position is that change benefited the CSF more than any other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1274</w:t>
      </w:r>
      <w:r>
        <w:rPr>
          <w:rFonts w:ascii="arial" w:eastAsia="arial" w:hAnsi="arial" w:cs="arial"/>
          <w:color w:val="000000"/>
          <w:sz w:val="20"/>
          <w:lang w:val="en-US" w:eastAsia="en-US" w:bidi="ar-SA"/>
        </w:rPr>
        <w:t>  Mr. Miller explained that pursuant to the Resource-Cost Funding Model that existed prior to 2002, the Ministry specifically funded school programmes, and the operation of a school and building space whether leased or owned. School boards received an amount for each FTE student, and additional funding for every elementary and secondary school, as well as amounts for district-level operations. Districts also received grants to reflect the varying costs of delivering specific programmes, the districts' geographic characteristics and educator salaries.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1275</w:t>
      </w:r>
      <w:r>
        <w:rPr>
          <w:rFonts w:ascii="arial" w:eastAsia="arial" w:hAnsi="arial" w:cs="arial"/>
          <w:color w:val="000000"/>
          <w:sz w:val="20"/>
          <w:lang w:val="en-US" w:eastAsia="en-US" w:bidi="ar-SA"/>
        </w:rPr>
        <w:t>  In 2002, the Minister directed the Technical Review Committee to design an enrolment-based model, which was put in place for 2002/03. The new Enrolment-Based Funding Model eliminated almost all targeted funding to encourage efficiency and give boards more operational autonomy.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1276</w:t>
      </w:r>
      <w:r>
        <w:rPr>
          <w:rFonts w:ascii="arial" w:eastAsia="arial" w:hAnsi="arial" w:cs="arial"/>
          <w:color w:val="000000"/>
          <w:sz w:val="20"/>
          <w:lang w:val="en-US" w:eastAsia="en-US" w:bidi="ar-SA"/>
        </w:rPr>
        <w:t>  Mr. Miller and Mr. Lebrun explained that the Enrolment-Based Funding Model is comprised of several elements. First, school boards receive a basic allocation of $6,900 per FTE student and a smaller amount for each distance education student. The basic allocation distributes about 79% of the Operating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1277</w:t>
      </w:r>
      <w:r>
        <w:rPr>
          <w:rFonts w:ascii="arial" w:eastAsia="arial" w:hAnsi="arial" w:cs="arial"/>
          <w:color w:val="000000"/>
          <w:sz w:val="20"/>
          <w:lang w:val="en-US" w:eastAsia="en-US" w:bidi="ar-SA"/>
        </w:rPr>
        <w:t>  In addition to the basic allocation, the funding formula provides supplements for some students with unique needs (the "Unique Student Factors"). Districts receive additional funding for each student with special needs. Further supplements provide extra amounts for students with aboriginal ancestry, students with English or French as a second language and non-graduated adult students. Since 2012/13, there has also been a supplement for vulnerable students. Together, these factors distribute about 12% of the Operating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1278</w:t>
      </w:r>
      <w:r>
        <w:rPr>
          <w:rFonts w:ascii="arial" w:eastAsia="arial" w:hAnsi="arial" w:cs="arial"/>
          <w:color w:val="000000"/>
          <w:sz w:val="20"/>
          <w:lang w:val="en-US" w:eastAsia="en-US" w:bidi="ar-SA"/>
        </w:rPr>
        <w:t>  The Ministry also provides districts with supplements to account for differences between school districts (the "s"). There are seven Unique District Factors: a small community supplement; low enrolment supplement; rural factor; climate factor; sparseness factor; student location factor; and a salary differential. Together, these Unique District Factors allocate about 8% of the Operating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1279</w:t>
      </w:r>
      <w:r>
        <w:rPr>
          <w:rFonts w:ascii="arial" w:eastAsia="arial" w:hAnsi="arial" w:cs="arial"/>
          <w:color w:val="000000"/>
          <w:sz w:val="20"/>
          <w:lang w:val="en-US" w:eastAsia="en-US" w:bidi="ar-SA"/>
        </w:rPr>
        <w:t>  The small community supplement is intended to recognize the costly nature of operating schools with low enrolment that cannot be consolidated because they are a significant distance from one another. School districts are eligible for this supplement if they operate schools that are more than five kilometres apart, and the sum of the students in those schools is less than 250 students for elementary and 600-650 for secondary. The schools that attract that supplement tend to be small, isolated and rural. However, as a provincial school district operating small schools, the CSF also benefits from this supplement.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1280</w:t>
      </w:r>
      <w:r>
        <w:rPr>
          <w:rFonts w:ascii="arial" w:eastAsia="arial" w:hAnsi="arial" w:cs="arial"/>
          <w:color w:val="000000"/>
          <w:sz w:val="20"/>
          <w:lang w:val="en-US" w:eastAsia="en-US" w:bidi="ar-SA"/>
        </w:rPr>
        <w:t>  The Ministry also provides a low-enrolment supplement that provides additional funds to small, rural districts to recognize that they cannot achieve economies of scale. Districts are allocated a base amount on a sliding scale based on the number of students in the district. Mr. Lebrun's evidence is that this differs from the small community supplement because it is more focused on the costs of operating the district, and low enrolment at the district level, as opposed to an inability to consolidate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1281</w:t>
      </w:r>
      <w:r>
        <w:rPr>
          <w:rFonts w:ascii="arial" w:eastAsia="arial" w:hAnsi="arial" w:cs="arial"/>
          <w:color w:val="000000"/>
          <w:sz w:val="20"/>
          <w:lang w:val="en-US" w:eastAsia="en-US" w:bidi="ar-SA"/>
        </w:rPr>
        <w:t>  A third Unique District Factor, the rural factor, recognizes the cost of operating districts at a distance from Vancouver and regional centres. The supplement compensates school boards for the cost of acquiring goods and services in remote areas. According to Mr. Lebrun, it differs from the small community and low enrolment factors in the sense that it relates to a paucity of access to resources rather than the cost of operating within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1282</w:t>
      </w:r>
      <w:r>
        <w:rPr>
          <w:rFonts w:ascii="arial" w:eastAsia="arial" w:hAnsi="arial" w:cs="arial"/>
          <w:color w:val="000000"/>
          <w:sz w:val="20"/>
          <w:lang w:val="en-US" w:eastAsia="en-US" w:bidi="ar-SA"/>
        </w:rPr>
        <w:t>  The Ministry recognizes differences in energy costs with an environmental factor. This factor allocates funding to recognize the added costs of heating and cooling in some areas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1283</w:t>
      </w:r>
      <w:r>
        <w:rPr>
          <w:rFonts w:ascii="arial" w:eastAsia="arial" w:hAnsi="arial" w:cs="arial"/>
          <w:color w:val="000000"/>
          <w:sz w:val="20"/>
          <w:lang w:val="en-US" w:eastAsia="en-US" w:bidi="ar-SA"/>
        </w:rPr>
        <w:t>  A sparseness factor recognizes the added costs associated with population dispersion, like travel of specialized teachers and multi-school events. It is provided to districts with schools located at some distance from the school board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1284</w:t>
      </w:r>
      <w:r>
        <w:rPr>
          <w:rFonts w:ascii="arial" w:eastAsia="arial" w:hAnsi="arial" w:cs="arial"/>
          <w:color w:val="000000"/>
          <w:sz w:val="20"/>
          <w:lang w:val="en-US" w:eastAsia="en-US" w:bidi="ar-SA"/>
        </w:rPr>
        <w:t>  Additionally, the funding model currently has a Student Location Factor, which recognizes the density of students around schools and the need to transport those students to and from school. A Supplemental Student Location Factor is provided based on special needs enrolment. Mr. Miller advised that this replaced some funding that had previously been allocated for transportation, the Transportation and Housing Supplement. I discuss these supplements in detail in Chapter XIV,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1285</w:t>
      </w:r>
      <w:r>
        <w:rPr>
          <w:rFonts w:ascii="arial" w:eastAsia="arial" w:hAnsi="arial" w:cs="arial"/>
          <w:color w:val="000000"/>
          <w:sz w:val="20"/>
          <w:lang w:val="en-US" w:eastAsia="en-US" w:bidi="ar-SA"/>
        </w:rPr>
        <w:t>  The final Unique District Factor is a salary differential. This recognizes that the average teacher salary varies based on seniority, and makes an adjustment where average salary costs differ from the provincial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1286</w:t>
      </w:r>
      <w:r>
        <w:rPr>
          <w:rFonts w:ascii="arial" w:eastAsia="arial" w:hAnsi="arial" w:cs="arial"/>
          <w:color w:val="000000"/>
          <w:sz w:val="20"/>
          <w:lang w:val="en-US" w:eastAsia="en-US" w:bidi="ar-SA"/>
        </w:rPr>
        <w:t>  According to Mr. Miller, the CSF benefits the most from the Unique District Factors. Recently, the CSF was allocated about $17 million pursuant to these factors. The next closest district received $10 million, and the supplements declined from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1287</w:t>
      </w:r>
      <w:r>
        <w:rPr>
          <w:rFonts w:ascii="arial" w:eastAsia="arial" w:hAnsi="arial" w:cs="arial"/>
          <w:color w:val="000000"/>
          <w:sz w:val="20"/>
          <w:lang w:val="en-US" w:eastAsia="en-US" w:bidi="ar-SA"/>
        </w:rPr>
        <w:t>  In addition to the Unique Student and Unique District Factors, several supplements support districts undergoing change. A declining enrolment supplement temporarily supports districts that have seen severe enrolment declines while they restructure their education system. A funding protection supplement also ensures that districts see no more than 1.5% decline in their funding levels from year to year. These factors together allocate 1% of the Operating Block. The CSF, which has growing enrolment, has not benefitted from these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1288</w:t>
      </w:r>
      <w:r>
        <w:rPr>
          <w:rFonts w:ascii="arial" w:eastAsia="arial" w:hAnsi="arial" w:cs="arial"/>
          <w:color w:val="000000"/>
          <w:sz w:val="20"/>
          <w:lang w:val="en-US" w:eastAsia="en-US" w:bidi="ar-SA"/>
        </w:rPr>
        <w:t>  A final factor is specific to the CSF. The CSF receives a 15% funding premium on all of its funding coming out of the Operating Block to recognize its unique funding needs: the "15% Francophone Supplement", which I discuss later in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1289</w:t>
      </w:r>
      <w:r>
        <w:rPr>
          <w:rFonts w:ascii="arial" w:eastAsia="arial" w:hAnsi="arial" w:cs="arial"/>
          <w:color w:val="000000"/>
          <w:sz w:val="20"/>
          <w:lang w:val="en-US" w:eastAsia="en-US" w:bidi="ar-SA"/>
        </w:rPr>
        <w:t>  While the Enrolment-Based Funding Model is calculated based on the number of students, the supplements seem to be based on the Technical Review Committee's calculation of the actual costs of operating schools in certain conditions. As I explain in Chapter XIV, Transportation, the Student Location Factor reallocates the amount that was distributed by the Transportation and Housing Supplement under the Resource-Cost Funding Model, which was based on actual 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1290</w:t>
      </w:r>
      <w:r>
        <w:rPr>
          <w:rFonts w:ascii="arial" w:eastAsia="arial" w:hAnsi="arial" w:cs="arial"/>
          <w:color w:val="000000"/>
          <w:sz w:val="20"/>
          <w:lang w:val="en-US" w:eastAsia="en-US" w:bidi="ar-SA"/>
        </w:rPr>
        <w:t>  The amount distributed pursuant to the small communities supplement is likewise cost based. Mr. Lebrun confirmed that the Technical Review Committee attempted to estimate the actual costs of operating small schools in rural areas, and recommended that the Minister allocate the same amount. The Minister accepted that recommendation. Mr. Lebrun's evidence is that the low enrolment factor is likewise based on the Technical Review Committee's attempt to quantify the cost of operating a school with low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1291</w:t>
      </w:r>
      <w:r>
        <w:rPr>
          <w:rFonts w:ascii="arial" w:eastAsia="arial" w:hAnsi="arial" w:cs="arial"/>
          <w:color w:val="000000"/>
          <w:sz w:val="20"/>
          <w:lang w:val="en-US" w:eastAsia="en-US" w:bidi="ar-SA"/>
        </w:rPr>
        <w:t>  The rural factor was included under the Resource-Cost Funding Model. At that time, it was based on the added cost of shipping a 500lb box from Vancouver to each school district. Mr. Lebrun's evidence is that under the Enrolment-Based Funding Model, the Minister intended to provide approximately the same amount of funding to districts as they previously received pursuant to that supplement. Similarly, the climate factor was calculated based on actual degree days of heating and cooling for the Resource-Cost Funding Formula, and that amount is redistributed by the Enrolment-Based Funding Model. However, now that the funds are distributed based purely on enrolment, Mr. Lebrun has not verified whether the factors continue to reflect the actual costs of what they are meant to address.</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CSF's Early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1292</w:t>
      </w:r>
      <w:r>
        <w:rPr>
          <w:rFonts w:ascii="arial" w:eastAsia="arial" w:hAnsi="arial" w:cs="arial"/>
          <w:color w:val="000000"/>
          <w:sz w:val="20"/>
          <w:lang w:val="en-US" w:eastAsia="en-US" w:bidi="ar-SA"/>
        </w:rPr>
        <w:t>  The plaintiffs take the position that the CSF was not funded appropriately under the Resource-Cost Funding Model, leading the CSF to encounter a major deficit in 1999/00. In 2002 the entire operating funding system was changed from a Resource-Cost Funding Model to the Enrolment-Based Funding Model. As a result, the legislative scheme that gave rise to the deficit no longer exists, and has not existed for nearly 14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1293</w:t>
      </w:r>
      <w:r>
        <w:rPr>
          <w:rFonts w:ascii="arial" w:eastAsia="arial" w:hAnsi="arial" w:cs="arial"/>
          <w:color w:val="000000"/>
          <w:sz w:val="20"/>
          <w:lang w:val="en-US" w:eastAsia="en-US" w:bidi="ar-SA"/>
        </w:rPr>
        <w:t>  It seems to me that the plaintiffs likely led evidence concerning the deficit in anticipation of an argument that the choices they made led to the deficit, and caused some of the circumstances in which the CSF finds itself today. The defendants do not advance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1294</w:t>
      </w:r>
      <w:r>
        <w:rPr>
          <w:rFonts w:ascii="arial" w:eastAsia="arial" w:hAnsi="arial" w:cs="arial"/>
          <w:color w:val="000000"/>
          <w:sz w:val="20"/>
          <w:lang w:val="en-US" w:eastAsia="en-US" w:bidi="ar-SA"/>
        </w:rPr>
        <w:t>  The CSF has long offered many services that the majority boards do not, resulting in different and sometimes higher costs. In the late 1990s and early 2000s, the CSF offered door-to-door transportation services from students' homes to school. The CSF also offered full-day Kindergarten before that became the provincial standard in 2011/12. In Dr. Ardanaz's view, those services were essential to the CSF's ability to attract and retain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1295</w:t>
      </w:r>
      <w:r>
        <w:rPr>
          <w:rFonts w:ascii="arial" w:eastAsia="arial" w:hAnsi="arial" w:cs="arial"/>
          <w:color w:val="000000"/>
          <w:sz w:val="20"/>
          <w:lang w:val="en-US" w:eastAsia="en-US" w:bidi="ar-SA"/>
        </w:rPr>
        <w:t>  The CSF began to realize that it had some unique funding needs that it believed were not being taken into account by the Resource-Cost Funding Model. The Resource-Cost Funding Model gave school boards an allocation for each school it operated. The CSF thought that it ought to receive funding for the square metres in both its homogeneous and heterogeneous schools. The Minister did not recognize the CSF's heterogeneous programmes for that element of the funding formula. (The CSF did receive funding for each student in those schools.) Additionally, the CSF was frustrated that it incurred an added cost paying for school-based administrators for its heterogeneous programmes when it employed its own school-based administrators.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1296</w:t>
      </w:r>
      <w:r>
        <w:rPr>
          <w:rFonts w:ascii="arial" w:eastAsia="arial" w:hAnsi="arial" w:cs="arial"/>
          <w:color w:val="000000"/>
          <w:sz w:val="20"/>
          <w:lang w:val="en-US" w:eastAsia="en-US" w:bidi="ar-SA"/>
        </w:rPr>
        <w:t>  Dr. Ardanaz also pointed to what the CSF saw as problems with the transportation funding system. Dr. Ardanaz testified that transportation funding was based on a district's historical transportation expenditures. Dr. Ardanaz's view was that the CSF was not compensated for its actual 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1297</w:t>
      </w:r>
      <w:r>
        <w:rPr>
          <w:rFonts w:ascii="arial" w:eastAsia="arial" w:hAnsi="arial" w:cs="arial"/>
          <w:color w:val="000000"/>
          <w:sz w:val="20"/>
          <w:lang w:val="en-US" w:eastAsia="en-US" w:bidi="ar-SA"/>
        </w:rPr>
        <w:t>  The CSF raised these issues with the Ministry in April 1998. Mr. Rick Connolly, Director of the Ministry's Capital Branch at the time, responded to the CSF's request in May 1998. Initially, he refused to recognize more schools and required the CSF to pay for additional transportation cost out of start-up funding it received from the Federal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1298</w:t>
      </w:r>
      <w:r>
        <w:rPr>
          <w:rFonts w:ascii="arial" w:eastAsia="arial" w:hAnsi="arial" w:cs="arial"/>
          <w:color w:val="000000"/>
          <w:sz w:val="20"/>
          <w:lang w:val="en-US" w:eastAsia="en-US" w:bidi="ar-SA"/>
        </w:rPr>
        <w:t>  As discussions on funding for the CSF continued through 1998, both sides made some concessions. The Ministry agreed to recognize additional lease amounts related to school-board level administrative fees being charged by majority school boards, recognize several more schools, and provide the CSF with more English as a second language funding. The CSF did not receive additional transportation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1299</w:t>
      </w:r>
      <w:r>
        <w:rPr>
          <w:rFonts w:ascii="arial" w:eastAsia="arial" w:hAnsi="arial" w:cs="arial"/>
          <w:color w:val="000000"/>
          <w:sz w:val="20"/>
          <w:lang w:val="en-US" w:eastAsia="en-US" w:bidi="ar-SA"/>
        </w:rPr>
        <w:t>  Despite the movement on those issues, the CSF incurred a deficit in 1999. In its early years, the CSF operated at a small surplus, which grew to $1,105,512 by 1998. Then, the CSF began to accumulate a deficit. The CSF's deficit was $1,301,307 in 1999, and accumulated to $3,752,022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1300</w:t>
      </w:r>
      <w:r>
        <w:rPr>
          <w:rFonts w:ascii="arial" w:eastAsia="arial" w:hAnsi="arial" w:cs="arial"/>
          <w:color w:val="000000"/>
          <w:sz w:val="20"/>
          <w:lang w:val="en-US" w:eastAsia="en-US" w:bidi="ar-SA"/>
        </w:rPr>
        <w:t>  Due to the CSF's deficit, the Ministry established a financial review team to examine the CSF's financial operations (the "Review Team"). In advance of the Review Team's arrival, CSF staff prepared a Briefing Note on its operating costs and funding challenges (the "Financial Review Briefing Note"). The CSF explained that it incurred a gross deficit of $2.4 million, which was reduced to a net operating deficit of $1.3 million due to a surplus the previous year. The CSF attributed the deficit in part to deficits of $573,000 for teacher salaries, $215,000 for support salaries and over $1 million for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1301</w:t>
      </w:r>
      <w:r>
        <w:rPr>
          <w:rFonts w:ascii="arial" w:eastAsia="arial" w:hAnsi="arial" w:cs="arial"/>
          <w:color w:val="000000"/>
          <w:sz w:val="20"/>
          <w:lang w:val="en-US" w:eastAsia="en-US" w:bidi="ar-SA"/>
        </w:rPr>
        <w:t>  The Financial Review Briefing Note addressed the three concerns that Dr. Ardanaz had pointed to in his communications to the Ministry. It pointed to some concerns with high lease costs from majority school boards, and double administration costs. The CSF also raised the issue of school recognition, highlighting its view that the CSF operated programmes on 47 sites, but only received financial recognition for 18 schools. The CSF also noted the high cost of contract bus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1302</w:t>
      </w:r>
      <w:r>
        <w:rPr>
          <w:rFonts w:ascii="arial" w:eastAsia="arial" w:hAnsi="arial" w:cs="arial"/>
          <w:color w:val="000000"/>
          <w:sz w:val="20"/>
          <w:lang w:val="en-US" w:eastAsia="en-US" w:bidi="ar-SA"/>
        </w:rPr>
        <w:t>  In its January 2000 final report, the Review Team made a series of recommendations for the CSF and the Ministry. Based on Board-level discussions about what recommendations to implement, the CSF prepared a deficit elimination plan, which it submitted to the Ministry in early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1303</w:t>
      </w:r>
      <w:r>
        <w:rPr>
          <w:rFonts w:ascii="arial" w:eastAsia="arial" w:hAnsi="arial" w:cs="arial"/>
          <w:color w:val="000000"/>
          <w:sz w:val="20"/>
          <w:lang w:val="en-US" w:eastAsia="en-US" w:bidi="ar-SA"/>
        </w:rPr>
        <w:t>  After the CSF sent its deficit elimination plan to the Ministry, CSF senior staff and Board members met with Mr. Connolly, who had become Assistant Deputy Minister of Education, and Mr. Owen. Mr. Connolly was willing to recognize more of the CSF's unique needs. Dr. Ardanaz explained that the CSF had several further meetings with Ministry officials, and met with Minister Penny Priddy in May 2000. The CSF asked the Minister for a grant to help it retire its $4.1 million accumulated deficit, suggesting that they had cut about 10% of its budget, causing a potentially devastating impact on the CSF's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1304</w:t>
      </w:r>
      <w:r>
        <w:rPr>
          <w:rFonts w:ascii="arial" w:eastAsia="arial" w:hAnsi="arial" w:cs="arial"/>
          <w:color w:val="000000"/>
          <w:sz w:val="20"/>
          <w:lang w:val="en-US" w:eastAsia="en-US" w:bidi="ar-SA"/>
        </w:rPr>
        <w:t>  In June 2000, Minister Priddy agreed to recognize seven further CSF schools. The Ministry would also provide the CSF with additional one-time grants of $400,000 for lease costs and $600,000 for learning resources. Dr. Ardanaz conceded that funding helped to retire the deficit. In July 2000, Minister Priddy approved the CSF's deficit and its plan to retire it over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1305</w:t>
      </w:r>
      <w:r>
        <w:rPr>
          <w:rFonts w:ascii="arial" w:eastAsia="arial" w:hAnsi="arial" w:cs="arial"/>
          <w:color w:val="000000"/>
          <w:sz w:val="20"/>
          <w:lang w:val="en-US" w:eastAsia="en-US" w:bidi="ar-SA"/>
        </w:rPr>
        <w:t>  By October 2001, the CSF was able to write to Deputy Minister Charles Ungerleider and confirm that the CSF would incur a $1.7 million operating surplus for the year. Some of those funds would be put toward retiring the CSF's deficit, and others were put toward initiatives to improve the CSF's financial controls. The CSF related the surplus to a number of changes, including increased funding from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1306</w:t>
      </w:r>
      <w:r>
        <w:rPr>
          <w:rFonts w:ascii="arial" w:eastAsia="arial" w:hAnsi="arial" w:cs="arial"/>
          <w:color w:val="000000"/>
          <w:sz w:val="20"/>
          <w:lang w:val="en-US" w:eastAsia="en-US" w:bidi="ar-SA"/>
        </w:rPr>
        <w:t>  In the end, the CSF was able to retire its deficit in three years, according to Dr. Ardanaz. Dr. Ardanaz explained that while the CSF did reduce its personnel, in the end, it did not amount to a 30% reduction in teaching personnel. Further, the CSF amalgamated programmes so that it did not deny students access to minority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1307</w:t>
      </w:r>
      <w:r>
        <w:rPr>
          <w:rFonts w:ascii="arial" w:eastAsia="arial" w:hAnsi="arial" w:cs="arial"/>
          <w:color w:val="000000"/>
          <w:sz w:val="20"/>
          <w:lang w:val="en-US" w:eastAsia="en-US" w:bidi="ar-SA"/>
        </w:rPr>
        <w:t>  The CSF also sought a tri-partite committee with representatives from the Ministry, the FPFCB and the CSF to conduct an in-depth study and report on the costs of Francophone education. A few meetings took place, and the CSF asked for Ministry funding to complete a study. The new Deputy Minister, Deputy Minister Emery Dosdall, was open to the study, but refused the CSF's request for funding to complete it, averting to the Ministry's review of the operating funding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1308</w:t>
      </w:r>
      <w:r>
        <w:rPr>
          <w:rFonts w:ascii="arial" w:eastAsia="arial" w:hAnsi="arial" w:cs="arial"/>
          <w:color w:val="000000"/>
          <w:sz w:val="20"/>
          <w:lang w:val="en-US" w:eastAsia="en-US" w:bidi="ar-SA"/>
        </w:rPr>
        <w:t>  In fact, beginning with 2002/03, the Ministry moved to the Enrolment-Based Funding Model, and the CSF began to generate surpluses.</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 Francophone Supplement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1309</w:t>
      </w:r>
      <w:r>
        <w:rPr>
          <w:rFonts w:ascii="arial" w:eastAsia="arial" w:hAnsi="arial" w:cs="arial"/>
          <w:color w:val="000000"/>
          <w:sz w:val="20"/>
          <w:lang w:val="en-US" w:eastAsia="en-US" w:bidi="ar-SA"/>
        </w:rPr>
        <w:t>  Today, the Ministry recognizes the additional operating costs associated with the CSF's linguistic and cultural programming by way of a 15% supplement to all of its Operating Block grant (the "15% Francophone Supplement").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1310</w:t>
      </w:r>
      <w:r>
        <w:rPr>
          <w:rFonts w:ascii="arial" w:eastAsia="arial" w:hAnsi="arial" w:cs="arial"/>
          <w:color w:val="000000"/>
          <w:sz w:val="20"/>
          <w:lang w:val="en-US" w:eastAsia="en-US" w:bidi="ar-SA"/>
        </w:rPr>
        <w:t>  The defendants plead the 15% Francophone Supplement in defence to the plaintiffs' claim. The plaintiffs respond that the supplement is not a special benefit that has been afforded to the CSF. Rather, the plaintiffs' position is that the supplement is an adjustment to the Enrolment-Based Funding Model to recognize the CSF's higher operating costs for providing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1311</w:t>
      </w:r>
      <w:r>
        <w:rPr>
          <w:rFonts w:ascii="arial" w:eastAsia="arial" w:hAnsi="arial" w:cs="arial"/>
          <w:color w:val="000000"/>
          <w:sz w:val="20"/>
          <w:lang w:val="en-US" w:eastAsia="en-US" w:bidi="ar-SA"/>
        </w:rPr>
        <w:t>  Mr. Bonnefoy and Mr. Miller testified about how the 15% Francophone Supplement came to be. According to Mr. Bonnefoy, when he began working for the CSF in about 2004, the CSF faced added cost pressures recruiting and training staff, developing and acquiring learning resources and transporting students. In November 2004, Mr. Jean Watters, the CSF's Superintendent, wrote to Deputy Minister Dosdall and stated his view that the Ministry's funding allocation system did not recognize the CSF's unique needs. Mr. Watters formally requested that the Minister establish a task force to investigate and report to the Minister on all aspects of provincial funding for the K-12 Francophone education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1312</w:t>
      </w:r>
      <w:r>
        <w:rPr>
          <w:rFonts w:ascii="arial" w:eastAsia="arial" w:hAnsi="arial" w:cs="arial"/>
          <w:color w:val="000000"/>
          <w:sz w:val="20"/>
          <w:lang w:val="en-US" w:eastAsia="en-US" w:bidi="ar-SA"/>
        </w:rPr>
        <w:t>  Mr. Miller explained that the Ministry endeavoured to work jointly with the CSF to address its operating funding needs. In January 2005, Deputy Minister Dosdall committed the Ministry to reviewing recommendations from previous bodies, and studying the funding formula and the CSF's differential cost requirements. He asked the CSF to prepare a report identifying the specific cost differentials between the CSF and school districts with similar enrolments and unique geographic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1313</w:t>
      </w:r>
      <w:r>
        <w:rPr>
          <w:rFonts w:ascii="arial" w:eastAsia="arial" w:hAnsi="arial" w:cs="arial"/>
          <w:color w:val="000000"/>
          <w:sz w:val="20"/>
          <w:lang w:val="en-US" w:eastAsia="en-US" w:bidi="ar-SA"/>
        </w:rPr>
        <w:t>  The CSF engaged Trillium Business Strategies Inc. ("Trillium") to prepare the report. In May 2005, Trillium completed the report, entitled "Funding for Francophone Education: Challenges Facing the Conseil Scolaire Francophone" (the "Operating Funding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1314</w:t>
      </w:r>
      <w:r>
        <w:rPr>
          <w:rFonts w:ascii="arial" w:eastAsia="arial" w:hAnsi="arial" w:cs="arial"/>
          <w:color w:val="000000"/>
          <w:sz w:val="20"/>
          <w:lang w:val="en-US" w:eastAsia="en-US" w:bidi="ar-SA"/>
        </w:rPr>
        <w:t>  The Operating Funding Report pointed to a number of unique cost pressures the CSF faced. Those included the cost of providing linguistic and cultural education for students. The CSF also faced additional costs related to staffing levels, teacher recruitment, teacher in-service and professional development costs, learning resources, and distance learning. It also noted that the CSF was not eligible for French-as-a-second-language ("Francisation") funding despite the burden of educating rightsholders' children that spoke limited or no French. Other issues related to the CSF's lack of an asset base to generate local revenue, the cost of leasing properties and the cost of transporting students to and from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1315</w:t>
      </w:r>
      <w:r>
        <w:rPr>
          <w:rFonts w:ascii="arial" w:eastAsia="arial" w:hAnsi="arial" w:cs="arial"/>
          <w:color w:val="000000"/>
          <w:sz w:val="20"/>
          <w:lang w:val="en-US" w:eastAsia="en-US" w:bidi="ar-SA"/>
        </w:rPr>
        <w:t>  Mr. Bonnefoy explained that the CSF submitted the Operating Funding Report to the Ministry. Mr. Miller testified that the Minister was prepared to begin funding Francisation services immediately. According to Mr. Miller, the Minister also broadly accepted the need to adjust the provincial operating grant formula to recognize the added costs the CSF incurred related to its linguistic and cultural mandate. However, the Ministry required better quantification of the CSF's differential costs. The Minister decided to provide Francisation funding immediately, then establish an annual grant to the CSF to account for its unique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1316</w:t>
      </w:r>
      <w:r>
        <w:rPr>
          <w:rFonts w:ascii="arial" w:eastAsia="arial" w:hAnsi="arial" w:cs="arial"/>
          <w:color w:val="000000"/>
          <w:sz w:val="20"/>
          <w:lang w:val="en-US" w:eastAsia="en-US" w:bidi="ar-SA"/>
        </w:rPr>
        <w:t>  On July 19, 2005, the Minister announced that beginning in 2005/06, it would provide the CSF with an additional $1,100 for each student who spoke French as a second language. Mr. Bonnefoy confirmed that this in fact occurred. Over the course of a series of meetings in 2005, the Minister also agreed to fund administrative fees in leases for fees associated with district-level services. School-based fees, though, would continue to be the CSF's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1317</w:t>
      </w:r>
      <w:r>
        <w:rPr>
          <w:rFonts w:ascii="arial" w:eastAsia="arial" w:hAnsi="arial" w:cs="arial"/>
          <w:color w:val="000000"/>
          <w:sz w:val="20"/>
          <w:lang w:val="en-US" w:eastAsia="en-US" w:bidi="ar-SA"/>
        </w:rPr>
        <w:t>  The Ministry also asked the CSF to prepare a report giving more specifics about its financial request. With the assistance of Trillium, the CSF prepared a report dated March 2006 entitled "Funding Requirements for Minority Language Education" (the "Funding Requirements Request"), to provide further details quantifying its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1318</w:t>
      </w:r>
      <w:r>
        <w:rPr>
          <w:rFonts w:ascii="arial" w:eastAsia="arial" w:hAnsi="arial" w:cs="arial"/>
          <w:color w:val="000000"/>
          <w:sz w:val="20"/>
          <w:lang w:val="en-US" w:eastAsia="en-US" w:bidi="ar-SA"/>
        </w:rPr>
        <w:t>  The major part of the Funding Requirements Request sets out existing, expanded and new CSF programmes designed to address the CSF's minority language obligations between 2006/07 and 2009/10. For each programme, the CSF articulated the basis for the programme requirements and the costs that would be associated with the programme in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1319</w:t>
      </w:r>
      <w:r>
        <w:rPr>
          <w:rFonts w:ascii="arial" w:eastAsia="arial" w:hAnsi="arial" w:cs="arial"/>
          <w:color w:val="000000"/>
          <w:sz w:val="20"/>
          <w:lang w:val="en-US" w:eastAsia="en-US" w:bidi="ar-SA"/>
        </w:rPr>
        <w:t>  The CSF identified incremental costs associated with its staffing needs. The CSF planned to provide sufficient classroom teachers to limit split classes to two grade levels. In connection with cultural programmes, the CSF planned to employ regional cultural coordinators to facilitate the development and implementation of cultural activities in each region. Further, the CSF employed specialists to deliver its English language arts programme at the elementary level, which resulted in extra staffing costs. The CSF also planned to expand its teacher and administrator recruitment programme. Additionally, the CSF averted to a programme to promote minority schools to the Francophone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1320</w:t>
      </w:r>
      <w:r>
        <w:rPr>
          <w:rFonts w:ascii="arial" w:eastAsia="arial" w:hAnsi="arial" w:cs="arial"/>
          <w:color w:val="000000"/>
          <w:sz w:val="20"/>
          <w:lang w:val="en-US" w:eastAsia="en-US" w:bidi="ar-SA"/>
        </w:rPr>
        <w:t>  The CSF additionally identified additional costs associated with a new technology programme it planned to implement to facilitate communication and professional development, provide students with laptops and to improve wireless technology. The CSF also requested funds to contribute to before- and after-school care for elementary students in existing space in CSF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1321</w:t>
      </w:r>
      <w:r>
        <w:rPr>
          <w:rFonts w:ascii="arial" w:eastAsia="arial" w:hAnsi="arial" w:cs="arial"/>
          <w:color w:val="000000"/>
          <w:sz w:val="20"/>
          <w:lang w:val="en-US" w:eastAsia="en-US" w:bidi="ar-SA"/>
        </w:rPr>
        <w:t>  In connection with its capital programme, the CSF asked for funding to put toward the development and implementation of a five-year facilities plan and facilities studies. The CSF also requested additional funds to hire a person into a facilities management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1322</w:t>
      </w:r>
      <w:r>
        <w:rPr>
          <w:rFonts w:ascii="arial" w:eastAsia="arial" w:hAnsi="arial" w:cs="arial"/>
          <w:color w:val="000000"/>
          <w:sz w:val="20"/>
          <w:lang w:val="en-US" w:eastAsia="en-US" w:bidi="ar-SA"/>
        </w:rPr>
        <w:t>  In connection with its existing student transportation programme, the CSF requested extra funding to establish reasonable walk limits and create efficient bus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1323</w:t>
      </w:r>
      <w:r>
        <w:rPr>
          <w:rFonts w:ascii="arial" w:eastAsia="arial" w:hAnsi="arial" w:cs="arial"/>
          <w:color w:val="000000"/>
          <w:sz w:val="20"/>
          <w:lang w:val="en-US" w:eastAsia="en-US" w:bidi="ar-SA"/>
        </w:rPr>
        <w:t>  The Funding Requirements Request estimated that the incremental costs of delivering existing, expanded and new programmes through the 2009/10 school year would require the following amounts, which would be funded by the Provincial and Federal Governments, respectively:</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432.06pt;height:70.51pt">
            <v:imagedata r:id="rId41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1324</w:t>
      </w:r>
      <w:r>
        <w:rPr>
          <w:rFonts w:ascii="arial" w:eastAsia="arial" w:hAnsi="arial" w:cs="arial"/>
          <w:color w:val="000000"/>
          <w:sz w:val="20"/>
          <w:lang w:val="en-US" w:eastAsia="en-US" w:bidi="ar-SA"/>
        </w:rPr>
        <w:t>  Mr. Bonnefoy explained that the CSF estimated the provincial components based on the cost of the programs that were detailed in the report. The federal component consisted of amounts the CSF was already receiving pursuant to five-year agreements between the Provincial and Federal governments.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1325</w:t>
      </w:r>
      <w:r>
        <w:rPr>
          <w:rFonts w:ascii="arial" w:eastAsia="arial" w:hAnsi="arial" w:cs="arial"/>
          <w:color w:val="000000"/>
          <w:sz w:val="20"/>
          <w:lang w:val="en-US" w:eastAsia="en-US" w:bidi="ar-SA"/>
        </w:rPr>
        <w:t>  While Mr. Bonnefoy was being cross-examined, it was put to him that there was some duplication between the costs stated for each program, and between the Federal and Provincial components of the funding the CSF requested. Mr. Bonnefoy initially disagreed, before conceding that there appeared to be some similarities. I note that he was argumentative and uncooperative in this point of his cross-examination. On my review, there does appear to be some duplication of costs; for example, between the costs associated with a vocational programme and a programme for leadership training 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1326</w:t>
      </w:r>
      <w:r>
        <w:rPr>
          <w:rFonts w:ascii="arial" w:eastAsia="arial" w:hAnsi="arial" w:cs="arial"/>
          <w:color w:val="000000"/>
          <w:sz w:val="20"/>
          <w:lang w:val="en-US" w:eastAsia="en-US" w:bidi="ar-SA"/>
        </w:rPr>
        <w:t>  The CSF requested that the Province provide it with a supplement each year equivalent to 25% of the operating grant that would be allocated to a majority school district. The CSF noted that would amount to about $9,077,536, or $2,553 per pupil, for the 2005/06 school year. The CSF acknowledged that supplement would be about $1.5 million short of the estimated costs of delivering the existing, expanded and new programmes detailed in the Funding Requirements Request. The CSF undertook to fund the remainder through judicious application of its Operating Block grant funding. Additionally, the CSF requested a one-time retroactive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1327</w:t>
      </w:r>
      <w:r>
        <w:rPr>
          <w:rFonts w:ascii="arial" w:eastAsia="arial" w:hAnsi="arial" w:cs="arial"/>
          <w:color w:val="000000"/>
          <w:sz w:val="20"/>
          <w:lang w:val="en-US" w:eastAsia="en-US" w:bidi="ar-SA"/>
        </w:rPr>
        <w:t>  Mr. Miller was involved in the Ministry's review of the Funding Requirements Request. He advised that the Ministry examined which requests were one-time in nature, which may have been funded previously (such as by the Federal Government), and those that could be combined to achieve savings. The review identified that $5.4 million, or 60% of the initial $9 million request, was specifically targeted to language and culture, and was non-duplicative.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1328</w:t>
      </w:r>
      <w:r>
        <w:rPr>
          <w:rFonts w:ascii="arial" w:eastAsia="arial" w:hAnsi="arial" w:cs="arial"/>
          <w:color w:val="000000"/>
          <w:sz w:val="20"/>
          <w:lang w:val="en-US" w:eastAsia="en-US" w:bidi="ar-SA"/>
        </w:rPr>
        <w:t>  Mr. Miller revealed that Ministry staff also considered how to justify an inclusive funding factor that could be applied to the CSF for the foreseeable future. Ultimately, the analysis led Ministry staff to a 15% funding supplement on top of the CSF's Operating Block grant, retroactive to the previous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1329</w:t>
      </w:r>
      <w:r>
        <w:rPr>
          <w:rFonts w:ascii="arial" w:eastAsia="arial" w:hAnsi="arial" w:cs="arial"/>
          <w:color w:val="000000"/>
          <w:sz w:val="20"/>
          <w:lang w:val="en-US" w:eastAsia="en-US" w:bidi="ar-SA"/>
        </w:rPr>
        <w:t>  Based on that, in March 2006, the Minister approved a one-time grant of $3 million toward the eventual settlement of the issue. After Ministry staff had studied the issue, in October 2006, Deputy Minister Dosdall wrote to Mr. Watters and confirmed that the Ministry would provide the CSF with a supplement equal to 15% of its final annual operating grant, beginning with and retroactive to the 2005/06 school year, net of the $3 million advance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1330</w:t>
      </w:r>
      <w:r>
        <w:rPr>
          <w:rFonts w:ascii="arial" w:eastAsia="arial" w:hAnsi="arial" w:cs="arial"/>
          <w:color w:val="000000"/>
          <w:sz w:val="20"/>
          <w:lang w:val="en-US" w:eastAsia="en-US" w:bidi="ar-SA"/>
        </w:rPr>
        <w:t>  Mr. Bonnefoy explained that while he was pleased with the 15% Francophone Funding Supplement, he was also concerned the CSF would not be able to implement all its plans. The CSF abandoned the teacher and administrator retention incentive and its student transportation project. However, Mr. Bonnefoy confirmed that he did not communicate to the Ministry that the funds would be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1331</w:t>
      </w:r>
      <w:r>
        <w:rPr>
          <w:rFonts w:ascii="arial" w:eastAsia="arial" w:hAnsi="arial" w:cs="arial"/>
          <w:color w:val="000000"/>
          <w:sz w:val="20"/>
          <w:lang w:val="en-US" w:eastAsia="en-US" w:bidi="ar-SA"/>
        </w:rPr>
        <w:t>  Mr. Miller did not recall ever being told that the 15% Francophone Supplement would not be adequate for the CSF's purposes. He advised that in December 2006, the Minister received a letter from Ms. Marie Bourgeois, the CSF President, expressing thanks for the 15% Francophone Supplement. Ms. Bourgeois advised that the additional resources would "allow the Conseil to implement its strategic plan", creating "a win/win situation for your government and the Francophone community." While under cross-examination, Mr. Bonnefoy hesitantly conceded that the supplement was "win/win".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1332</w:t>
      </w:r>
      <w:r>
        <w:rPr>
          <w:rFonts w:ascii="arial" w:eastAsia="arial" w:hAnsi="arial" w:cs="arial"/>
          <w:color w:val="000000"/>
          <w:sz w:val="20"/>
          <w:lang w:val="en-US" w:eastAsia="en-US" w:bidi="ar-SA"/>
        </w:rPr>
        <w:t>  The operating grant manuals show what funding the CSF received pursuant to the 15% Francophone Supplement in each year. Those amounts are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09" type="#_x0000_t75" style="width:245.25pt;height:166.5pt">
            <v:imagedata r:id="rId414"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 The CSF's Operating Funding and Surpluses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1333</w:t>
      </w:r>
      <w:r>
        <w:rPr>
          <w:rFonts w:ascii="arial" w:eastAsia="arial" w:hAnsi="arial" w:cs="arial"/>
          <w:color w:val="000000"/>
          <w:sz w:val="20"/>
          <w:lang w:val="en-US" w:eastAsia="en-US" w:bidi="ar-SA"/>
        </w:rPr>
        <w:t>  The defendants prepared a series of charts based on evidence from Mr. Lebrun showing the average per pupil operating funding that all districts received at three points in time: 2000/01, 2009/10 and 2013/14. Those points in time reflect the year prior to the change to the Enrolment-Based Funding Model, the point when the litigation commenced, and the most recent date for which the Court has complete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1334</w:t>
      </w:r>
      <w:r>
        <w:rPr>
          <w:rFonts w:ascii="arial" w:eastAsia="arial" w:hAnsi="arial" w:cs="arial"/>
          <w:color w:val="000000"/>
          <w:sz w:val="20"/>
          <w:lang w:val="en-US" w:eastAsia="en-US" w:bidi="ar-SA"/>
        </w:rPr>
        <w:t>  In 2000/01, the CSF's per pupil operating allocation came to $10,300. The provincial average at that time (including the CSF) was $6,262 per student. The average allocation in Competing Districts was $6,341. The CSF fared better than all districts in the Province except four: SD49-Central Coast, SD84-Vancouver Island West, SD87-Stikine and SD92-Nisga'a.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1335</w:t>
      </w:r>
      <w:r>
        <w:rPr>
          <w:rFonts w:ascii="arial" w:eastAsia="arial" w:hAnsi="arial" w:cs="arial"/>
          <w:color w:val="000000"/>
          <w:sz w:val="20"/>
          <w:lang w:val="en-US" w:eastAsia="en-US" w:bidi="ar-SA"/>
        </w:rPr>
        <w:t>  In 2009/10, the CSF's per pupil operating allocation came to $12,759, greater than the provincial average (including the CSF) of $8,182, and the per pupil average in Competing Districts, which averaged to $8,443. At that point in time, six districts received more per student than the CSF: SD49-Central Coast, SD50-Haida Gwaii, SD74-Gold Trail, SD84-Vancouver Island West, SD87-Stikine, and SD92-Nisga'a.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1336</w:t>
      </w:r>
      <w:r>
        <w:rPr>
          <w:rFonts w:ascii="arial" w:eastAsia="arial" w:hAnsi="arial" w:cs="arial"/>
          <w:color w:val="000000"/>
          <w:sz w:val="20"/>
          <w:lang w:val="en-US" w:eastAsia="en-US" w:bidi="ar-SA"/>
        </w:rPr>
        <w:t>  In 2013/14, the CSF's per pupil operating allocation came to $13,066. The provincial average at that time was $8,690 per student, while the average in Competing Districts was $8,958. At that point, seven districts fared better than the CSF: SD8-Kootenay Lake, SD49-Central Coast, SD50-Haida Gwaii, SD74-Gold Trail, SD84-Vancouver Island West, SD87-Stikine, and SD92-Nisga'a.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1337</w:t>
      </w:r>
      <w:r>
        <w:rPr>
          <w:rFonts w:ascii="arial" w:eastAsia="arial" w:hAnsi="arial" w:cs="arial"/>
          <w:color w:val="000000"/>
          <w:sz w:val="20"/>
          <w:lang w:val="en-US" w:eastAsia="en-US" w:bidi="ar-SA"/>
        </w:rPr>
        <w:t>  Since about 2005, the CSF has had sufficient operating funding to generate surpluses. The Court was presented with the CSF's Statements of Financial Information beginning with the 1996/97 budget year. These records show the operating funding that the CSF received year over year, and its operating surpluses and deficits. The accumulated deficits and surpluses are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0" type="#_x0000_t75" style="width:270pt;height:227.25pt">
            <v:imagedata r:id="rId41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1338</w:t>
      </w:r>
      <w:r>
        <w:rPr>
          <w:rFonts w:ascii="arial" w:eastAsia="arial" w:hAnsi="arial" w:cs="arial"/>
          <w:color w:val="000000"/>
          <w:sz w:val="20"/>
          <w:lang w:val="en-US" w:eastAsia="en-US" w:bidi="ar-SA"/>
        </w:rPr>
        <w:t>  Mr. Bonnefoy recalled that by 2009, the CSF was showing net accumulated operating surplus funds of $5.7 million. Mr. Bonnefoy explained that those surpluses related to the funding received as part of the 15% Francophone Supplement. They were earmarked for spending over the course of the CSF's five-year strategic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1339</w:t>
      </w:r>
      <w:r>
        <w:rPr>
          <w:rFonts w:ascii="arial" w:eastAsia="arial" w:hAnsi="arial" w:cs="arial"/>
          <w:color w:val="000000"/>
          <w:sz w:val="20"/>
          <w:lang w:val="en-US" w:eastAsia="en-US" w:bidi="ar-SA"/>
        </w:rPr>
        <w:t>  The CSF continued to generate, and then deplete its operating surplus during Mr. Allison's time as Secretary-Treasurer, which began in about January 2010. In about June 2010, the CSF had an operating surplus of about $4 million. Since that time, the accumulated operating surplus has decreased to about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1340</w:t>
      </w:r>
      <w:r>
        <w:rPr>
          <w:rFonts w:ascii="arial" w:eastAsia="arial" w:hAnsi="arial" w:cs="arial"/>
          <w:color w:val="000000"/>
          <w:sz w:val="20"/>
          <w:lang w:val="en-US" w:eastAsia="en-US" w:bidi="ar-SA"/>
        </w:rPr>
        <w:t>  Mr. Allison admitted while under cross-examination that since he has become Secretary-Treasurer, the CSF has incurred non-perpetual expenses that he expected would cease in the future-- namely, the legal fees related to this litigation. I allowed that line of cross-examination because Mr. Allison put it in issue and because the adequacy of the CSF's operating funding to meet its transportation needs is a live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1341</w:t>
      </w:r>
      <w:r>
        <w:rPr>
          <w:rFonts w:ascii="arial" w:eastAsia="arial" w:hAnsi="arial" w:cs="arial"/>
          <w:color w:val="000000"/>
          <w:sz w:val="20"/>
          <w:lang w:val="en-US" w:eastAsia="en-US" w:bidi="ar-SA"/>
        </w:rPr>
        <w:t>  The table below shows the CSF's accumulated surpluses and expenditures on legal fees associated with this litigation during Mr. Allison's tenure as Secretary-Treasurer:</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1" type="#_x0000_t75" style="width:379.5pt;height:124.5pt">
            <v:imagedata r:id="rId41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1342</w:t>
      </w:r>
      <w:r>
        <w:rPr>
          <w:rFonts w:ascii="arial" w:eastAsia="arial" w:hAnsi="arial" w:cs="arial"/>
          <w:color w:val="000000"/>
          <w:sz w:val="20"/>
          <w:lang w:val="en-US" w:eastAsia="en-US" w:bidi="ar-SA"/>
        </w:rPr>
        <w:t>  Mr. Allison conceded that from the time he became Secretary-Treasurer and the litigation began in 2012, through January 2015, the CSF spent about $12 million on legal fees associated with this litigation. Mr. Allison refused to admit that were it not for the legal fees, the CSF would have been in surplus to the amount of $13 million ($12 million, plus the current $1 million surplus). He maintained that the CSF reduced operating expenses to fund the litigation, so the CSF would have spent more on operating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1343</w:t>
      </w:r>
      <w:r>
        <w:rPr>
          <w:rFonts w:ascii="arial" w:eastAsia="arial" w:hAnsi="arial" w:cs="arial"/>
          <w:color w:val="000000"/>
          <w:sz w:val="20"/>
          <w:lang w:val="en-US" w:eastAsia="en-US" w:bidi="ar-SA"/>
        </w:rPr>
        <w:t>  The documentation shows that CSF spent just short of $10 million on this litigation in the five years between 2009/10 and 2013/14. The amounts spent depleted the surplus by less than $1 million in most years. Thus, the CSF paid for its legal fees primarily by cutting its operating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1344</w:t>
      </w:r>
      <w:r>
        <w:rPr>
          <w:rFonts w:ascii="arial" w:eastAsia="arial" w:hAnsi="arial" w:cs="arial"/>
          <w:color w:val="000000"/>
          <w:sz w:val="20"/>
          <w:lang w:val="en-US" w:eastAsia="en-US" w:bidi="ar-SA"/>
        </w:rPr>
        <w:t>  Mr. Allison agreed, however, that once the litigation concludes, the CSF will be able to apply the operating funds spent on the litigation to other purposes, such as transportation costs, should the CSF Board of Trustees so decide.</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1345</w:t>
      </w:r>
      <w:r>
        <w:rPr>
          <w:rFonts w:ascii="arial" w:eastAsia="arial" w:hAnsi="arial" w:cs="arial"/>
          <w:color w:val="000000"/>
          <w:sz w:val="20"/>
          <w:lang w:val="en-US" w:eastAsia="en-US" w:bidi="ar-SA"/>
        </w:rPr>
        <w:t>  The plaintiffs argue that the Province mobilized insufficient resources to permit the CSF to accomplish its mandate in its early years. The plaintiffs point in particular to the failure to recognize all of the CSF's schools, the lack of adequate transportation funding and the double administration costs being charged by school boards. In their submission, the Province was wrong to treat the CSF the same as every other district in those early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1346</w:t>
      </w:r>
      <w:r>
        <w:rPr>
          <w:rFonts w:ascii="arial" w:eastAsia="arial" w:hAnsi="arial" w:cs="arial"/>
          <w:color w:val="000000"/>
          <w:sz w:val="20"/>
          <w:lang w:val="en-US" w:eastAsia="en-US" w:bidi="ar-SA"/>
        </w:rPr>
        <w:t xml:space="preserve">  The defendants take the position that since 2001/02, the CSF has received far more in operating funds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than the provincial average: always in the top 10 school districts. They suggest that those few districts that receive more in operating funding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than the CSF are remote districts with whom the CSF usually does not compete, and whose unique characteristics warrant unique funding recognition.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1347</w:t>
      </w:r>
      <w:r>
        <w:rPr>
          <w:rFonts w:ascii="arial" w:eastAsia="arial" w:hAnsi="arial" w:cs="arial"/>
          <w:color w:val="000000"/>
          <w:sz w:val="20"/>
          <w:lang w:val="en-US" w:eastAsia="en-US" w:bidi="ar-SA"/>
        </w:rPr>
        <w:t xml:space="preserve">  The plaintiffs argue that to the extent that the CSF receives higher operating funding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that is by design to recognize the unique challenges the CSF faces as the only provincial school district. They note that each of the factors relates to an added cost pressure, and observe that the CSF faces those cost pressures.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1348</w:t>
      </w:r>
      <w:r>
        <w:rPr>
          <w:rFonts w:ascii="arial" w:eastAsia="arial" w:hAnsi="arial" w:cs="arial"/>
          <w:color w:val="000000"/>
          <w:sz w:val="20"/>
          <w:lang w:val="en-US" w:eastAsia="en-US" w:bidi="ar-SA"/>
        </w:rPr>
        <w:t>  It is true that under Mr. Connolly's leadership, the Province treated the CSF in the same manner as other districts with respect to operating funding. This is clear from statements made in letters by Mr. Connolly, as well as the Review Team's mandate to ensure that the CSF was being funded consistently with other districts. This was a formal equality approach that posed the risk of failing to treat the CSF differently to achieve substantive equality.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1349</w:t>
      </w:r>
      <w:r>
        <w:rPr>
          <w:rFonts w:ascii="arial" w:eastAsia="arial" w:hAnsi="arial" w:cs="arial"/>
          <w:color w:val="000000"/>
          <w:sz w:val="20"/>
          <w:lang w:val="en-US" w:eastAsia="en-US" w:bidi="ar-SA"/>
        </w:rPr>
        <w:t>  However, the Ministry has moved away from this approach. When the Enrolment-Based Funding Model was implemented in 2002/03, the CSF began to benefit more than any other district from Unique District Factors. The plaintiffs do not challenge the operating funding system that exists today except in connection with transportation funding. As I see it, the historic issues related to the Resource-Cost Funding Model have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1350</w:t>
      </w:r>
      <w:r>
        <w:rPr>
          <w:rFonts w:ascii="arial" w:eastAsia="arial" w:hAnsi="arial" w:cs="arial"/>
          <w:color w:val="000000"/>
          <w:sz w:val="20"/>
          <w:lang w:val="en-US" w:eastAsia="en-US" w:bidi="ar-SA"/>
        </w:rPr>
        <w:t>  Since 2002/03, at least, the CSF has been a very well-funded school district. It has generated significant surpluses every year. The CSF benefits more than majority boards from the Unique District Factors in the Enrolment-Based Funding Model: about $17 million per year in recent years. The CSF also began benefiting from the 15% Francophone Supplement after 2006/07. It benefited from between $7 million and $9 million in each of the past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1351</w:t>
      </w:r>
      <w:r>
        <w:rPr>
          <w:rFonts w:ascii="arial" w:eastAsia="arial" w:hAnsi="arial" w:cs="arial"/>
          <w:color w:val="000000"/>
          <w:sz w:val="20"/>
          <w:lang w:val="en-US" w:eastAsia="en-US" w:bidi="ar-SA"/>
        </w:rPr>
        <w:t>  However, I find that each of the Unique District Factors is linked to an actual cost differential that arises out of operating a school district with a certain characteristic. While the CSF is very well-funded on the operating side, its increased operating funding is designed to compensate the CSF for the actual increased cost pressures it faces because of its unique situation as a provincial school board. Similarly, the 15% Francophone Supplement is designed to fund a number of aspects of the CSF's linguistic and cultural programming needs, and is based on the actual cost of providing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 Sources Available Exclusively or Primarily to Majority Boards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1352</w:t>
      </w:r>
      <w:r>
        <w:rPr>
          <w:rFonts w:ascii="arial" w:eastAsia="arial" w:hAnsi="arial" w:cs="arial"/>
          <w:color w:val="000000"/>
          <w:sz w:val="20"/>
          <w:lang w:val="en-US" w:eastAsia="en-US" w:bidi="ar-SA"/>
        </w:rPr>
        <w:t>  The defendants acknowledge that majority school boards have access to several sources of funding that the CSF does not: revenue from surplus space, and the benefits flowing from School Site Acquisition Charges. However, in their submission, it is important to consider what the CSF's advantage would be if it had the benefit of those incomes, proportionate to the CSF's size of the B.C. student population. They say that the amounts the CSF is missing out on are small.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Revenue from Surplus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1353</w:t>
      </w:r>
      <w:r>
        <w:rPr>
          <w:rFonts w:ascii="arial" w:eastAsia="arial" w:hAnsi="arial" w:cs="arial"/>
          <w:color w:val="000000"/>
          <w:sz w:val="20"/>
          <w:lang w:val="en-US" w:eastAsia="en-US" w:bidi="ar-SA"/>
        </w:rPr>
        <w:t>  The evidence focused on two ways school boards can use their surplus space to generate revenue: admitting and charging tuition to international students, and renting or leasing surplus space to private parties. The plaintiffs say the CSF has limited ability to generate funding from those sources because it does not have excess space. The defendants take the position that the CSF could generate funds the way that the majority boards do but chooses not to, and that any amount the CSF is missing out on is, in any event,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1354</w:t>
      </w:r>
      <w:r>
        <w:rPr>
          <w:rFonts w:ascii="arial" w:eastAsia="arial" w:hAnsi="arial" w:cs="arial"/>
          <w:color w:val="000000"/>
          <w:sz w:val="20"/>
          <w:lang w:val="en-US" w:eastAsia="en-US" w:bidi="ar-SA"/>
        </w:rPr>
        <w:t>  A school board's ability to generate funds by leasing its facilities depends on the amount of surplus space it has in its asset base. The majority boards have, on average, 20.19 square metres of space per student. The Competing Districts have an average of 15.61 square metres per student. The CSF has less space per student than the provincial average, but more than the Competing Districts, at 18.29 square metres per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1355</w:t>
      </w:r>
      <w:r>
        <w:rPr>
          <w:rFonts w:ascii="arial" w:eastAsia="arial" w:hAnsi="arial" w:cs="arial"/>
          <w:color w:val="000000"/>
          <w:sz w:val="20"/>
          <w:lang w:val="en-US" w:eastAsia="en-US" w:bidi="ar-SA"/>
        </w:rPr>
        <w:t xml:space="preserve">  The replacement value of the CSF's assets base also sheds some light on whether it has an asset base that is similar to what the majority has. As of January 2015, the average replacement value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of district assets (excluding the CSF) was $29,961.32. In the Competing Districts, the replacement value was $37,656. The replacement value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of CSF assets is below both averages, at $24,597. About 11 districts, most of them in the Lower Mainland and southern Vancouver Island, fare worse than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1356</w:t>
      </w:r>
      <w:r>
        <w:rPr>
          <w:rFonts w:ascii="arial" w:eastAsia="arial" w:hAnsi="arial" w:cs="arial"/>
          <w:color w:val="000000"/>
          <w:sz w:val="20"/>
          <w:lang w:val="en-US" w:eastAsia="en-US" w:bidi="ar-SA"/>
        </w:rPr>
        <w:t>  When a school board has surplus space in its facilities, it can use that space to educate international students for a tuition fee. The revenue from international students is typically treated as operating revenue; however, it gives school districts more room to allocate operating funding to their Local Capital Reserve accounts, or to offer enhanced services, at their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1357</w:t>
      </w:r>
      <w:r>
        <w:rPr>
          <w:rFonts w:ascii="arial" w:eastAsia="arial" w:hAnsi="arial" w:cs="arial"/>
          <w:color w:val="000000"/>
          <w:sz w:val="20"/>
          <w:lang w:val="en-US" w:eastAsia="en-US" w:bidi="ar-SA"/>
        </w:rPr>
        <w:t>  The Court received evidence of the revenue that B.C.'s school districts generated from international tuition fees in 2011/12, 2012/13 and 2013/14. The information is reported as "Offshore Tuition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1358</w:t>
      </w:r>
      <w:r>
        <w:rPr>
          <w:rFonts w:ascii="arial" w:eastAsia="arial" w:hAnsi="arial" w:cs="arial"/>
          <w:color w:val="000000"/>
          <w:sz w:val="20"/>
          <w:lang w:val="en-US" w:eastAsia="en-US" w:bidi="ar-SA"/>
        </w:rPr>
        <w:t>  In 2011/12, 47 districts generated $138,803,821 in offshore tuition fees. On average, those districts generated about $2.9 million, ranging from a high of $14.9 million (SD43-Coquitlam) to a low of $6,100 (SD82-Coast Mountains).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1359</w:t>
      </w:r>
      <w:r>
        <w:rPr>
          <w:rFonts w:ascii="arial" w:eastAsia="arial" w:hAnsi="arial" w:cs="arial"/>
          <w:color w:val="000000"/>
          <w:sz w:val="20"/>
          <w:lang w:val="en-US" w:eastAsia="en-US" w:bidi="ar-SA"/>
        </w:rPr>
        <w:t>  In 2012/13, 47 districts generated $146,488,513 in offshore tuition fees. On average, those districts generated about $3.1 million, ranging from a high of $16.1 million (SD39-Vancouver) to a low of $20,000 (SD27-Cariboo-Chilcotin).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1360</w:t>
      </w:r>
      <w:r>
        <w:rPr>
          <w:rFonts w:ascii="arial" w:eastAsia="arial" w:hAnsi="arial" w:cs="arial"/>
          <w:color w:val="000000"/>
          <w:sz w:val="20"/>
          <w:lang w:val="en-US" w:eastAsia="en-US" w:bidi="ar-SA"/>
        </w:rPr>
        <w:t>  In 2013/14, 48 districts generated $155,854,816 in offshore tuition fees. On average, those districts generated about $3.2 million, ranging from a high of $18.2 million (SD39-Vancouver) to a low of $8,000 (SD54-Bulkley Valley). That year, the majority districts involved in this claim generated almost $100 million in international tuition fees, with an average of $555,402 generated per district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1361</w:t>
      </w:r>
      <w:r>
        <w:rPr>
          <w:rFonts w:ascii="arial" w:eastAsia="arial" w:hAnsi="arial" w:cs="arial"/>
          <w:color w:val="000000"/>
          <w:sz w:val="20"/>
          <w:lang w:val="en-US" w:eastAsia="en-US" w:bidi="ar-SA"/>
        </w:rPr>
        <w:t>  Of course, there is also a cost associated with educating international students. The evidence shows that in 2013/14, the cost of educating offshore students, across all districts, totalled about $103,584,383. Thus, the net income from those sources across all districts in 2013/14 was $52,270,433: a profit margin of about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1362</w:t>
      </w:r>
      <w:r>
        <w:rPr>
          <w:rFonts w:ascii="arial" w:eastAsia="arial" w:hAnsi="arial" w:cs="arial"/>
          <w:color w:val="000000"/>
          <w:sz w:val="20"/>
          <w:lang w:val="en-US" w:eastAsia="en-US" w:bidi="ar-SA"/>
        </w:rPr>
        <w:t>  The CSF did not generate any funds from international student tuition in any of those school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1363</w:t>
      </w:r>
      <w:r>
        <w:rPr>
          <w:rFonts w:ascii="arial" w:eastAsia="arial" w:hAnsi="arial" w:cs="arial"/>
          <w:color w:val="000000"/>
          <w:sz w:val="20"/>
          <w:lang w:val="en-US" w:eastAsia="en-US" w:bidi="ar-SA"/>
        </w:rPr>
        <w:t>  The defendants argue that if the $52,270,433 net profit all districts derived from international student tuition were distributed proportionately between districts, given the CSF's 1% share of the total student population, its share of the international student tuition fees would be $522,704.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1364</w:t>
      </w:r>
      <w:r>
        <w:rPr>
          <w:rFonts w:ascii="arial" w:eastAsia="arial" w:hAnsi="arial" w:cs="arial"/>
          <w:color w:val="000000"/>
          <w:sz w:val="20"/>
          <w:lang w:val="en-US" w:eastAsia="en-US" w:bidi="ar-SA"/>
        </w:rPr>
        <w:t xml:space="preserve">  Districts may also supplement their revenue by renting surplus space. As I explain in Chapter XXXV, Leases, pursuant to Section 100.1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revenue from leases of less than five years, with no option or right to purchase ("Short-Term Leases") can be designated as either operating or capital income, at the school board's election. If the school board allocates the proceeds to capital, it will flow into the district's Local Capital Reserve account, as though the district had allocated its operating income to Local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1365</w:t>
      </w:r>
      <w:r>
        <w:rPr>
          <w:rFonts w:ascii="arial" w:eastAsia="arial" w:hAnsi="arial" w:cs="arial"/>
          <w:color w:val="000000"/>
          <w:sz w:val="20"/>
          <w:lang w:val="en-US" w:eastAsia="en-US" w:bidi="ar-SA"/>
        </w:rPr>
        <w:t>  Proceeds from leases of longer than five years ("Long-Term Leases") are treated differently. Pursuant to Generally Accepted Accounting Principles, Mr. Stewart explained, those funds must be treated as capital, and flow into the district's Restricted Capital Reserve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1366</w:t>
      </w:r>
      <w:r>
        <w:rPr>
          <w:rFonts w:ascii="arial" w:eastAsia="arial" w:hAnsi="arial" w:cs="arial"/>
          <w:color w:val="000000"/>
          <w:sz w:val="20"/>
          <w:lang w:val="en-US" w:eastAsia="en-US" w:bidi="ar-SA"/>
        </w:rPr>
        <w:t>  In 2011/12, the CSF generated $19,000 from rentals and leases. The remaining 59 districts generated $20,486,183: an average of $347,223 per district. Among the majority districts, the revenues generated ranged from a low of $1,600 (SD84-Vancouver Island West) to a high of $3.4 million (SD39-Vancouver).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1367</w:t>
      </w:r>
      <w:r>
        <w:rPr>
          <w:rFonts w:ascii="arial" w:eastAsia="arial" w:hAnsi="arial" w:cs="arial"/>
          <w:color w:val="000000"/>
          <w:sz w:val="20"/>
          <w:lang w:val="en-US" w:eastAsia="en-US" w:bidi="ar-SA"/>
        </w:rPr>
        <w:t>  In 2012/13, the CSF once again generated $19,000 from rentals and leases. The 59 majority districts generated $22,073,311, representing an average of $374,123 per district. Among the majority districts, the revenues ranged from a low of $0 (SD84-Vancouver Island West) to a high of $3.3 million (SD39-Vancouver).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1368</w:t>
      </w:r>
      <w:r>
        <w:rPr>
          <w:rFonts w:ascii="arial" w:eastAsia="arial" w:hAnsi="arial" w:cs="arial"/>
          <w:color w:val="000000"/>
          <w:sz w:val="20"/>
          <w:lang w:val="en-US" w:eastAsia="en-US" w:bidi="ar-SA"/>
        </w:rPr>
        <w:t>  In 2013/14, the CSF generated more lease revenues, about $42,474. The remaining 59 districts generated $21,798,175 in lease revenues, an average of $369,460 per district. Once again, SD84-Vancouver Island West generated no lease revenues, while, at the upper end, SD39-Vancouver generated $3.5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1369</w:t>
      </w:r>
      <w:r>
        <w:rPr>
          <w:rFonts w:ascii="arial" w:eastAsia="arial" w:hAnsi="arial" w:cs="arial"/>
          <w:color w:val="000000"/>
          <w:sz w:val="20"/>
          <w:lang w:val="en-US" w:eastAsia="en-US" w:bidi="ar-SA"/>
        </w:rPr>
        <w:t>  Mr. Allison's evidence was that the CSF generated all of its rental revenues by renting or leasing classrooms to community groups. The evidence reveals that the CSF also leases space to many daycares and preschools, but it does so for a nominal fee of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1370</w:t>
      </w:r>
      <w:r>
        <w:rPr>
          <w:rFonts w:ascii="arial" w:eastAsia="arial" w:hAnsi="arial" w:cs="arial"/>
          <w:color w:val="000000"/>
          <w:sz w:val="20"/>
          <w:lang w:val="en-US" w:eastAsia="en-US" w:bidi="ar-SA"/>
        </w:rPr>
        <w:t>  The plaintiffs also note that majority board financial statements show that they are able to generate "other income". The plaintiffs say that the CSF does not and cannot generate that income in the same way as majority boards. There is very little evidence about what is included in the "other income" category. The defendants suggest that it is primarily funding for aboriginal education. In my view, given the lack of information about what that income is and what it is targeted to, there is no way to discern whether the CSF is able to generate that funding and whether it is missing out on an advantage available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1371</w:t>
      </w:r>
      <w:r>
        <w:rPr>
          <w:rFonts w:ascii="arial" w:eastAsia="arial" w:hAnsi="arial" w:cs="arial"/>
          <w:color w:val="000000"/>
          <w:sz w:val="20"/>
          <w:lang w:val="en-US" w:eastAsia="en-US" w:bidi="ar-SA"/>
        </w:rPr>
        <w:t>  The plaintiffs say that sometimes, school districts generate significant revenue using their surplus space. They give the example of SD48-Sea-to-Sky, which in 2013/14 received about $2 million in international student fees and about $338,701 in rental and lease funding. SD48-Sea-to-Sky's operating revenue in that year was $39,899,008. The funding it generated from rentals and tuition fees represented 5.8% of its operating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1372</w:t>
      </w:r>
      <w:r>
        <w:rPr>
          <w:rFonts w:ascii="arial" w:eastAsia="arial" w:hAnsi="arial" w:cs="arial"/>
          <w:color w:val="000000"/>
          <w:sz w:val="20"/>
          <w:lang w:val="en-US" w:eastAsia="en-US" w:bidi="ar-SA"/>
        </w:rPr>
        <w:t>  On the other hand, at the low end of the scale for the communities included in the claim, SD46-Sunshine Coast had income from international tuition fees of $100,300 and rental income of $93,342 in 2013/14. Its total operating revenue that year was $34,994,674. Overall, those sources accounted for 0.55% of its total operating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1373</w:t>
      </w:r>
      <w:r>
        <w:rPr>
          <w:rFonts w:ascii="arial" w:eastAsia="arial" w:hAnsi="arial" w:cs="arial"/>
          <w:color w:val="000000"/>
          <w:sz w:val="20"/>
          <w:lang w:val="en-US" w:eastAsia="en-US" w:bidi="ar-SA"/>
        </w:rPr>
        <w:t>  The CSF generated $0 in tuition that year, and $42,474 from rentals and leases. Its total operating revenue was $68,384,968. Overall, international tuition and lease revenue accounted for 0.06% of its operating revenue.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School Site Acquisition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1374</w:t>
      </w:r>
      <w:r>
        <w:rPr>
          <w:rFonts w:ascii="arial" w:eastAsia="arial" w:hAnsi="arial" w:cs="arial"/>
          <w:color w:val="000000"/>
          <w:sz w:val="20"/>
          <w:lang w:val="en-US" w:eastAsia="en-US" w:bidi="ar-SA"/>
        </w:rPr>
        <w:t>  Mr. Miller explained that some districts have access to capital funding from a Land Capital Reserve Trust Fund. Those funds are generated by School Site Acquisition Charges, which majority school boards have been able to levy since about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and Division 20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2015, c. 1</w:t>
      </w:r>
      <w:r>
        <w:rPr>
          <w:rFonts w:ascii="arial" w:eastAsia="arial" w:hAnsi="arial" w:cs="arial"/>
          <w:color w:val="000000"/>
          <w:sz w:val="20"/>
          <w:lang w:val="en-US" w:eastAsia="en-US" w:bidi="ar-SA"/>
        </w:rPr>
        <w:t>, work in tandem to collect fees from real estate developers that school boards can use to purchase school sites. As a precondition, the school board and municipality must enter into an agreement for the collection of School Site Acquisition Charges. Then, if a new residential development would create a demand for new and expanded school sites, the municipality will collect a charge from the developer that is held in trust for the school district to purchase school sites to serve that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1376</w:t>
      </w:r>
      <w:r>
        <w:rPr>
          <w:rFonts w:ascii="arial" w:eastAsia="arial" w:hAnsi="arial" w:cs="arial"/>
          <w:color w:val="000000"/>
          <w:sz w:val="20"/>
          <w:lang w:val="en-US" w:eastAsia="en-US" w:bidi="ar-SA"/>
        </w:rPr>
        <w:t>  Mr. Miller advised that, much like Restricted Capital Reserve funds, school boards cannot spend funds in their Land Capital Reserve Trust Fund without approval from the Minister. This policy, too, is designed to ensure that the funds lessen the burden on the Province's Capital Planning Cycle. Further, funds must be spent on sites directly related to new residential development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1377</w:t>
      </w:r>
      <w:r>
        <w:rPr>
          <w:rFonts w:ascii="arial" w:eastAsia="arial" w:hAnsi="arial" w:cs="arial"/>
          <w:color w:val="000000"/>
          <w:sz w:val="20"/>
          <w:lang w:val="en-US" w:eastAsia="en-US" w:bidi="ar-SA"/>
        </w:rPr>
        <w:t xml:space="preserve">  Mr. Miller gave evidence about how School Site Acquisition Charges came to be. The Ministry introduced the concept by way of the Capital Plan Instructions for 1996/97, then rescinded it in 1997/98 due to backlash from developers. In the spring of 1999, the Province reintroduced School Site Acquisition Charges. That year, the Capital Plan Instructions highlighted amendments to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that would require local governments to collect a School Site Acquisition Charge from developers on behalf of school boards, where new residential development would create a demand for new and expanded school sites. According to Mr. Miller, the original intent was for the charges to cover one-third of the cost of site acquisitions.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1378</w:t>
      </w:r>
      <w:r>
        <w:rPr>
          <w:rFonts w:ascii="arial" w:eastAsia="arial" w:hAnsi="arial" w:cs="arial"/>
          <w:color w:val="000000"/>
          <w:sz w:val="20"/>
          <w:lang w:val="en-US" w:eastAsia="en-US" w:bidi="ar-SA"/>
        </w:rPr>
        <w:t>  By 2005, nine school boards had entered into agreements with municipalities to collect School Site Acquisition Charges. By the time Mr. Miller gave evidence in 2015, 14 school boards had entered into those types of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1379</w:t>
      </w:r>
      <w:r>
        <w:rPr>
          <w:rFonts w:ascii="arial" w:eastAsia="arial" w:hAnsi="arial" w:cs="arial"/>
          <w:color w:val="000000"/>
          <w:sz w:val="20"/>
          <w:lang w:val="en-US" w:eastAsia="en-US" w:bidi="ar-SA"/>
        </w:rPr>
        <w:t>  The charge in each district reflects a base rate per housing unit that will be created by the new development. The rates range from a low of $207 per unit in Chilliwack to $800 per unit in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1380</w:t>
      </w:r>
      <w:r>
        <w:rPr>
          <w:rFonts w:ascii="arial" w:eastAsia="arial" w:hAnsi="arial" w:cs="arial"/>
          <w:color w:val="000000"/>
          <w:sz w:val="20"/>
          <w:lang w:val="en-US" w:eastAsia="en-US" w:bidi="ar-SA"/>
        </w:rPr>
        <w:t>  School districts have spent about $33 million from the Land Capital Reserve Trust Funds. Mr. Palmer's affidavit shows that SD36-Surrey has used its Land Capital Reserve Trust Fund to help finance at least four site acquisitions.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1381</w:t>
      </w:r>
      <w:r>
        <w:rPr>
          <w:rFonts w:ascii="arial" w:eastAsia="arial" w:hAnsi="arial" w:cs="arial"/>
          <w:color w:val="000000"/>
          <w:sz w:val="20"/>
          <w:lang w:val="en-US" w:eastAsia="en-US" w:bidi="ar-SA"/>
        </w:rPr>
        <w:t>  As of about 2014, Mr. Miller commented, there was a further $40 million unspent in Land Capital Reserve Trust Funds. School Site Acquisition Charges do not yet fund one third of the cost of site acquisitions as was first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1382</w:t>
      </w:r>
      <w:r>
        <w:rPr>
          <w:rFonts w:ascii="arial" w:eastAsia="arial" w:hAnsi="arial" w:cs="arial"/>
          <w:color w:val="000000"/>
          <w:sz w:val="20"/>
          <w:lang w:val="en-US" w:eastAsia="en-US" w:bidi="ar-SA"/>
        </w:rPr>
        <w:t>  The CSF does not have the ability to levy School Site Acquisition Charges. Mr. Bonnefoy raised this as an issue with the Ministry in November 2009. Mr. Miller conceded that the Ministry never discussed how School Site Acquisition Charges would apply to the CSF, as the CSF was still a new entity when the charges were being developed, and the Ministry did not imagine it would become a growing district. Mr. Stewart explained that since the charges are designed to acquire sites for schools that will serve housing developments within specified geographic boundaries, the Ministry determined that it would not have been appropriate to give the CSF a proportion of the levied School Site Acquisition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1383</w:t>
      </w:r>
      <w:r>
        <w:rPr>
          <w:rFonts w:ascii="arial" w:eastAsia="arial" w:hAnsi="arial" w:cs="arial"/>
          <w:color w:val="000000"/>
          <w:sz w:val="20"/>
          <w:lang w:val="en-US" w:eastAsia="en-US" w:bidi="ar-SA"/>
        </w:rPr>
        <w:t xml:space="preserve">  The defendants argue that the disadvantage to the CSF is a small one. They note that given the CSF's relative share of the BC student population, its share of the School Site Acquisition Charges generated in the past 10 years would be small: less than $750,000 total. The CSF's share of the amount that has actually been spent, $35 million, would be about $350,000 total. The defendants also argue that School Site Acquisition Charges are like taxes, and that following </w:t>
      </w:r>
      <w:r>
        <w:rPr>
          <w:rFonts w:ascii="arial" w:eastAsia="arial" w:hAnsi="arial" w:cs="arial"/>
          <w:i/>
          <w:color w:val="000000"/>
          <w:sz w:val="20"/>
          <w:lang w:val="en-US" w:eastAsia="en-US" w:bidi="ar-SA"/>
        </w:rPr>
        <w:t>Mahe</w:t>
      </w:r>
      <w:r>
        <w:rPr>
          <w:rFonts w:ascii="arial" w:eastAsia="arial" w:hAnsi="arial" w:cs="arial"/>
          <w:color w:val="000000"/>
          <w:sz w:val="20"/>
          <w:lang w:val="en-US" w:eastAsia="en-US" w:bidi="ar-SA"/>
        </w:rPr>
        <w:t xml:space="preserve"> at 367, they fall outside the minority's right to management and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1384</w:t>
      </w:r>
      <w:r>
        <w:rPr>
          <w:rFonts w:ascii="arial" w:eastAsia="arial" w:hAnsi="arial" w:cs="arial"/>
          <w:color w:val="000000"/>
          <w:sz w:val="20"/>
          <w:lang w:val="en-US" w:eastAsia="en-US" w:bidi="ar-SA"/>
        </w:rPr>
        <w:t>  As I see it, it does not flow from s. 23 that the CSF must have the ability to level School Site Acquisition Charges. Levying those fees is not essential to its mandate of management and control over matters going to language and culture. However, the Ministry is required to provide the CSF with minority language educational facilities on the basis of equality with the majority. Thus, the CSF's inability to levy those fees is only problematic if it contributes to the CSF being in a position of inferiority to majority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 Sources Available Exclusively or Primarily to the CSF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1385</w:t>
      </w:r>
      <w:r>
        <w:rPr>
          <w:rFonts w:ascii="arial" w:eastAsia="arial" w:hAnsi="arial" w:cs="arial"/>
          <w:color w:val="000000"/>
          <w:sz w:val="20"/>
          <w:lang w:val="en-US" w:eastAsia="en-US" w:bidi="ar-SA"/>
        </w:rPr>
        <w:t>  The CSF has access to some sources of funding that majority boards do not. These include funding for its leases and Federal funding for both its operating and capital expenditures.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Funding for the CSF's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1386</w:t>
      </w:r>
      <w:r>
        <w:rPr>
          <w:rFonts w:ascii="arial" w:eastAsia="arial" w:hAnsi="arial" w:cs="arial"/>
          <w:color w:val="000000"/>
          <w:sz w:val="20"/>
          <w:lang w:val="en-US" w:eastAsia="en-US" w:bidi="ar-SA"/>
        </w:rPr>
        <w:t>  Currently, CSF leases are treated differently than majority school board leases. Since the operating funding model moved to the Enrolment-Based Funding Model, all majority boards are expected to fund leases out of their Operating Block grants. However, the Ministry decided that it would continue to fund leases for the CSF independently of the Operating Block grants. I discuss this in more detail in Chapter XXXV,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1387</w:t>
      </w:r>
      <w:r>
        <w:rPr>
          <w:rFonts w:ascii="arial" w:eastAsia="arial" w:hAnsi="arial" w:cs="arial"/>
          <w:color w:val="000000"/>
          <w:sz w:val="20"/>
          <w:lang w:val="en-US" w:eastAsia="en-US" w:bidi="ar-SA"/>
        </w:rPr>
        <w:t>  That said, by Mr. Miller's account, it is not the norm for school districts to operate their regular programmes in leased facilities. Most school boards own their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1388</w:t>
      </w:r>
      <w:r>
        <w:rPr>
          <w:rFonts w:ascii="arial" w:eastAsia="arial" w:hAnsi="arial" w:cs="arial"/>
          <w:color w:val="000000"/>
          <w:sz w:val="20"/>
          <w:lang w:val="en-US" w:eastAsia="en-US" w:bidi="ar-SA"/>
        </w:rPr>
        <w:t>  The defendants concede that much of the lease funding the CSF receives flows directly to majority boards, supplementing their rental income. Thus, they acknowledge that the Court may not need to take that advantage into account when balancing the relative benefits that the CSF receives against its disadvantages. They do, however, suggest it would be appropriate to take into account the funding that the CSF receives for its leases with private entities, as no other districts benefit from such funding. In that connection, they name the Atchelitz Farmers' Hall, which is the gymnasium for École Élémentaire La Vérendrye (Chilliwack), and the CSF's school board office. I note that the CSF leases from other private entities: spaces in community centres for École Élémentaire de la Vallée de Pemberton (Pemberton) and École Élémentaire La Passerelle (Whistler), as well as a church basement for École Élémentaire Rose-des-Vents (Vancouver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1389</w:t>
      </w:r>
      <w:r>
        <w:rPr>
          <w:rFonts w:ascii="arial" w:eastAsia="arial" w:hAnsi="arial" w:cs="arial"/>
          <w:color w:val="000000"/>
          <w:sz w:val="20"/>
          <w:lang w:val="en-US" w:eastAsia="en-US" w:bidi="ar-SA"/>
        </w:rPr>
        <w:t>  The evidence shows that in 2012/13, the CSF anticipated that the lease costs for the Atchelitz Hall would be $18,242 annually, and the lease of the CSF's school board office would be $108,360 annually. The CSF told the Ministry that by 2014/15, its lease of community centre space in Pemberton would be $17,000 annually, that its lease of community centre space in Whistler would be about $49,173. The lease of the church basement in Vancouver (West) was expected to be $12,000 by 2014/15. Thus, the CSF tends to benefit by about $204,775 per year as a result of its leases with private entities.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Federal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1390</w:t>
      </w:r>
      <w:r>
        <w:rPr>
          <w:rFonts w:ascii="arial" w:eastAsia="arial" w:hAnsi="arial" w:cs="arial"/>
          <w:color w:val="000000"/>
          <w:sz w:val="20"/>
          <w:lang w:val="en-US" w:eastAsia="en-US" w:bidi="ar-SA"/>
        </w:rPr>
        <w:t>  The defendants urge that funding from the Federal Government is a significant benefit that the CSF receives that majority boards do not. The evidence shows that the CSF has benefited from Federal start-up, operating and capital funding.</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Federal Start-up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1391</w:t>
      </w:r>
      <w:r>
        <w:rPr>
          <w:rFonts w:ascii="arial" w:eastAsia="arial" w:hAnsi="arial" w:cs="arial"/>
          <w:color w:val="000000"/>
          <w:sz w:val="20"/>
          <w:lang w:val="en-US" w:eastAsia="en-US" w:bidi="ar-SA"/>
        </w:rPr>
        <w:t xml:space="preserve">  When the CSF was created, the Federal Government provided the Province with funds to implement minority language education in British Columbia. The Provincial Government and the Minister of Canadian Heritage (on behalf of the Federal Government) entered into the </w:t>
      </w:r>
      <w:r>
        <w:rPr>
          <w:rFonts w:ascii="arial" w:eastAsia="arial" w:hAnsi="arial" w:cs="arial"/>
          <w:i/>
          <w:color w:val="000000"/>
          <w:sz w:val="20"/>
          <w:lang w:val="en-US" w:eastAsia="en-US" w:bidi="ar-SA"/>
        </w:rPr>
        <w:t>Canada- British Columbia Special Agreement for the Implementation of Francophone Schools Governance</w:t>
      </w:r>
      <w:r>
        <w:rPr>
          <w:rFonts w:ascii="arial" w:eastAsia="arial" w:hAnsi="arial" w:cs="arial"/>
          <w:color w:val="000000"/>
          <w:sz w:val="20"/>
          <w:lang w:val="en-US" w:eastAsia="en-US" w:bidi="ar-SA"/>
        </w:rPr>
        <w:t xml:space="preserve"> ("Start-Up Agreement") in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1392</w:t>
      </w:r>
      <w:r>
        <w:rPr>
          <w:rFonts w:ascii="arial" w:eastAsia="arial" w:hAnsi="arial" w:cs="arial"/>
          <w:color w:val="000000"/>
          <w:sz w:val="20"/>
          <w:lang w:val="en-US" w:eastAsia="en-US" w:bidi="ar-SA"/>
        </w:rPr>
        <w:t>  Pursuant to that agreement, the federal government agreed to fund half the eligible expenses submitted by the Province over three years, to a maximum of $12 million. The funds were specifically targeted to:</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Start up governance costs (meeting with parents; communications; start up administration; negotiations with Boards and travel);</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Language upgrading costs (including curriculum development, assessment and evaluation; examinations; welcome measures; learning resources; networks and mediated courses; and teacher training).</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associated with the operation of FEA/CSF schools (support for small enrolment schools; fixed costs of special needs students; administration costs of schools and authority; additional transportation support for large geographic areas; minor capital costs, including acquisition of furniture and equipment);</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Capital costs (including acquiring permanent or semi-permanent assets; costs related to acquiring and developing sites; purchasing, constructing and making major alterations to buildings for school purposes); and</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ensuring Francophone students have access to Francophone schools, including transportation costs and boarding allowances.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1393</w:t>
      </w:r>
      <w:r>
        <w:rPr>
          <w:rFonts w:ascii="arial" w:eastAsia="arial" w:hAnsi="arial" w:cs="arial"/>
          <w:color w:val="000000"/>
          <w:sz w:val="20"/>
          <w:lang w:val="en-US" w:eastAsia="en-US" w:bidi="ar-SA"/>
        </w:rPr>
        <w:t>  Between 1996 and 1999, the CSF received a total of $21,400,622 pursuant to the Start-Up Agreement: half from the Province and half from the Federal Government. Mr. Miller confirmed that the majority of that funding was spent on operating expenditures, including funding for the CSF's early leases. The documentation reveals that about $14,073,640 was spent on operating costs, and $423,900 was spent on capital costs. The remaining funds were spent on language upgrading and start-up costs.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OLEP Operating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1394</w:t>
      </w:r>
      <w:r>
        <w:rPr>
          <w:rFonts w:ascii="arial" w:eastAsia="arial" w:hAnsi="arial" w:cs="arial"/>
          <w:color w:val="000000"/>
          <w:sz w:val="20"/>
          <w:lang w:val="en-US" w:eastAsia="en-US" w:bidi="ar-SA"/>
        </w:rPr>
        <w:t xml:space="preserve">  The Official Languages and Education Protocol ("OLEP") is a framework by which the Federal Government provides the Province with funds for French-language education. Those funds have been available for a number of years through a series of agreements known as the </w:t>
      </w:r>
      <w:r>
        <w:rPr>
          <w:rFonts w:ascii="arial" w:eastAsia="arial" w:hAnsi="arial" w:cs="arial"/>
          <w:i/>
          <w:color w:val="000000"/>
          <w:sz w:val="20"/>
          <w:lang w:val="en-US" w:eastAsia="en-US" w:bidi="ar-SA"/>
        </w:rPr>
        <w:t>Canada-British Columbia Agreement on Minority Language Education and Second Official Language Instruction</w:t>
      </w:r>
      <w:r>
        <w:rPr>
          <w:rFonts w:ascii="arial" w:eastAsia="arial" w:hAnsi="arial" w:cs="arial"/>
          <w:color w:val="000000"/>
          <w:sz w:val="20"/>
          <w:lang w:val="en-US" w:eastAsia="en-US" w:bidi="ar-SA"/>
        </w:rPr>
        <w:t xml:space="preserve"> (the "OLEP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1395</w:t>
      </w:r>
      <w:r>
        <w:rPr>
          <w:rFonts w:ascii="arial" w:eastAsia="arial" w:hAnsi="arial" w:cs="arial"/>
          <w:color w:val="000000"/>
          <w:sz w:val="20"/>
          <w:lang w:val="en-US" w:eastAsia="en-US" w:bidi="ar-SA"/>
        </w:rPr>
        <w:t>  Mr. Miller's evidence was that the CSF has consistently received about $4 million of the $5.5 million that the Ministry receives each year for minority language education pursuant to the OLEP Agreements: about two-thirds of that funding. Between 2005/06 and 2008/09, the CSF consistently received about $4 million per year in base and supplemental operating funding to improve student recruitment, hire teachers and improve access to post-secondary education. The Ministry received about $1.5 million per year for the same purposes, which it used to develop French-language resources and examinations, and to support minority language education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1396</w:t>
      </w:r>
      <w:r>
        <w:rPr>
          <w:rFonts w:ascii="arial" w:eastAsia="arial" w:hAnsi="arial" w:cs="arial"/>
          <w:color w:val="000000"/>
          <w:sz w:val="20"/>
          <w:lang w:val="en-US" w:eastAsia="en-US" w:bidi="ar-SA"/>
        </w:rPr>
        <w:t>  In addition to funding for minority language education, the OLEP Agreements provide the Province with funds targeted to French as second language instruction. Those funds are allocated on a per-pupil basis to majority school boards offering French immersion and core French as second language courses. The CSF also receives some funding under this heading to offer Francisation to its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1397</w:t>
      </w:r>
      <w:r>
        <w:rPr>
          <w:rFonts w:ascii="arial" w:eastAsia="arial" w:hAnsi="arial" w:cs="arial"/>
          <w:color w:val="000000"/>
          <w:sz w:val="20"/>
          <w:lang w:val="en-US" w:eastAsia="en-US" w:bidi="ar-SA"/>
        </w:rPr>
        <w:t xml:space="preserve">  The evidence shows that the Federal Government provides the Province with a total of about $5.5 for minority education and $16 million for French as a second language, for a total of $21.5 million per year. The CSF receives about $4.5 million, or about 18% of that funding, while it has 1% of B.C.'s student population. If those funds were distributed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assuming the CSF has 1% of the population, its CSF's share would be $215,000. Thus, its net benefit above its pro rata share is $4,285,000 per year.</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Federal Capital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1398</w:t>
      </w:r>
      <w:r>
        <w:rPr>
          <w:rFonts w:ascii="arial" w:eastAsia="arial" w:hAnsi="arial" w:cs="arial"/>
          <w:color w:val="000000"/>
          <w:sz w:val="20"/>
          <w:lang w:val="en-US" w:eastAsia="en-US" w:bidi="ar-SA"/>
        </w:rPr>
        <w:t>  On the capital side, Mr. Miller explained, the Province entered into an initial agreement and a series of amending agreements for the Federal Government to contribute funding to the CSF's capital projects. Those funds are available exclusively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1399</w:t>
      </w:r>
      <w:r>
        <w:rPr>
          <w:rFonts w:ascii="arial" w:eastAsia="arial" w:hAnsi="arial" w:cs="arial"/>
          <w:color w:val="000000"/>
          <w:sz w:val="20"/>
          <w:lang w:val="en-US" w:eastAsia="en-US" w:bidi="ar-SA"/>
        </w:rPr>
        <w:t xml:space="preserve">  Mr. Miller explained that the first agreement concerned funding that was expected to flow between 2001 and 2005. The </w:t>
      </w:r>
      <w:r>
        <w:rPr>
          <w:rFonts w:ascii="arial" w:eastAsia="arial" w:hAnsi="arial" w:cs="arial"/>
          <w:i/>
          <w:color w:val="000000"/>
          <w:sz w:val="20"/>
          <w:lang w:val="en-US" w:eastAsia="en-US" w:bidi="ar-SA"/>
        </w:rPr>
        <w:t>Canada-British Columbia Auxiliary Agreement on Capital Projects</w:t>
      </w:r>
      <w:r>
        <w:rPr>
          <w:rFonts w:ascii="arial" w:eastAsia="arial" w:hAnsi="arial" w:cs="arial"/>
          <w:color w:val="000000"/>
          <w:sz w:val="20"/>
          <w:lang w:val="en-US" w:eastAsia="en-US" w:bidi="ar-SA"/>
        </w:rPr>
        <w:t xml:space="preserve"> (the "Special Agreement") was completed in March 2002. Pursuant to that agreement, the Federal Minister of Heritage agreed to contribute up to $15 million toward capital projects for the CSF. The funds could only be spent on enhancements to the schools for "community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1400</w:t>
      </w:r>
      <w:r>
        <w:rPr>
          <w:rFonts w:ascii="arial" w:eastAsia="arial" w:hAnsi="arial" w:cs="arial"/>
          <w:color w:val="000000"/>
          <w:sz w:val="20"/>
          <w:lang w:val="en-US" w:eastAsia="en-US" w:bidi="ar-SA"/>
        </w:rPr>
        <w:t>  When the Special Agreement was signed, it listed a number of projects and estimated the federal contributions the CSF planned to request up to the $15 million maximum. At that time, two projects, for École Gabrielle-Roy (Surrey) and École André-Piolat (North Vancouver), were at an advanced planning stage. The plan envisioned that the Federal Government would contribute about $2,057,367 to École Gabrielle-Roy, and a further $1,541,397 for École André-Piolat.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1401</w:t>
      </w:r>
      <w:r>
        <w:rPr>
          <w:rFonts w:ascii="arial" w:eastAsia="arial" w:hAnsi="arial" w:cs="arial"/>
          <w:color w:val="000000"/>
          <w:sz w:val="20"/>
          <w:lang w:val="en-US" w:eastAsia="en-US" w:bidi="ar-SA"/>
        </w:rPr>
        <w:t>  The Special Agreement also listed a number of future projects that the Province and the CSF anticipated would be approved going forward. Since those projects were not approved or underway at the time, the Special Agreement was amended from time to time to make more of the $15 million available for the projects that were ultimately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1402</w:t>
      </w:r>
      <w:r>
        <w:rPr>
          <w:rFonts w:ascii="arial" w:eastAsia="arial" w:hAnsi="arial" w:cs="arial"/>
          <w:color w:val="000000"/>
          <w:sz w:val="20"/>
          <w:lang w:val="en-US" w:eastAsia="en-US" w:bidi="ar-SA"/>
        </w:rPr>
        <w:t>  Mr. Miller advised that, by September of 2006, the $15 million in Special Agreement funds were all spent, and Minister Shirley Bond signed an agreement to that effect. The federal funds were spent as follows, on the following enhancements to CSF schools: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2" type="#_x0000_t75" style="width:418.5pt;height:458.25pt">
            <v:imagedata r:id="rId41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1403</w:t>
      </w:r>
      <w:r>
        <w:rPr>
          <w:rFonts w:ascii="arial" w:eastAsia="arial" w:hAnsi="arial" w:cs="arial"/>
          <w:color w:val="000000"/>
          <w:sz w:val="20"/>
          <w:lang w:val="en-US" w:eastAsia="en-US" w:bidi="ar-SA"/>
        </w:rPr>
        <w:t>  Although the Special Agreement has expired, under the most recent OLEP Agreement, covering the years 2009/10 through 2012/13, a provision allows the Federal Government to approve complementary contributions to emerging priorities identified by the Province, including infrastructure projects (the "OLEP Complimentary Funding Provisions"). Mr. Miller advised that these provisions allow some capital projects to be considered for OLEP capital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1404</w:t>
      </w:r>
      <w:r>
        <w:rPr>
          <w:rFonts w:ascii="arial" w:eastAsia="arial" w:hAnsi="arial" w:cs="arial"/>
          <w:color w:val="000000"/>
          <w:sz w:val="20"/>
          <w:lang w:val="en-US" w:eastAsia="en-US" w:bidi="ar-SA"/>
        </w:rPr>
        <w:t>  Mr. Miller recounted that in 2011 the CSF received $1.2 million in complementary OLEP capital funding for a new CSF school, École Élémentaire Mer et Montagne (Campbell River). He continued that this was the first new Federal Government funding made available to the Province for CSF capital projects in addition to the $15 million provided under the Special Agreement. As of the time the evidence at trial concluded in August of 2015, a request for federal funding for the École des Pionniers Replacement Project (Port Coquitlam) was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1405</w:t>
      </w:r>
      <w:r>
        <w:rPr>
          <w:rFonts w:ascii="arial" w:eastAsia="arial" w:hAnsi="arial" w:cs="arial"/>
          <w:color w:val="000000"/>
          <w:sz w:val="20"/>
          <w:lang w:val="en-US" w:eastAsia="en-US" w:bidi="ar-SA"/>
        </w:rPr>
        <w:t>  Overall, then, pursuant to the Special Agreement and the OLEP Complementary Funding Provisions, since 2002 the CSF has received $16.2 million in capital funding that majority schools are not eligible to receive.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 Conclusion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1406</w:t>
      </w:r>
      <w:r>
        <w:rPr>
          <w:rFonts w:ascii="arial" w:eastAsia="arial" w:hAnsi="arial" w:cs="arial"/>
          <w:color w:val="000000"/>
          <w:sz w:val="20"/>
          <w:lang w:val="en-US" w:eastAsia="en-US" w:bidi="ar-SA"/>
        </w:rPr>
        <w:t>  The plaintiffs argue that majority boards have access to many funding sources for capital projects that the CSF does not. The defendants argue that any disadvantages to the CSF are more than counterbalanced by funding sources available to the CSF that are not available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1407</w:t>
      </w:r>
      <w:r>
        <w:rPr>
          <w:rFonts w:ascii="arial" w:eastAsia="arial" w:hAnsi="arial" w:cs="arial"/>
          <w:color w:val="000000"/>
          <w:sz w:val="20"/>
          <w:lang w:val="en-US" w:eastAsia="en-US" w:bidi="ar-SA"/>
        </w:rPr>
        <w:t>  The plaintiffs raise a preliminary issue with the defendants' counter-argument: that the defendants conflate capital and operating funding flowing to the CSF and majority boards. While the sources of funding the defendants point to represent a mix of operating and capital funding, in my view this is not problematic. Where the majority or minority has access to operating funds that the other does not, it can allocate those funds to its Local Capital Reserve, creating a capital advantage. However, where operating funds are meant to compensate a district for an actual cost it incurs, it is not reasonable to infer that those funds could be allocated to capital expenditures, and they should be removed from the balancing of funding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1408</w:t>
      </w:r>
      <w:r>
        <w:rPr>
          <w:rFonts w:ascii="arial" w:eastAsia="arial" w:hAnsi="arial" w:cs="arial"/>
          <w:color w:val="000000"/>
          <w:sz w:val="20"/>
          <w:lang w:val="en-US" w:eastAsia="en-US" w:bidi="ar-SA"/>
        </w:rPr>
        <w:t xml:space="preserve">  The plaintiffs also argue it is not appropriate to look at the benefits to the CSF on a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basis. As I explain in Chapter VIII, Entitlement, in </w:t>
      </w:r>
      <w:r>
        <w:rPr>
          <w:rFonts w:ascii="arial" w:eastAsia="arial" w:hAnsi="arial" w:cs="arial"/>
          <w:i/>
          <w:color w:val="000000"/>
          <w:sz w:val="20"/>
          <w:lang w:val="en-US" w:eastAsia="en-US" w:bidi="ar-SA"/>
        </w:rPr>
        <w:t>Association des Parents- SCC</w:t>
      </w:r>
      <w:r>
        <w:rPr>
          <w:rFonts w:ascii="arial" w:eastAsia="arial" w:hAnsi="arial" w:cs="arial"/>
          <w:color w:val="000000"/>
          <w:sz w:val="20"/>
          <w:lang w:val="en-US" w:eastAsia="en-US" w:bidi="ar-SA"/>
        </w:rPr>
        <w:t xml:space="preserve">, Karakatsanis J. stated that, in giving effect to s. 23 rights, the courts should not focus on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as a marker of formal equivalence (at para. 33). I do not take her comments to mean that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and funding are irrelevant. The comments must be understood as suggesting that governments are not likely to meet their duty by providing the same amount of funding,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to minority boards as to the majority. To ensure substantive equivalence,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funding may need to be higher for minority boards because they incur higher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costs. What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funding a government provides to the majority and the minority, and what costs a minority board incurs to provide minority language education, are relevant factors that can help a Court to determine if the Province is providing sufficient public funds for Minority language educational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1409</w:t>
      </w:r>
      <w:r>
        <w:rPr>
          <w:rFonts w:ascii="arial" w:eastAsia="arial" w:hAnsi="arial" w:cs="arial"/>
          <w:color w:val="000000"/>
          <w:sz w:val="20"/>
          <w:lang w:val="en-US" w:eastAsia="en-US" w:bidi="ar-SA"/>
        </w:rPr>
        <w:t>  The plaintiffs say that the CSF is disadvantaged when it comes to acquiring school sites because it is not eligible for School Site Acquisition Charge funding. They suggest that the Province could have put in place a different system that would have given the CSF access to a proportion of funds generated by the charges, or a system specific to the CSF in light of its need to acquire school sites. The plaintiffs also argue that since the Ministry has generated cost savings with respect to site acquisitions due to School Site Acquisition Charges, the Ministry ought to have applied those savings to sites for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1410</w:t>
      </w:r>
      <w:r>
        <w:rPr>
          <w:rFonts w:ascii="arial" w:eastAsia="arial" w:hAnsi="arial" w:cs="arial"/>
          <w:color w:val="000000"/>
          <w:sz w:val="20"/>
          <w:lang w:val="en-US" w:eastAsia="en-US" w:bidi="ar-SA"/>
        </w:rPr>
        <w:t>  The plaintiffs also take the position that majority boards are able to generate very large sums in supplementary operating revenue from their surplus assets. They say that although the CSF is technically allowed to generate revenue in the same way, because it lacks an asset base and surplus space, it is unable to generate the same amount of supplementary operating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1411</w:t>
      </w:r>
      <w:r>
        <w:rPr>
          <w:rFonts w:ascii="arial" w:eastAsia="arial" w:hAnsi="arial" w:cs="arial"/>
          <w:color w:val="000000"/>
          <w:sz w:val="20"/>
          <w:lang w:val="en-US" w:eastAsia="en-US" w:bidi="ar-SA"/>
        </w:rPr>
        <w:t>  While the plaintiffs acknowledge that the CSF benefits from federal funding, they advise that in light of the CSF's growing enrolment, the funds it receives represent a smaller percentage of the CSF's operating budget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1412</w:t>
      </w:r>
      <w:r>
        <w:rPr>
          <w:rFonts w:ascii="arial" w:eastAsia="arial" w:hAnsi="arial" w:cs="arial"/>
          <w:color w:val="000000"/>
          <w:sz w:val="20"/>
          <w:lang w:val="en-US" w:eastAsia="en-US" w:bidi="ar-SA"/>
        </w:rPr>
        <w:t>  The defendants acknowledge that the CSF does not have access to School Site Acquisition Charges or a historic asset base. However, their position is that the CSF has substantially "caught up" with the majority at this point, and does not have significantly less space than the majority. Thus, they say, that it is open to the CSF to also generate funding from leasing its facilities and educating international students. They note that the CSF chooses to lease and rent its surplus space, at no charge, to early childhood education providers. Thus, they say that the CSF has made a decision to focus on providing early childhood services at the expense of revenue it could earn if it were to seek to enrol international students or to lease for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1413</w:t>
      </w:r>
      <w:r>
        <w:rPr>
          <w:rFonts w:ascii="arial" w:eastAsia="arial" w:hAnsi="arial" w:cs="arial"/>
          <w:color w:val="000000"/>
          <w:sz w:val="20"/>
          <w:lang w:val="en-US" w:eastAsia="en-US" w:bidi="ar-SA"/>
        </w:rPr>
        <w:t>  The defendants suggest that regardless, if the CSF were eligible for the advantages that majority boards have, given its small proportion of B.C.'s student population, its relative benefit from those advantages would be small. When making that argument, they take a generous approach that assumes the CSF has a 1% share of the overall student population, as it does in 2015/16. They also take into account the gross international student income as opposed to the net income. Then, they annualize the benefits that have accrued to majority boards as shown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1414</w:t>
      </w:r>
      <w:r>
        <w:rPr>
          <w:rFonts w:ascii="arial" w:eastAsia="arial" w:hAnsi="arial" w:cs="arial"/>
          <w:color w:val="000000"/>
          <w:sz w:val="20"/>
          <w:lang w:val="en-US" w:eastAsia="en-US" w:bidi="ar-SA"/>
        </w:rPr>
        <w:t>  Based on those premises, the defendants urge that the CSF is at most missing out on about $1.5 million in international student revenues, $220,000 in rental income, $1.1 million in "other income" and $54,000 in School Site Acquisition Charges annually. They maintain, of course, that international student income and "other income" is exaggerated. The defendants say that even taking that most generous approach, the CSF is losing out on about $3 million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1415</w:t>
      </w:r>
      <w:r>
        <w:rPr>
          <w:rFonts w:ascii="arial" w:eastAsia="arial" w:hAnsi="arial" w:cs="arial"/>
          <w:color w:val="000000"/>
          <w:sz w:val="20"/>
          <w:lang w:val="en-US" w:eastAsia="en-US" w:bidi="ar-SA"/>
        </w:rPr>
        <w:t>  In the defendants' submission, those benefits are completely counterbalanced by the benefits that the CSF receives. They point out that the CSF's annualized pro rata benefit from OLEP funding alone would be sufficient to offset the advantages to the majority boards. Above, I conclude that benefit is about $4,285,000 per year. If all OLEP Funding were divided pro rata, the CSF would only be entitled to about $215,000. Thus, its net benefit above its pro rata share is $4,285,000 per year. The defendants suggest that the Court should consider that the net surplus the CSF has above its pro rata share would counterbalance any disadvantages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1416</w:t>
      </w:r>
      <w:r>
        <w:rPr>
          <w:rFonts w:ascii="arial" w:eastAsia="arial" w:hAnsi="arial" w:cs="arial"/>
          <w:color w:val="000000"/>
          <w:sz w:val="20"/>
          <w:lang w:val="en-US" w:eastAsia="en-US" w:bidi="ar-SA"/>
        </w:rPr>
        <w:t>  In my view, the majority boards have some clear advantages over the CSF with respect to capital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1417</w:t>
      </w:r>
      <w:r>
        <w:rPr>
          <w:rFonts w:ascii="arial" w:eastAsia="arial" w:hAnsi="arial" w:cs="arial"/>
          <w:color w:val="000000"/>
          <w:sz w:val="20"/>
          <w:lang w:val="en-US" w:eastAsia="en-US" w:bidi="ar-SA"/>
        </w:rPr>
        <w:t xml:space="preserve">  For one, because the CSF is a very new school district, it has had less opportunity to generate Local and Restricted Capital Reserves over time. It does not have a historical asset base that would allow it to generate capital reserves by disposing of surplus properties. It has not been allocating portions of its operating budget to its capital reserves, which is understandable given the fact that operating funds are directed at actual cost differentials related to the CSF's operations. The CSF has generated less in capital reserves than the approximately $2 million in capital reserves that would be its proportionate share on a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basis if all the capital reserves across all districts were divided between school districts. As a result, I find that Local and Restricted Capital reserve accounts are benefits that disproportionately accrue to the majority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1418</w:t>
      </w:r>
      <w:r>
        <w:rPr>
          <w:rFonts w:ascii="arial" w:eastAsia="arial" w:hAnsi="arial" w:cs="arial"/>
          <w:color w:val="000000"/>
          <w:sz w:val="20"/>
          <w:lang w:val="en-US" w:eastAsia="en-US" w:bidi="ar-SA"/>
        </w:rPr>
        <w:t>  This is troubling because capital reserve amounts play a small role in project prioritization in the Capital Planning Cycle. As Mr. Palmer explained, after the Minister ranks all projects against one another in a Consolidated Capital Plan, some projects might be approved out of the order of priority where a district can contribute some Local or Restricted Capital. This has the effect of creating more room in the Capital Envelope, which allows the Minister to approve more projects overall. As I explain in Chapter XXXVI, Expansion Projects and the Enrolment Driver, in one instance SD36-Surrey was able to contribute some capital reserve to projects, which allowed several of them to be approved at once. CSF projects in Penticton and Sechelt were passed over: projects in areas where I conclude that rightsholders are not receiving the facilities they are entitled to. Thus, as I develop in later chapters, the CSF has been hurt by its proportionate lack of access to Capital Reserve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1419</w:t>
      </w:r>
      <w:r>
        <w:rPr>
          <w:rFonts w:ascii="arial" w:eastAsia="arial" w:hAnsi="arial" w:cs="arial"/>
          <w:color w:val="000000"/>
          <w:sz w:val="20"/>
          <w:lang w:val="en-US" w:eastAsia="en-US" w:bidi="ar-SA"/>
        </w:rPr>
        <w:t xml:space="preserve">  With respect to funds that can be generated from surplus assets, I note that the value and space in the CSF's asset base,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is within the range of what majority school boards have access to. However, that does not mean that the CSF is not disadvantaged. While the value of the CSF's assets and its space may be similar to what the majority has access to, those schools are spread throughout the Province and cannot be closed and consolidated. Further, the CSF has greater need for space than majority boards because of the challenges that arise out of teaching split classes and instructing a significant proportion of students with French as a second language needs. As a result, the CSF has less ability to use its asset base to generate funds by leasing or disposing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1420</w:t>
      </w:r>
      <w:r>
        <w:rPr>
          <w:rFonts w:ascii="arial" w:eastAsia="arial" w:hAnsi="arial" w:cs="arial"/>
          <w:color w:val="000000"/>
          <w:sz w:val="20"/>
          <w:lang w:val="en-US" w:eastAsia="en-US" w:bidi="ar-SA"/>
        </w:rPr>
        <w:t>  The CSF has not generated any revenues from international student tuition fees. The 48 majority school boards who did so in 2013/14 earned net revenues of about $52,270,433: an average of 1,088,967 per district. Some districts, like SD39-Vancouver, generate considerably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1421</w:t>
      </w:r>
      <w:r>
        <w:rPr>
          <w:rFonts w:ascii="arial" w:eastAsia="arial" w:hAnsi="arial" w:cs="arial"/>
          <w:color w:val="000000"/>
          <w:sz w:val="20"/>
          <w:lang w:val="en-US" w:eastAsia="en-US" w:bidi="ar-SA"/>
        </w:rPr>
        <w:t>  The CSF generates limited revenues from leases compared to majority school boards: in 2011/12 and 2013/14, the CSF generated about 11% of the provincial average each year. At the same time, a few districts generate no lease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1422</w:t>
      </w:r>
      <w:r>
        <w:rPr>
          <w:rFonts w:ascii="arial" w:eastAsia="arial" w:hAnsi="arial" w:cs="arial"/>
          <w:color w:val="000000"/>
          <w:sz w:val="20"/>
          <w:lang w:val="en-US" w:eastAsia="en-US" w:bidi="ar-SA"/>
        </w:rPr>
        <w:t>  Part of the reason the CSF generates so little lease revenue is that it chooses to lease its surplus space to early childhood education providers for a notional amount of $1. However, in my view, even if the CSF made different decisions, because it does not have the ability to close and consolidate schools the way that majority boards do, it will never be able to generate the type of lease revenue and revenue from international students that accrues to majority boards. It cannot close schools to create standalone surplus buildings to lease to private entities or to develop schools for international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1423</w:t>
      </w:r>
      <w:r>
        <w:rPr>
          <w:rFonts w:ascii="arial" w:eastAsia="arial" w:hAnsi="arial" w:cs="arial"/>
          <w:color w:val="000000"/>
          <w:sz w:val="20"/>
          <w:lang w:val="en-US" w:eastAsia="en-US" w:bidi="ar-SA"/>
        </w:rPr>
        <w:t>  Majority boards also have access to School Site Acquisition Charges. These have been a boon to SD36-Surrey, for example. Like the CSF, SD36-Surrey needs to acquire many school sites. Because it has access to those charges, it has been able to acquire sites more rapidly without the types of challenges that can arise when waiting for funding in a Capital Planning Cycle. The CSF also needs ready access to funds to acquire schools sites; it therefore lacks an advantage available to other growing majority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1424</w:t>
      </w:r>
      <w:r>
        <w:rPr>
          <w:rFonts w:ascii="arial" w:eastAsia="arial" w:hAnsi="arial" w:cs="arial"/>
          <w:color w:val="000000"/>
          <w:sz w:val="20"/>
          <w:lang w:val="en-US" w:eastAsia="en-US" w:bidi="ar-SA"/>
        </w:rPr>
        <w:t>  The Ministry's policy rationale for not allowing the CSF to levy those charges is a reasonable one: The funds are meant to ensure there is space to build a school to serve new housing developments. Given the very small linguistic minority that exists in British Columbia, it is reasonable to assume that new housing developments will need majority, not minority schools. Regardless, the funding source gives majority districts flexibility to move to acquire sites quickly, which the CSF does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1425</w:t>
      </w:r>
      <w:r>
        <w:rPr>
          <w:rFonts w:ascii="arial" w:eastAsia="arial" w:hAnsi="arial" w:cs="arial"/>
          <w:color w:val="000000"/>
          <w:sz w:val="20"/>
          <w:lang w:val="en-US" w:eastAsia="en-US" w:bidi="ar-SA"/>
        </w:rPr>
        <w:t>  There are, of course, some funding sources that are available exclusively to the CSF. Most of those are neutral. I do not consider it relevant that the CSF benefits more than the majority boards from the Unique District Factors in the Enrolment-Based Funding Formula. Each of the Unique District Factors is linked to an actual cost differential that arises out of operating a school district with a certain characteristic. While the CSF is very well-funded on the operating side, its increased operating funding is designed to compensate the CSF for the actual increased cost pressures it faces because of its unique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1426</w:t>
      </w:r>
      <w:r>
        <w:rPr>
          <w:rFonts w:ascii="arial" w:eastAsia="arial" w:hAnsi="arial" w:cs="arial"/>
          <w:color w:val="000000"/>
          <w:sz w:val="20"/>
          <w:lang w:val="en-US" w:eastAsia="en-US" w:bidi="ar-SA"/>
        </w:rPr>
        <w:t>  The 15% Francophone Supplement falls in the same category. In every year since about 2006, the CSF has received considerable funding pursuant to the 15% Francophone Supplement: about $5.6 to $9 million each year. While this is an advantage that majority boards do not have, it is an advantage that recognizes the unique operating cost pressures that the CSF incurs to deliver the linguistic and cultural aspects of its programming. As a result, it should not be weighed against the capital advantages available to majority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1427</w:t>
      </w:r>
      <w:r>
        <w:rPr>
          <w:rFonts w:ascii="arial" w:eastAsia="arial" w:hAnsi="arial" w:cs="arial"/>
          <w:color w:val="000000"/>
          <w:sz w:val="20"/>
          <w:lang w:val="en-US" w:eastAsia="en-US" w:bidi="ar-SA"/>
        </w:rPr>
        <w:t xml:space="preserve">  As I see it, Capital Planning Cycle funding has appropriately favoured the CSF, providing it with more absolute capital funding than it provided to the average majority board, and far more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than the majority received. Since 2001/02, the capital funding system has yielded for the CSF more than $20,000 per student enrolled in 2014/15. That is nearly quadruple the $4,649 per student that majority boards received. Even taking into account that a few majority school boards benefited from transferring schools to the CSF in that period, the CSF has received more capital funding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than about 95% of districts. And well it should-- the CSF has seen significant enrolment increases on a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basis between 2001/02 and 2014/15 while most other districts were experiencing declining enrolment. It has also been attempting to move from leased to owned space. Given that the Ministry did not implement a Capital Envelope specific to the CSF's needs when it was first created, the Ministry is rightfully still working to ensure that the CSF acquires homogeneous facilities where the numbers so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1428</w:t>
      </w:r>
      <w:r>
        <w:rPr>
          <w:rFonts w:ascii="arial" w:eastAsia="arial" w:hAnsi="arial" w:cs="arial"/>
          <w:color w:val="000000"/>
          <w:sz w:val="20"/>
          <w:lang w:val="en-US" w:eastAsia="en-US" w:bidi="ar-SA"/>
        </w:rPr>
        <w:t>  The CSF also benefits from leases paid by the Province. The defendants rely in particular on the CSF's leases from private entities. By my calculation, in 2012/13, those leases were expected to come to $204.775 for 2014/15. While this is a benefit to the CSF that majority school boards do not have, in my view, it is essential that the Ministry fund those leases. The Ministry has an obligation to ensure that the CSF has space to accommodate rightsholders, and to provide education on the basis of equality to the majority where the numbers warrant it. École Élémentaire La Vérendrye (Chilliwack) does not have a gymnasium, which is an important component of an educational experience. All districts operate some form of school board office: the Ministry has an obligation to ensure the CSF has some sort of board office space, too. Given that École Élémentaire Rose-des-Vents (Vancouver (West) is severely overcrowded and that École Élémentaire de la Vallée de Pemberton (Pemberton) and École Élémentaire La Passerelle (Whistler) were both pushed out of their leased SD48-Sea-to-Sky facilities, the Province properly funds leases with private entities to provide rightsholders with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1429</w:t>
      </w:r>
      <w:r>
        <w:rPr>
          <w:rFonts w:ascii="arial" w:eastAsia="arial" w:hAnsi="arial" w:cs="arial"/>
          <w:color w:val="000000"/>
          <w:sz w:val="20"/>
          <w:lang w:val="en-US" w:eastAsia="en-US" w:bidi="ar-SA"/>
        </w:rPr>
        <w:t>  The most significant benefits that accrue to the CSF that do not accrue to majority boards are federal funds. Those are the ones that the defendants press most strenuously.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1430</w:t>
      </w:r>
      <w:r>
        <w:rPr>
          <w:rFonts w:ascii="arial" w:eastAsia="arial" w:hAnsi="arial" w:cs="arial"/>
          <w:color w:val="000000"/>
          <w:sz w:val="20"/>
          <w:lang w:val="en-US" w:eastAsia="en-US" w:bidi="ar-SA"/>
        </w:rPr>
        <w:t>  I do not consider it appropriate to weigh the $21 million in funding the CSF received pursuant to the Start-Up Agreement against the benefits that accrue to majority school boards. Those funds were applied to help move the CSF from the point of non-existence closer to equality with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1431</w:t>
      </w:r>
      <w:r>
        <w:rPr>
          <w:rFonts w:ascii="arial" w:eastAsia="arial" w:hAnsi="arial" w:cs="arial"/>
          <w:color w:val="000000"/>
          <w:sz w:val="20"/>
          <w:lang w:val="en-US" w:eastAsia="en-US" w:bidi="ar-SA"/>
        </w:rPr>
        <w:t>  OLEP Operating funds are in a similar category. Those funds are designed to compensate the CSF for the additional costs associated with delivering minority language education in British Columbia. When the CSF prepared the Funding Requirements Request detailing its request for additional funds from the Ministry, it identified federal dollars from the OLEP Agreements that it could apply to its proposed linguistic and cultural programming. The Province reviewed the CSF's Funding Requirements Request and looked for duplication between Federal and Provincial dollars, and reduced the amount it would pay to help the CSF to meet its additional financial burden accordingly. As a result, I do not consider that the approximately $4.5 million the CSF receives annually pursuant to the OLEP Agreements for operating purposes is properly counted as a benefit that the CSF receives that the majority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1432</w:t>
      </w:r>
      <w:r>
        <w:rPr>
          <w:rFonts w:ascii="arial" w:eastAsia="arial" w:hAnsi="arial" w:cs="arial"/>
          <w:color w:val="000000"/>
          <w:sz w:val="20"/>
          <w:lang w:val="en-US" w:eastAsia="en-US" w:bidi="ar-SA"/>
        </w:rPr>
        <w:t>  On the other hand, the CSF has had access to $16.2 million pursuant to the Special Agreement and the OLEP Complementary Funding Provisions for capital funding. In my view, this amount fully offsets the revenues from surplus spaces that accrue to majority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1433</w:t>
      </w:r>
      <w:r>
        <w:rPr>
          <w:rFonts w:ascii="arial" w:eastAsia="arial" w:hAnsi="arial" w:cs="arial"/>
          <w:color w:val="000000"/>
          <w:sz w:val="20"/>
          <w:lang w:val="en-US" w:eastAsia="en-US" w:bidi="ar-SA"/>
        </w:rPr>
        <w:t>  In some ways, these funds also help to offset the fact that the CSF also does not have access to the same capital reserves and School Site Acquisition Charges that majority boards do. Mathematically, it certainly does. However, the federal capital funds do not assist the CSF to have capital projects approved or to have funding readily available to access sites. Federal funds are typically requested and made available after the Minister supports a project and it is underway. Since the Special Agreement expired, there is no guarantee those funds will continue to be made available. By contrast, Local and Restricted Capital Reserve amounts as well as School Site Acquisition Charges are available prior to project approval, and can help a district create a business case to persuade the Minister to move its projects forward. It can also help a district to move quickly to acquire a site when it becomes available. Federal capital funds do not play that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1434</w:t>
      </w:r>
      <w:r>
        <w:rPr>
          <w:rFonts w:ascii="arial" w:eastAsia="arial" w:hAnsi="arial" w:cs="arial"/>
          <w:color w:val="000000"/>
          <w:sz w:val="20"/>
          <w:lang w:val="en-US" w:eastAsia="en-US" w:bidi="ar-SA"/>
        </w:rPr>
        <w:t>  I conclude that the CSF is in a better position than majority boards, mathematically. That is appropriate. The CSF has higher expenses than majority boards do. It receives more than majority school boards do to give rise to true substantive equality. As I see it, the CSF receives sufficient funding to bring it to the point of substantive equality with majority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1435</w:t>
      </w:r>
      <w:r>
        <w:rPr>
          <w:rFonts w:ascii="arial" w:eastAsia="arial" w:hAnsi="arial" w:cs="arial"/>
          <w:color w:val="000000"/>
          <w:sz w:val="20"/>
          <w:lang w:val="en-US" w:eastAsia="en-US" w:bidi="ar-SA"/>
        </w:rPr>
        <w:t>  However, the CSF faces added challenges with respect to the public funds made available to it for minority language educational facilities that majority school boards do now. In particular, the sources of capital funding available to the CSF do not give it the same flexibility majority school boards have to move forward with its capital projects expeditiously.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1436</w:t>
      </w:r>
      <w:r>
        <w:rPr>
          <w:rFonts w:ascii="arial" w:eastAsia="arial" w:hAnsi="arial" w:cs="arial"/>
          <w:color w:val="000000"/>
          <w:sz w:val="20"/>
          <w:lang w:val="en-US" w:eastAsia="en-US" w:bidi="ar-SA"/>
        </w:rPr>
        <w:t xml:space="preserve">  However, I do not find that the disadvantages are sufficient to ground a breach of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 its own. To ground such a claim, the disadvantages must deprive the CSF of its right to management and control or rightsholders of the facilities they are entitled to. That is because the disadvantages can be counterbalanced in many ways. The evidence shows many instances of the Ministry accounting for this difference and making exceptions to account for the CSF's disadvantaged position. For example, from time to time the Ministry accelerated funding for the CSF to acquire a site in Vancouver (West) when no site had been identified. That would allow it to move quickly to seize an opportunity despite its lack of Local and Restricted Reserve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1437</w:t>
      </w:r>
      <w:r>
        <w:rPr>
          <w:rFonts w:ascii="arial" w:eastAsia="arial" w:hAnsi="arial" w:cs="arial"/>
          <w:color w:val="000000"/>
          <w:sz w:val="20"/>
          <w:lang w:val="en-US" w:eastAsia="en-US" w:bidi="ar-SA"/>
        </w:rPr>
        <w:t>  Thus, as I see it, the disadvantages the CSF faces are primarily relevant to the question of causation. The evidence shows examples of the Ministry counterbalancing these forces in some ways, such as by accelerating funding. In other instances, the evidence shows that the CSF has been hurt by the different funding sources available to it. So, when assessing the Community Claims, I will consider the extent to which the CSF's disadvantaged position caused rightsholders to be deprived of the minority language educational facilities they are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1438</w:t>
      </w:r>
      <w:r>
        <w:rPr>
          <w:rFonts w:ascii="arial" w:eastAsia="arial" w:hAnsi="arial" w:cs="arial"/>
          <w:color w:val="000000"/>
          <w:sz w:val="20"/>
          <w:lang w:val="en-US" w:eastAsia="en-US" w:bidi="ar-SA"/>
        </w:rPr>
        <w:t>  The CSF's financial position will also be relevant to the question of justification, as it sheds light on what the system yields for the CSF. I will also have regard to the CSF's financial position when considering the extent to which the Ministry's capital funding system adequately responds to the CSF's needs: particularly the plaintiffs' challenge to the Ministry's method of approving Expansion Projects (Chapter XXXVI, Expansion Projects and the Enrolment Driver), Building Condition Projects (Chapter XXXVII, Building Condition Projects and the Building Condition Driver) and School and Site Acquisition Projects (Chapter XXXVIII, Site and School Acquisition Projects).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XIII. THE ANNUAL FACILITIES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1439</w:t>
      </w:r>
      <w:r>
        <w:rPr>
          <w:rFonts w:ascii="arial" w:eastAsia="arial" w:hAnsi="arial" w:cs="arial"/>
          <w:color w:val="000000"/>
          <w:sz w:val="20"/>
          <w:lang w:val="en-US" w:eastAsia="en-US" w:bidi="ar-SA"/>
        </w:rPr>
        <w:t>  School boards are responsible for maintaining school buildings over the course of their economic lives. They do so with the Annual Facilities Grant ("AFG"): a targeted funding envelope provided to school boards by the Ministry to allow them to maintain school facilities. The plaintiffs raise two types of issue with the AFG: theoretical issues concerning its failure to account for the CSF's unique needs, and practical issues with how it has been calculated for the CSF. I address each of those sets of arguments after describing how the AFG operates.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 The AFG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History of the AFG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1440</w:t>
      </w:r>
      <w:r>
        <w:rPr>
          <w:rFonts w:ascii="arial" w:eastAsia="arial" w:hAnsi="arial" w:cs="arial"/>
          <w:color w:val="000000"/>
          <w:sz w:val="20"/>
          <w:lang w:val="en-US" w:eastAsia="en-US" w:bidi="ar-SA"/>
        </w:rPr>
        <w:t>  Mr. Miller recalled that the Minister began allocating funds to school districts for building maintenance in about 1988. At that time, the funding was known as the Annual Capital Allowance. Over time, the Annual Capital Allowance became known as the Annual Capital Grant, before becoming the AFG. Once entirely an allocation of capital funding, the Ministry now considers the AFG to be a mix of operating and capital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1441</w:t>
      </w:r>
      <w:r>
        <w:rPr>
          <w:rFonts w:ascii="arial" w:eastAsia="arial" w:hAnsi="arial" w:cs="arial"/>
          <w:color w:val="000000"/>
          <w:sz w:val="20"/>
          <w:lang w:val="en-US" w:eastAsia="en-US" w:bidi="ar-SA"/>
        </w:rPr>
        <w:t>  In the 1990s, Mr. Miller recounted, the Annual Capital Allowance or Grant was calculated based on the actual amount of educational space operated by a school district, and its age and replacement cost. This is consistent with the Resource-Cost Funding Model that was in place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1442</w:t>
      </w:r>
      <w:r>
        <w:rPr>
          <w:rFonts w:ascii="arial" w:eastAsia="arial" w:hAnsi="arial" w:cs="arial"/>
          <w:color w:val="000000"/>
          <w:sz w:val="20"/>
          <w:lang w:val="en-US" w:eastAsia="en-US" w:bidi="ar-SA"/>
        </w:rPr>
        <w:t>  Districts also had access to some capital funds for maintenance through Capital Planning Cycles. Historically, projects worth up to $1.5 million were treated as minor capital projects. School boards could fund those projects using their Annual Capital Grant, or they could apply for minor capital project funding in a Capital Planning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1443</w:t>
      </w:r>
      <w:r>
        <w:rPr>
          <w:rFonts w:ascii="arial" w:eastAsia="arial" w:hAnsi="arial" w:cs="arial"/>
          <w:color w:val="000000"/>
          <w:sz w:val="20"/>
          <w:lang w:val="en-US" w:eastAsia="en-US" w:bidi="ar-SA"/>
        </w:rPr>
        <w:t>  In June 2002, the Ministry announced that it was eliminating funding for minor capital projects from the Capital Planning Cycle process and rolling it into the AFG. The Ministry also eliminated funding for emergent projects through Capital Planning Cycles and asked school boards to establish reserves for emergent health and safety expenditures. Government also eliminated the requirement for school boards to seek the Minister's approval for their minor capital expenditures. School boards were free to spend their AFG at their discretion on permitted projects. Mr. Miller explained that the change was designed to give districts more autonomy around capital maintenance, much like the move to the Enrolment-Based Funding Model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1444</w:t>
      </w:r>
      <w:r>
        <w:rPr>
          <w:rFonts w:ascii="arial" w:eastAsia="arial" w:hAnsi="arial" w:cs="arial"/>
          <w:color w:val="000000"/>
          <w:sz w:val="20"/>
          <w:lang w:val="en-US" w:eastAsia="en-US" w:bidi="ar-SA"/>
        </w:rPr>
        <w:t>  At the same time as this change was made, the Ministry increased province-wide funding for the AFG from $50 million to $100 million. The Ministry increased Province-wide funding to $110 million at some point, where it stayed until about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1445</w:t>
      </w:r>
      <w:r>
        <w:rPr>
          <w:rFonts w:ascii="arial" w:eastAsia="arial" w:hAnsi="arial" w:cs="arial"/>
          <w:color w:val="000000"/>
          <w:sz w:val="20"/>
          <w:lang w:val="en-US" w:eastAsia="en-US" w:bidi="ar-SA"/>
        </w:rPr>
        <w:t>  According to Mr. Miller, the Ministry always expected districts to also use a portion of their operating allocation to maintain facilities. The Resource-Cost Funding Model included a function for operating and maintenance expenses, which was in excess of $100 million for all school districts. Those funds were rolled into the new Enrolment-Based Funding Model. The increased AFG funding was not intended to replace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1446</w:t>
      </w:r>
      <w:r>
        <w:rPr>
          <w:rFonts w:ascii="arial" w:eastAsia="arial" w:hAnsi="arial" w:cs="arial"/>
          <w:color w:val="000000"/>
          <w:sz w:val="20"/>
          <w:lang w:val="en-US" w:eastAsia="en-US" w:bidi="ar-SA"/>
        </w:rPr>
        <w:t>  The AFG policy changed again in 2008/09. At that point, Government once again began requiring boards to submit lists of projects for which they intended to use their AFG funds. Further, in 2009/10, noticing that boards were accumulating AFG funds year over year, the Ministry began taking a "use it or lose it" approach to AFG funds to eliminate idle cash sitting on school board balance sheets.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The AFG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1447</w:t>
      </w:r>
      <w:r>
        <w:rPr>
          <w:rFonts w:ascii="arial" w:eastAsia="arial" w:hAnsi="arial" w:cs="arial"/>
          <w:color w:val="000000"/>
          <w:sz w:val="20"/>
          <w:lang w:val="en-US" w:eastAsia="en-US" w:bidi="ar-SA"/>
        </w:rPr>
        <w:t>  When the Ministry created the AFG in 2002, it changed its model for calculating it. Prior to 2002, the Annual Capital Grant allocated funds on a per-school basis, consistent with the Resource-Cost Funding Model. In 2002, the Ministry implemented a formula based on square-metres-per-student, modified based on the average age of facilities, their replacement cost and local geographic factors related to the operation of schools. Mr. Miller explained that the new formula was meant to encourage districts to close and consolidate schools operating under capacity to improve efficiencies. He acknowledged the change favoured districts with growing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1448</w:t>
      </w:r>
      <w:r>
        <w:rPr>
          <w:rFonts w:ascii="arial" w:eastAsia="arial" w:hAnsi="arial" w:cs="arial"/>
          <w:color w:val="000000"/>
          <w:sz w:val="20"/>
          <w:lang w:val="en-US" w:eastAsia="en-US" w:bidi="ar-SA"/>
        </w:rPr>
        <w:t>  In 2002/03, the Ministry planned to recalculate the AFG annually, based on district enrolment. This continued every year until 2008/09. Mr. Miller's evidence was that this, too, would tend to favour growing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1449</w:t>
      </w:r>
      <w:r>
        <w:rPr>
          <w:rFonts w:ascii="arial" w:eastAsia="arial" w:hAnsi="arial" w:cs="arial"/>
          <w:color w:val="000000"/>
          <w:sz w:val="20"/>
          <w:lang w:val="en-US" w:eastAsia="en-US" w:bidi="ar-SA"/>
        </w:rPr>
        <w:t>  According to Mr. Miller, the starting place for calculating the AFG is enrolment and the space per student allowed by the Area Standards. The Ministry uses the Area Standards to determine the amount of space that a district ought to use to accommodate its enrolment. Based on those factors, the Ministry determines a notional amount of space, or an "imaginary building", for every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1450</w:t>
      </w:r>
      <w:r>
        <w:rPr>
          <w:rFonts w:ascii="arial" w:eastAsia="arial" w:hAnsi="arial" w:cs="arial"/>
          <w:color w:val="000000"/>
          <w:sz w:val="20"/>
          <w:lang w:val="en-US" w:eastAsia="en-US" w:bidi="ar-SA"/>
        </w:rPr>
        <w:t>  From there, the notional square footage in the imaginary building is converted to a replacement cost value using the Unit Rates. That amount is then adjusted pursuant to a number of factors to recognize the uniqueness of each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1451</w:t>
      </w:r>
      <w:r>
        <w:rPr>
          <w:rFonts w:ascii="arial" w:eastAsia="arial" w:hAnsi="arial" w:cs="arial"/>
          <w:color w:val="000000"/>
          <w:sz w:val="20"/>
          <w:lang w:val="en-US" w:eastAsia="en-US" w:bidi="ar-SA"/>
        </w:rPr>
        <w:t>  Some adjustments relate to the buildings that the district actually owns. An adjustment is made to recognize the average age of a school board's facilities, as well as their actual replacement cost. This is intended to recognize that older buildings are more costly to maintain. The age of facilities can result in an adjustment up to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1452</w:t>
      </w:r>
      <w:r>
        <w:rPr>
          <w:rFonts w:ascii="arial" w:eastAsia="arial" w:hAnsi="arial" w:cs="arial"/>
          <w:color w:val="000000"/>
          <w:sz w:val="20"/>
          <w:lang w:val="en-US" w:eastAsia="en-US" w:bidi="ar-SA"/>
        </w:rPr>
        <w:t>  Other adjustments relate to the school district's location. Among them, the AFG allocations are adjusted to take account of school districts that cannot close and consolidate rural schools even if they are operating below their capacity. So, where a school is eligible for the "small community" supplement under the Enrolment-Based Funding Model, half of the surplus capacity in the remote school is included in its enrolment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1453</w:t>
      </w:r>
      <w:r>
        <w:rPr>
          <w:rFonts w:ascii="arial" w:eastAsia="arial" w:hAnsi="arial" w:cs="arial"/>
          <w:color w:val="000000"/>
          <w:sz w:val="20"/>
          <w:lang w:val="en-US" w:eastAsia="en-US" w:bidi="ar-SA"/>
        </w:rPr>
        <w:t>  Mr. Miller's evidence is that in 55 districts, the replacement value of the imaginary building is multiplied by a factor of 1.0 or 1.3-- up to a 30% increase-- to account for location factors. He noted, however, that there are about five outliers: SD87-Stikine, for example, has a multiplier closer to about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Eligible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1454</w:t>
      </w:r>
      <w:r>
        <w:rPr>
          <w:rFonts w:ascii="arial" w:eastAsia="arial" w:hAnsi="arial" w:cs="arial"/>
          <w:color w:val="000000"/>
          <w:sz w:val="20"/>
          <w:lang w:val="en-US" w:eastAsia="en-US" w:bidi="ar-SA"/>
        </w:rPr>
        <w:t>  According to Mr. Miller, school districts use the AFG to maintain their buildings and to perform minor capital renovations. The AFG policy sets out 12 categories of expenditures for which districts may use their AFG funds. They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Roof Replacements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Mechanical System Upgrades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Electrical System Upgrades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Facility Upgrades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Prevention Projects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Functional Improvements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Technology Infrastructure Upgrades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Site Upgrades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Disable Access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Asbestos Abatement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and Safety Upgrades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Site Servicing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1455</w:t>
      </w:r>
      <w:r>
        <w:rPr>
          <w:rFonts w:ascii="arial" w:eastAsia="arial" w:hAnsi="arial" w:cs="arial"/>
          <w:color w:val="000000"/>
          <w:sz w:val="20"/>
          <w:lang w:val="en-US" w:eastAsia="en-US" w:bidi="ar-SA"/>
        </w:rPr>
        <w:t>  Mr. Miller recalled that these categories have remained relatively constant over time, subject to two amendments. In around 2008, the Ministry began allowing districts to purchase play equipment to address safety issues. When the Ministry began requiring PIRs in 2009/10, the policy was amended to allow school districts to use AFG funds to complete feasibility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1456</w:t>
      </w:r>
      <w:r>
        <w:rPr>
          <w:rFonts w:ascii="arial" w:eastAsia="arial" w:hAnsi="arial" w:cs="arial"/>
          <w:color w:val="000000"/>
          <w:sz w:val="20"/>
          <w:lang w:val="en-US" w:eastAsia="en-US" w:bidi="ar-SA"/>
        </w:rPr>
        <w:t>  The AFG policy also gives examples of projects that are not to be pursued with AFG funds: Expansion Projects, building acquisitions, site acquisitions and acquisition of equipment, furnishings, computers and vehicles. Mr. Miller specifically mentioned that a district could not build a gymnasium with its AFG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 Theoretical Suitability of the AFG Formula to the CSF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1457</w:t>
      </w:r>
      <w:r>
        <w:rPr>
          <w:rFonts w:ascii="arial" w:eastAsia="arial" w:hAnsi="arial" w:cs="arial"/>
          <w:color w:val="000000"/>
          <w:sz w:val="20"/>
          <w:lang w:val="en-US" w:eastAsia="en-US" w:bidi="ar-SA"/>
        </w:rPr>
        <w:t>  The plaintiffs raise a series of issues with the AFG formula, and its theoretical ability to take into account the CSF's unique needs. In particular, they take issue with the fact that the AFG cannot be used for Expansion Projects, and that the rationale for the AFG-- promoting efficiency by encouraging school consolidations-- does not apply to the CSF.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Expansion Project Ineligibility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1458</w:t>
      </w:r>
      <w:r>
        <w:rPr>
          <w:rFonts w:ascii="arial" w:eastAsia="arial" w:hAnsi="arial" w:cs="arial"/>
          <w:color w:val="000000"/>
          <w:sz w:val="20"/>
          <w:lang w:val="en-US" w:eastAsia="en-US" w:bidi="ar-SA"/>
        </w:rPr>
        <w:t>  The plaintiffs argue that the CSF is disadvantaged in the construction of new Expansion Projects worth less than $1.5 million due to the confluence of the AFG formula and the CSF's need for school sites. The plaintiffs argue that due to the limits in the AFG policy, it cannot use its AFG to finance Expansion Projects worth less than $1.5 million. The plaintiffs did not direct the Court to any Expansion Projects worth less than $1.5 million that it was unable to pursue because it was not eligible for Capital Planning Cycle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1459</w:t>
      </w:r>
      <w:r>
        <w:rPr>
          <w:rFonts w:ascii="arial" w:eastAsia="arial" w:hAnsi="arial" w:cs="arial"/>
          <w:color w:val="000000"/>
          <w:sz w:val="20"/>
          <w:lang w:val="en-US" w:eastAsia="en-US" w:bidi="ar-SA"/>
        </w:rPr>
        <w:t>  The plaintiffs say that they are disadvantaged by the fact that the AFG funds cannot be spent on Expansion Projects because they do not have the same ability as majority boards to generate Local Capital Reserves to apply to Expansion Projects. In my view, that disadvantage does not arise out of the AFG; it is a disadvantage related to the CSF's lack of an asset base. No districts are able to use their AFG funds for Expansion Projects because they are targeted to a wholly different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1460</w:t>
      </w:r>
      <w:r>
        <w:rPr>
          <w:rFonts w:ascii="arial" w:eastAsia="arial" w:hAnsi="arial" w:cs="arial"/>
          <w:color w:val="000000"/>
          <w:sz w:val="20"/>
          <w:lang w:val="en-US" w:eastAsia="en-US" w:bidi="ar-SA"/>
        </w:rPr>
        <w:t>  In this instance, the equal application of the AFG policy to all school districts does not have an adverse or disproportionate impact on the CSF. What appears to be a disproportionate impact-- the CSF's outstanding need for Expansion Projects-- is wholly divorced from the issue of the AFG, and relates only to the CSF's need for more funding. Indeed, if the CSF had sufficient assets, the problem would be wholly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1461</w:t>
      </w:r>
      <w:r>
        <w:rPr>
          <w:rFonts w:ascii="arial" w:eastAsia="arial" w:hAnsi="arial" w:cs="arial"/>
          <w:color w:val="000000"/>
          <w:sz w:val="20"/>
          <w:lang w:val="en-US" w:eastAsia="en-US" w:bidi="ar-SA"/>
        </w:rPr>
        <w:t>  If anything, a revised AFG formula might be a way of taking into account that the CSF cannot generate Local and Restricted Capital Reserve. However, if that change were made, it would only create a new disadvantage for the CSF: a lack of funding for building maintenance. This reinforces the view that the problem the plaintiffs cite is wholly unrelated to the AFG. While the CSF may want to use its AFG for Expansion Projects, the fact that it cannot is not the cause of its lack of funding to pursue Expansion Projects.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Rationale for the AFG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1462</w:t>
      </w:r>
      <w:r>
        <w:rPr>
          <w:rFonts w:ascii="arial" w:eastAsia="arial" w:hAnsi="arial" w:cs="arial"/>
          <w:color w:val="000000"/>
          <w:sz w:val="20"/>
          <w:lang w:val="en-US" w:eastAsia="en-US" w:bidi="ar-SA"/>
        </w:rPr>
        <w:t>  The evidence is clear that the policy reason for amending the AFG formula in 2002 was to build cost incentives into the funding system for school boards to become more efficient by closing and consolidating schools in light of declining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1463</w:t>
      </w:r>
      <w:r>
        <w:rPr>
          <w:rFonts w:ascii="arial" w:eastAsia="arial" w:hAnsi="arial" w:cs="arial"/>
          <w:color w:val="000000"/>
          <w:sz w:val="20"/>
          <w:lang w:val="en-US" w:eastAsia="en-US" w:bidi="ar-SA"/>
        </w:rPr>
        <w:t>  The plaintiffs argue that this policy objective does not apply to the CSF. They note that the CSF does not have a sufficiently large and proximate asset base to close and consolidate schools. They argue that the CSF had growing enrolment, was seeking new assets and was attracting new students in 2002, and thus differed from majority boards, which had acquired school facilities over many years before experiencing declining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1464</w:t>
      </w:r>
      <w:r>
        <w:rPr>
          <w:rFonts w:ascii="arial" w:eastAsia="arial" w:hAnsi="arial" w:cs="arial"/>
          <w:color w:val="000000"/>
          <w:sz w:val="20"/>
          <w:lang w:val="en-US" w:eastAsia="en-US" w:bidi="ar-SA"/>
        </w:rPr>
        <w:t xml:space="preserve">  The plaintiffs go further and argue that a model that encourages school closures and consolidations is incompatible with the CSF's circumstances and mission, does not meet the positive obligation on the Province to preserve and promote minority language education, and is therefore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They argue that due to the regional nature of the CSF's schools and travel times between communities, the CSF cannot close and consolidate schools. They say that since the CSF cannot do what the AFG model was designed to encourage school districts to do, it has necessarily resulted in underfunding the CSF's maintenance and renovation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1465</w:t>
      </w:r>
      <w:r>
        <w:rPr>
          <w:rFonts w:ascii="arial" w:eastAsia="arial" w:hAnsi="arial" w:cs="arial"/>
          <w:color w:val="000000"/>
          <w:sz w:val="20"/>
          <w:lang w:val="en-US" w:eastAsia="en-US" w:bidi="ar-SA"/>
        </w:rPr>
        <w:t xml:space="preserve">  I agree that the policy rationale for moving the AFG to a per-pupil funding model does not apply to the CSF. The revised AFG aims to encourage school consolidations and closures by moving to a per pupil operating formula. It created a financial disincentive to operating schools that were under capacity. It did not create a positive incentive that the CSF was deprived of. Because the CSF was a growing district, it was not hurt by the policy in the way that districts experiencing enrolment decline were. Thus, the mere fact that the AFG Policy created a burden that, in theory, would not apply to the CSF, is not a rationale for concluding that the policy is contrary to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Ministry can-- indeed, it must-- develop policies that have rationales not specifically targeted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1466</w:t>
      </w:r>
      <w:r>
        <w:rPr>
          <w:rFonts w:ascii="arial" w:eastAsia="arial" w:hAnsi="arial" w:cs="arial"/>
          <w:color w:val="000000"/>
          <w:sz w:val="20"/>
          <w:lang w:val="en-US" w:eastAsia="en-US" w:bidi="ar-SA"/>
        </w:rPr>
        <w:t>  The plaintiffs also urge that many CSF schools are closed majority schools that are larger than the Area Standards would allow given the CSF's enrolment. The plaintiffs argue that the CSF must maintain those large facilities, regardless of the number of students enrolled in them. They give the example of École des Pionniers (Port Coquitlam), which the CSF acquired in 2000. The plaintiffs argue that the CSF acquired a large school, and despite increasing enrolment, "the AFG formula has consistently funded less than the actual cost of maintaining the École des Pionniers facility, because the formula in place since 2003/04 determines the amount of AFG funding based on enrolment, not on the amount of educational space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1467</w:t>
      </w:r>
      <w:r>
        <w:rPr>
          <w:rFonts w:ascii="arial" w:eastAsia="arial" w:hAnsi="arial" w:cs="arial"/>
          <w:color w:val="000000"/>
          <w:sz w:val="20"/>
          <w:lang w:val="en-US" w:eastAsia="en-US" w:bidi="ar-SA"/>
        </w:rPr>
        <w:t>  While this is an interesting argument, the plaintiffs have not led the facts to establish it. It is an argument that the AFG policy has adverse effects on the CSF because it operates schools that are larger than the school's enrolment would call for based on the Area Standards. However, the plaintiffs did not provide any argument or analysis of how the space the CSF operates compares to the Area Standards. While the CSF makes a vague reference to underfunding the cost of maintenance at École des Pionniers (Port Coquitlam), the plaintiffs do not provide any information about the cost of maintenance at that school as compared to the amount of AFG funding it received relative to enrolment at that school. Moreover, the Ministry funded millions of dollars of renovations to École des Pionniers. Further, they do not take into account that the CSF was generating lease revenues from leasing surplus space at École des Pionniers to an independent school for many years, which it could have applied to the maintenance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1468</w:t>
      </w:r>
      <w:r>
        <w:rPr>
          <w:rFonts w:ascii="arial" w:eastAsia="arial" w:hAnsi="arial" w:cs="arial"/>
          <w:color w:val="000000"/>
          <w:sz w:val="20"/>
          <w:lang w:val="en-US" w:eastAsia="en-US" w:bidi="ar-SA"/>
        </w:rPr>
        <w:t>  Finally, the plaintiffs say that to the extent the AFG model purposefully underfunded school maintenance to encourage school consolidations and closures, it is inconsistent with the Province's positive obligation to promote minority language education and construct its infrastructure. I do not understand that the AFG Policy intentionally underfunded school maintenance; it merely funded maintenance appropriately based on the amount of space that the Ministry thought it appropriate for school districts to operate based on their enrolment and the Area Standards.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 Calculation of the CSF's AFG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1469</w:t>
      </w:r>
      <w:r>
        <w:rPr>
          <w:rFonts w:ascii="arial" w:eastAsia="arial" w:hAnsi="arial" w:cs="arial"/>
          <w:color w:val="000000"/>
          <w:sz w:val="20"/>
          <w:lang w:val="en-US" w:eastAsia="en-US" w:bidi="ar-SA"/>
        </w:rPr>
        <w:t>  The plaintiffs also challenge the manner in which the AFG formula has been applied to the CSF. They take the position that the defendants have made numerous decisions related to AFG that have disadvantaged the CSF and failed to take into account its unique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AFG Funding Freeze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1470</w:t>
      </w:r>
      <w:r>
        <w:rPr>
          <w:rFonts w:ascii="arial" w:eastAsia="arial" w:hAnsi="arial" w:cs="arial"/>
          <w:color w:val="000000"/>
          <w:sz w:val="20"/>
          <w:lang w:val="en-US" w:eastAsia="en-US" w:bidi="ar-SA"/>
        </w:rPr>
        <w:t>  Mr. Stewart explained that in June 2009, the Province was beginning to experience some budgetary pressure related to a global economic recession. The Ministry was directed to look for expenditures that could be deferred without breaching any legal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1471</w:t>
      </w:r>
      <w:r>
        <w:rPr>
          <w:rFonts w:ascii="arial" w:eastAsia="arial" w:hAnsi="arial" w:cs="arial"/>
          <w:color w:val="000000"/>
          <w:sz w:val="20"/>
          <w:lang w:val="en-US" w:eastAsia="en-US" w:bidi="ar-SA"/>
        </w:rPr>
        <w:t>  Mr. Miller advised that around this time, depending on whether one looked at financial circumstances in March or June of 2009, three or six districts had AFG deficits. School districts also had reserves of $76.4 to $98 million in their AFG accounts. Mr. Miller acknowledged that since AFG spending tends to be cyclical, whether a district showed as being in a reserve or deficit might relate to where they were in their spending cycle of maintenance and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1472</w:t>
      </w:r>
      <w:r>
        <w:rPr>
          <w:rFonts w:ascii="arial" w:eastAsia="arial" w:hAnsi="arial" w:cs="arial"/>
          <w:color w:val="000000"/>
          <w:sz w:val="20"/>
          <w:lang w:val="en-US" w:eastAsia="en-US" w:bidi="ar-SA"/>
        </w:rPr>
        <w:t>  The CSF was among those districts that had an AFG surplus. The evidence shows that in Mr. Bonnefoy's time as Secretary-Treasurer, the CSF consistently had a surplus in its AFG account. Those surpluses are set out below: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3" type="#_x0000_t75" style="width:219.75pt;height:109.5pt">
            <v:imagedata r:id="rId41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1473</w:t>
      </w:r>
      <w:r>
        <w:rPr>
          <w:rFonts w:ascii="arial" w:eastAsia="arial" w:hAnsi="arial" w:cs="arial"/>
          <w:color w:val="000000"/>
          <w:sz w:val="20"/>
          <w:lang w:val="en-US" w:eastAsia="en-US" w:bidi="ar-SA"/>
        </w:rPr>
        <w:t>  Mr. Bonnefoy's evidence was that the CSF's AFG surpluses were not surpluses in the traditional sense. Rather, he implemented a programme whereby the CSF spent its AFG in three-year cycles. Some maintenance costs, like roof replacements, could prove very costly, so in his view, it was better to save for those projects over a three year period so as not to forgo completing other needed maintenance projects. I infer from the fact that the CSF's AFG savings were less than a third of their peak in 2004/05 that the CSF was at the end of one of its spending 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1474</w:t>
      </w:r>
      <w:r>
        <w:rPr>
          <w:rFonts w:ascii="arial" w:eastAsia="arial" w:hAnsi="arial" w:cs="arial"/>
          <w:color w:val="000000"/>
          <w:sz w:val="20"/>
          <w:lang w:val="en-US" w:eastAsia="en-US" w:bidi="ar-SA"/>
        </w:rPr>
        <w:t>  In 2008/09, Government reduced AFG funds. Initially, the grant was not provided, and school boards were asked to fund projects out of their reserve accounts and surpluses. By the end of 2009/10, some funds became available, and about half of the normal AFG funds, $50 million, were provided to school boards. In 2010/11, $55 million was allocated to boards. Thus, the Ministry spread one year's AFG allocation over two years. The annual allocation was restored to $110 million for 2011/12.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1475</w:t>
      </w:r>
      <w:r>
        <w:rPr>
          <w:rFonts w:ascii="arial" w:eastAsia="arial" w:hAnsi="arial" w:cs="arial"/>
          <w:color w:val="000000"/>
          <w:sz w:val="20"/>
          <w:lang w:val="en-US" w:eastAsia="en-US" w:bidi="ar-SA"/>
        </w:rPr>
        <w:t>  According to Mr. Bonnefoy, the CSF did not consider that it had any unspent AFG funds at that time. He acknowledged that the CSF showed an AFG surplus in 2008/09. However, the CSF had already made commitments to renovate École Victor-Brodeur (Victoria) and École Élémentaire Océane (Nanaimo), and to do some roof replacements. Mr. Bonnefoy expected that the CSF would find itself in a shortfall, and would have to compensate by using its operating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1476</w:t>
      </w:r>
      <w:r>
        <w:rPr>
          <w:rFonts w:ascii="arial" w:eastAsia="arial" w:hAnsi="arial" w:cs="arial"/>
          <w:color w:val="000000"/>
          <w:sz w:val="20"/>
          <w:lang w:val="en-US" w:eastAsia="en-US" w:bidi="ar-SA"/>
        </w:rPr>
        <w:t>  The plaintiffs argue that the Ministry's conclusion that cutting the AFG would have little to no impact on school district operations was wrong with regard to the CSF. They point to Mr. Bonnefoy's evidence that the CSF had no AFG reserves in 2009/10 that it did not plan to spend.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1477</w:t>
      </w:r>
      <w:r>
        <w:rPr>
          <w:rFonts w:ascii="arial" w:eastAsia="arial" w:hAnsi="arial" w:cs="arial"/>
          <w:color w:val="000000"/>
          <w:sz w:val="20"/>
          <w:lang w:val="en-US" w:eastAsia="en-US" w:bidi="ar-SA"/>
        </w:rPr>
        <w:t>  The defendants take the position that although Mr. Bonnefoy stated he had a plan in place, he could not give specifics. They also note that even if the CSF did not have any AFG funds set aside, in that year the CSF had an operating surplus of $4.7 million. Thus, the defendants say there was no impact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1478</w:t>
      </w:r>
      <w:r>
        <w:rPr>
          <w:rFonts w:ascii="arial" w:eastAsia="arial" w:hAnsi="arial" w:cs="arial"/>
          <w:color w:val="000000"/>
          <w:sz w:val="20"/>
          <w:lang w:val="en-US" w:eastAsia="en-US" w:bidi="ar-SA"/>
        </w:rPr>
        <w:t>  In my view, the evidence does not support that the Ministry's decision not to provide the entire AFG allocation in 2009/10 and 2010/11 disproportionately impacted the CSF. It is within the Province's jurisdiction to determine funding for the education system so long as it does not trench on the CSF's right to management and control over matters going to language and culture and ensures that rightsholders receive what they are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1479</w:t>
      </w:r>
      <w:r>
        <w:rPr>
          <w:rFonts w:ascii="arial" w:eastAsia="arial" w:hAnsi="arial" w:cs="arial"/>
          <w:color w:val="000000"/>
          <w:sz w:val="20"/>
          <w:lang w:val="en-US" w:eastAsia="en-US" w:bidi="ar-SA"/>
        </w:rPr>
        <w:t>  The plaintiffs have not pointed to any facilities that rightsholders were deprived of due to the Ministry's decision, including the right to substantive equality at the provincial level. The funding cut to the AFG in 2009/10 and 2010/11 was certainly an inconvenience for the CSF. It was an inconvenience for all school boards. The evidence does not establish that the CSF was any worse off than other districts because of the decision, or that it had any particular adverse impact on the CSF because of its role delivering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1480</w:t>
      </w:r>
      <w:r>
        <w:rPr>
          <w:rFonts w:ascii="arial" w:eastAsia="arial" w:hAnsi="arial" w:cs="arial"/>
          <w:color w:val="000000"/>
          <w:sz w:val="20"/>
          <w:lang w:val="en-US" w:eastAsia="en-US" w:bidi="ar-SA"/>
        </w:rPr>
        <w:t>  Further, in the particular context of the type of work that is typically performed with AFG funding-- roof replacements and other projects designed to extend a building's economic life-- I do not consider that a decision to withhold funding trenched on the CSF's right to management and control over matters going to language and culture.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Modification Based on Leased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1481</w:t>
      </w:r>
      <w:r>
        <w:rPr>
          <w:rFonts w:ascii="arial" w:eastAsia="arial" w:hAnsi="arial" w:cs="arial"/>
          <w:color w:val="000000"/>
          <w:sz w:val="20"/>
          <w:lang w:val="en-US" w:eastAsia="en-US" w:bidi="ar-SA"/>
        </w:rPr>
        <w:t>  The plaintiffs argue that the application of the AFG formula to the CSF is flawed because the Ministry does not take into account the age of the CSF's leased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1482</w:t>
      </w:r>
      <w:r>
        <w:rPr>
          <w:rFonts w:ascii="arial" w:eastAsia="arial" w:hAnsi="arial" w:cs="arial"/>
          <w:color w:val="000000"/>
          <w:sz w:val="20"/>
          <w:lang w:val="en-US" w:eastAsia="en-US" w:bidi="ar-SA"/>
        </w:rPr>
        <w:t>  I find that the CSF receives AFG funds for its enrolment in leased facilities. While Mr. Bonnefoy maintained that he thought the CSF did not, he conceded he might be wrong. I note that in the spring of 2010, Mr. Cavelti confirmed to Mr. Allison that the CSF's AFG was calculated based on a district-wide enrolment count, including students in leased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1483</w:t>
      </w:r>
      <w:r>
        <w:rPr>
          <w:rFonts w:ascii="arial" w:eastAsia="arial" w:hAnsi="arial" w:cs="arial"/>
          <w:color w:val="000000"/>
          <w:sz w:val="20"/>
          <w:lang w:val="en-US" w:eastAsia="en-US" w:bidi="ar-SA"/>
        </w:rPr>
        <w:t>  However, the evidence reveals that the Ministry does not take into account the age of CSF schools in leased facilities. As I explain above, the AFG formula modifies the amount that school districts receive based on building age to recognize the additional cost of maintaining older facilities. The age of a facility can account for up to a 10% increase in a district's AFG allocation. Mr. Miller testified that the CSF receives a 5% increase, placing it in the "middle of the pack". Mr. Miller had never calculated how the CSF's AFG funding would change if the age of its leased facilities were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1484</w:t>
      </w:r>
      <w:r>
        <w:rPr>
          <w:rFonts w:ascii="arial" w:eastAsia="arial" w:hAnsi="arial" w:cs="arial"/>
          <w:color w:val="000000"/>
          <w:sz w:val="20"/>
          <w:lang w:val="en-US" w:eastAsia="en-US" w:bidi="ar-SA"/>
        </w:rPr>
        <w:t>  Of course, the CSF is also very hesitant to use its AFG on leased space. Mr. Bonnefoy advised that when he was Secretary-Treasurer for the CSF between 2004 and the end of 2009, the CSF did not use its AFG to renovate or improve leased space. While Mr. Bonnefoy knew that the CSF was not restricted from using the AFG funds on leased space, it was his view that the funds should not be spent on facilities that the CSF did not own. Mr. Allison acknowledged that he, too, avoids spending AFG funds on leased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1485</w:t>
      </w:r>
      <w:r>
        <w:rPr>
          <w:rFonts w:ascii="arial" w:eastAsia="arial" w:hAnsi="arial" w:cs="arial"/>
          <w:color w:val="000000"/>
          <w:sz w:val="20"/>
          <w:lang w:val="en-US" w:eastAsia="en-US" w:bidi="ar-SA"/>
        </w:rPr>
        <w:t>  Despite the general policy, the CSF has used its AFG funds on leased facilities from time to time. As I note in Chapter XXII, École Élémentaire Entre-lacs (Penticton), the CSF has recently used its AFG funds to renovate the leased, homogeneous facility in that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1486</w:t>
      </w:r>
      <w:r>
        <w:rPr>
          <w:rFonts w:ascii="arial" w:eastAsia="arial" w:hAnsi="arial" w:cs="arial"/>
          <w:color w:val="000000"/>
          <w:sz w:val="20"/>
          <w:lang w:val="en-US" w:eastAsia="en-US" w:bidi="ar-SA"/>
        </w:rPr>
        <w:t>  The plaintiffs argue that many of the leased school facilities the CSF operates are old, closed majority schools. As a result, they say that there are increased costs associated with maintaining them. They note that some of the oldest schools in which the CSF operates are leased, including École Élémentaire du Pacifique (Sechelt) and École Élémentaire Entre-lacs (Penticton). They suggest that it is inappropriate to calculate the AFG for the CSF in a manner that ignores the age of those facilities, as that has a negative impact on the quality of a CSF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1487</w:t>
      </w:r>
      <w:r>
        <w:rPr>
          <w:rFonts w:ascii="arial" w:eastAsia="arial" w:hAnsi="arial" w:cs="arial"/>
          <w:color w:val="000000"/>
          <w:sz w:val="20"/>
          <w:lang w:val="en-US" w:eastAsia="en-US" w:bidi="ar-SA"/>
        </w:rPr>
        <w:t>  The plaintiffs argue it is reasonable for the CSF to avoid investing its AFG in leased buildings that belong to the majority. They reject the notion that the CSF could have applied its AFG funds to remedy any of the issues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1488</w:t>
      </w:r>
      <w:r>
        <w:rPr>
          <w:rFonts w:ascii="arial" w:eastAsia="arial" w:hAnsi="arial" w:cs="arial"/>
          <w:color w:val="000000"/>
          <w:sz w:val="20"/>
          <w:lang w:val="en-US" w:eastAsia="en-US" w:bidi="ar-SA"/>
        </w:rPr>
        <w:t>  The evidence reveals that the average age of the CSF's owned schools is about 36 years. The average age of the CSF's leased schools is 37 years. Of course, the average age of the CSF's leased homogeneous schools tends to be lower than the average age of its leased heterogeneous schools. Leased homogeneous schools are, on average, about 46 years old, while leased heterogeneous facilities are an average of 30 years old. Even so, I find that the evidence falls short of establishing that the CSF's leased facilities are substantially older than its owned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1489</w:t>
      </w:r>
      <w:r>
        <w:rPr>
          <w:rFonts w:ascii="arial" w:eastAsia="arial" w:hAnsi="arial" w:cs="arial"/>
          <w:color w:val="000000"/>
          <w:sz w:val="20"/>
          <w:lang w:val="en-US" w:eastAsia="en-US" w:bidi="ar-SA"/>
        </w:rPr>
        <w:t>  I also agree with the defendants that there is no discernible difference between the quality of the CSF's leased and owned facilities. The average FCI score for CSF leased facilities is 0.29. The average FCI score for all the CSF's owned facilities is likewise 0.29. I also note that the average FCI of buildings across all districts (excluding the CSF) is 0.38; since a lower FCI score indicates a newer building, the CSF's facilities tend to be in better condition than the provincial average. Twenty of 37 CSF facilities are in better condition than the provincial average, and 17 are in worse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1490</w:t>
      </w:r>
      <w:r>
        <w:rPr>
          <w:rFonts w:ascii="arial" w:eastAsia="arial" w:hAnsi="arial" w:cs="arial"/>
          <w:color w:val="000000"/>
          <w:sz w:val="20"/>
          <w:lang w:val="en-US" w:eastAsia="en-US" w:bidi="ar-SA"/>
        </w:rPr>
        <w:t>  I acknowledge that the average FCI score and average age for the CSF's leased facilities is improved by the fact that it includes many relatively new schools where the CSF operates in heterogeneous space like Duchess Park Secondary (Prince George; 4.8 years old, FCI of 0.00), Penticton Secondary (SD67-Okanagan Skaha, 6.4 years old, FCI of 0.02) and Spring Creek Community (Whistler, 21 years old, FCI of 0.05). Its leased homogeneous schools tend to be older and in worse condition, for example Kilgour Elementary (Richmond, 43 years old, FCI of 0.59) and Nkwala Elementary (Penticton, 47 years old, FCI of 0.51). However, if the CSF wants its leased facilities to be taken into account when modifying its AFG, it must be prepared to take the good with the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1491</w:t>
      </w:r>
      <w:r>
        <w:rPr>
          <w:rFonts w:ascii="arial" w:eastAsia="arial" w:hAnsi="arial" w:cs="arial"/>
          <w:color w:val="000000"/>
          <w:sz w:val="20"/>
          <w:lang w:val="en-US" w:eastAsia="en-US" w:bidi="ar-SA"/>
        </w:rPr>
        <w:t>  In my view, the evidence does not establish that the CSF's AFG funding would have been substantially different if the amount the CSF received per student had been modified to take into account the age and condition of its leased facilities. The deciding factor for calculating AFG allocations is enrolment. The CSF received funding for every student in its district, including those in leased space. As I see it, there is no substantial difference between the average age of the CSF's leased and owned facilities. Even if the plaintiffs had proven a substantial difference, the greatest increase the CSF would be entitled to would be a 5% increase to its AFG funding. As I see it, the marginal difference between the average age of the CSF's leased and owned facilities would not entitle the CSF to substantially more than it already receives.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1492</w:t>
      </w:r>
      <w:r>
        <w:rPr>
          <w:rFonts w:ascii="arial" w:eastAsia="arial" w:hAnsi="arial" w:cs="arial"/>
          <w:color w:val="000000"/>
          <w:sz w:val="20"/>
          <w:lang w:val="en-US" w:eastAsia="en-US" w:bidi="ar-SA"/>
        </w:rPr>
        <w:t>  Moreover, I do not find it appropriate that the CSF has refused to spend its AFG funds on leased, homogeneous space. The CSF receives funding for every student in its leased facilities. Its majority board landlords do not. Many contracts, like the CSF's lease of Kilgour Elementary (Richmond), specify that the CSF is responsible for maintaining leased homogeneous facilities in appropriate condition, even if the CSF must do so using majority-board employees. Since the CSF is receiving the maintenance funding associated with students in its leased homogeneous schools and is responsible for maintenance, it must use its AFG funds to maintain those facilities.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The AFG Rural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1493</w:t>
      </w:r>
      <w:r>
        <w:rPr>
          <w:rFonts w:ascii="arial" w:eastAsia="arial" w:hAnsi="arial" w:cs="arial"/>
          <w:color w:val="000000"/>
          <w:sz w:val="20"/>
          <w:lang w:val="en-US" w:eastAsia="en-US" w:bidi="ar-SA"/>
        </w:rPr>
        <w:t>  Mr. Miller explained that in about 2003/04, one year after it changed the AFG formula, the Ministry added a factor to the AFG formula to recognize excess capacity in rural schools (the "AFG Rural Factor"). It was designed to recognize that some rural schools could not be closed and consolidated, and would therefore sometimes have to operate below capacity. Pursuant to the new AFG Rural Factor, if a rural school operated below its capacity, the district received credit for 50% of the students that could be accommodated in that excess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1494</w:t>
      </w:r>
      <w:r>
        <w:rPr>
          <w:rFonts w:ascii="arial" w:eastAsia="arial" w:hAnsi="arial" w:cs="arial"/>
          <w:color w:val="000000"/>
          <w:sz w:val="20"/>
          <w:lang w:val="en-US" w:eastAsia="en-US" w:bidi="ar-SA"/>
        </w:rPr>
        <w:t>  According to Mr. Miller and Mr. Lebrun, the AFG Rural Factor initially did not apply to the CSF even though the CSF was eligible for the Small Community Supplement. Mr. Miller attributed this to the fact that most of the CSF's population was located in urban areas. The CSF schools outside urban areas were located in leased, shared space. While the CSF received funding for students enrolled in leased heterogeneous schools, the Ministry did not adjust the CSF's formula based on those schools because the majority boards were largely responsible for their maintenance. Mr. Miller confirmed there was much discussion about the issue by Ministry staff, but that it was a "grey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1495</w:t>
      </w:r>
      <w:r>
        <w:rPr>
          <w:rFonts w:ascii="arial" w:eastAsia="arial" w:hAnsi="arial" w:cs="arial"/>
          <w:color w:val="000000"/>
          <w:sz w:val="20"/>
          <w:lang w:val="en-US" w:eastAsia="en-US" w:bidi="ar-SA"/>
        </w:rPr>
        <w:t>  Over time, Mr. Miller recounted, the CSF acquired and built more schools in rural areas. By 2012, the Ministry recognized that the CSF had excess capacity in many of those schools, and could not close and consolidate them. So, in 2012/13, the Ministry made the AFG Rural Factor applicable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1496</w:t>
      </w:r>
      <w:r>
        <w:rPr>
          <w:rFonts w:ascii="arial" w:eastAsia="arial" w:hAnsi="arial" w:cs="arial"/>
          <w:color w:val="000000"/>
          <w:sz w:val="20"/>
          <w:lang w:val="en-US" w:eastAsia="en-US" w:bidi="ar-SA"/>
        </w:rPr>
        <w:t>  The evidence shows that Ministry staff began contemplating this change in about 2009. In a June 2009 letter to Mr. Cavelti and Mr. Dan Butler, Regional Manager responsible for the CSF, Mr. Lebrun suggested that as the CSF moved from leased to owned space, it could be difficult for the Ministry to continue to treat the CSF differently in the calculation of the AFG Rural Factor. Mr. Lebrun calculated that if the AFG Rural Factor applied to the CSF, it would be eligible for a further $556,000. That amount would need to be found or reallocated from other school boards. As a result of the reallocation, majority boards would each lose between $1,500 and $56,600 from their annual AFG allocations.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1497</w:t>
      </w:r>
      <w:r>
        <w:rPr>
          <w:rFonts w:ascii="arial" w:eastAsia="arial" w:hAnsi="arial" w:cs="arial"/>
          <w:color w:val="000000"/>
          <w:sz w:val="20"/>
          <w:lang w:val="en-US" w:eastAsia="en-US" w:bidi="ar-SA"/>
        </w:rPr>
        <w:t>  Notably, Mr. Lebrun's calculations coincided with the period in which the Ministry decided not to fund the AFG, in 2009/10 and 2010/11.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1498</w:t>
      </w:r>
      <w:r>
        <w:rPr>
          <w:rFonts w:ascii="arial" w:eastAsia="arial" w:hAnsi="arial" w:cs="arial"/>
          <w:color w:val="000000"/>
          <w:sz w:val="20"/>
          <w:lang w:val="en-US" w:eastAsia="en-US" w:bidi="ar-SA"/>
        </w:rPr>
        <w:t>  Mr. Lebrun explained that he went on to seek instructions from Mr. Stewart, who directed him to continue to calculate the CSF's AFG allocation in the same manner as it had been calculated in previous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1499</w:t>
      </w:r>
      <w:r>
        <w:rPr>
          <w:rFonts w:ascii="arial" w:eastAsia="arial" w:hAnsi="arial" w:cs="arial"/>
          <w:color w:val="000000"/>
          <w:sz w:val="20"/>
          <w:lang w:val="en-US" w:eastAsia="en-US" w:bidi="ar-SA"/>
        </w:rPr>
        <w:t>  Mr. Stewart's evidence was that he gave Mr. Lebrun those instructions based on the fact that "[i]t was felt at the time that the Ministry was not able-- or not ready to make the adjustment." He confirmed that "it was felt by senior ministry officials at the time that we were not able to make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1500</w:t>
      </w:r>
      <w:r>
        <w:rPr>
          <w:rFonts w:ascii="arial" w:eastAsia="arial" w:hAnsi="arial" w:cs="arial"/>
          <w:color w:val="000000"/>
          <w:sz w:val="20"/>
          <w:lang w:val="en-US" w:eastAsia="en-US" w:bidi="ar-SA"/>
        </w:rPr>
        <w:t>  When pressed further on cross-examination, Mr. Stewart confirmed that he raised the question with the Minister and Deputy Minister of the day. Part of the discussion included that a change in the calculation would involve shifting some $500,000 in funds from majority boards to the CSF. It was considered that it would not be appropriate to make the change until the Minister could secure more funding to devote to the AFG.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1501</w:t>
      </w:r>
      <w:r>
        <w:rPr>
          <w:rFonts w:ascii="arial" w:eastAsia="arial" w:hAnsi="arial" w:cs="arial"/>
          <w:color w:val="000000"/>
          <w:sz w:val="20"/>
          <w:lang w:val="en-US" w:eastAsia="en-US" w:bidi="ar-SA"/>
        </w:rPr>
        <w:t>  Mr. Lebrun recalled that between 2009/10 and 2012/13, the AFG was not recalculated based on enrolment; it was held constant for all districts. For the 2012/13 year, the total envelope for AFG across all districts increased by nearly $500,000. Prior to calculating the AFG allocations for the 2012/13 year, a senior Ministry official directed Mr. Lebrun to begin applying the AFG Rural Factor to the CSF. The entire increase in the AFG envelope went to the CSF. Mr. Lebrun confirmed that the increase in the total envelope allowed the Ministry to increase the CSF's AFG funding without affecting the AFG allocations to majority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1502</w:t>
      </w:r>
      <w:r>
        <w:rPr>
          <w:rFonts w:ascii="arial" w:eastAsia="arial" w:hAnsi="arial" w:cs="arial"/>
          <w:color w:val="000000"/>
          <w:sz w:val="20"/>
          <w:lang w:val="en-US" w:eastAsia="en-US" w:bidi="ar-SA"/>
        </w:rPr>
        <w:t>  In March 2012, Mr. Allison received a letter from Mr. Stewart, confirming that the CSF would receive about $1.3 million in AFG funding for 2012/13, which represented a dramatic increase. Unsure about the reason for the change, he asked Mr. Cavelti, who explained that the Ministry had begun applying the AFG Rural Factor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1503</w:t>
      </w:r>
      <w:r>
        <w:rPr>
          <w:rFonts w:ascii="arial" w:eastAsia="arial" w:hAnsi="arial" w:cs="arial"/>
          <w:color w:val="000000"/>
          <w:sz w:val="20"/>
          <w:lang w:val="en-US" w:eastAsia="en-US" w:bidi="ar-SA"/>
        </w:rPr>
        <w:t>  Mr. Allison asked for the amendment to be made retroactive, since he thought there had been no significant change to the CSF's facilities in recent years. Mr. Stewart advised that the Ministry refused that request because there was no funding available to make that payment; the Ministry could not redistribute a previous year's funding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1504</w:t>
      </w:r>
      <w:r>
        <w:rPr>
          <w:rFonts w:ascii="arial" w:eastAsia="arial" w:hAnsi="arial" w:cs="arial"/>
          <w:color w:val="000000"/>
          <w:sz w:val="20"/>
          <w:lang w:val="en-US" w:eastAsia="en-US" w:bidi="ar-SA"/>
        </w:rPr>
        <w:t>  The plaintiffs argue that as of 2003/04, the rationale for the AFG Rural Factor applied to the CSF, as it could not close and consolidate schools. They also note that there was little change between the proportion of students enrolled at schools in the Lower Mainland as compared to the rest of the province between 2002/03 and 2012/13. In 2003/04, 59.9% of CSF students were enrolled at schools in the Lower Mainland and southern Vancouver Island, while 64.9% of CSF students attended those schools in 2012/13. The plaintiffs therefore argue that the Province ought to have put in place a cost-based AFG formula for the CSF in 2002/03, and that the defendants' failure to do so was contrary to its constitutional obligations to support and encourage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1505</w:t>
      </w:r>
      <w:r>
        <w:rPr>
          <w:rFonts w:ascii="arial" w:eastAsia="arial" w:hAnsi="arial" w:cs="arial"/>
          <w:color w:val="000000"/>
          <w:sz w:val="20"/>
          <w:lang w:val="en-US" w:eastAsia="en-US" w:bidi="ar-SA"/>
        </w:rPr>
        <w:t>  In the plaintiffs' submission, it was also unreasonable for the Ministry to decide not to reallocate AFG funds from the majority to the CSF in 2009, when the issue was raised. They take the position that the loss to majority boards was insignificant in comparison to the $556,000 shortfall to the CSF. They note that in 2011/12, SD36-Surrey received more than $11 million in AFG funds. A reallocation of about $56,600 to the CSF would have represented a loss of about half of one percent of its funding. By contrast, the CSF's total AFG funding around that time was about $810,920. A $556,000 shortfall for the CSF represented about a 40% shortfall of the $1.4 million the CSF would have received it if had been eligible for the AFG Rural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1506</w:t>
      </w:r>
      <w:r>
        <w:rPr>
          <w:rFonts w:ascii="arial" w:eastAsia="arial" w:hAnsi="arial" w:cs="arial"/>
          <w:color w:val="000000"/>
          <w:sz w:val="20"/>
          <w:lang w:val="en-US" w:eastAsia="en-US" w:bidi="ar-SA"/>
        </w:rPr>
        <w:t>  The plaintiffs also take issue with the defendants' decision not to retroactively correct the shortfall in the CSF's AFG funding. They take the position that the Province's internal financial organization cannot excuse a failure to provide the CSF with the funds it needs to properly maintain and renovate its school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1507</w:t>
      </w:r>
      <w:r>
        <w:rPr>
          <w:rFonts w:ascii="arial" w:eastAsia="arial" w:hAnsi="arial" w:cs="arial"/>
          <w:color w:val="000000"/>
          <w:sz w:val="20"/>
          <w:lang w:val="en-US" w:eastAsia="en-US" w:bidi="ar-SA"/>
        </w:rPr>
        <w:t>  The defendants stated that they could not recall counsel for the plaintiffs putting it to Mr. Miller while he was under cross-examination that it was not logical that the change was not made retroactive. In their view, Mr. Miller pointed to a logical reason related to the heterogeneous space the CSF was operating in. They say that while the Ministry discussed that a need would become necessary soon, the situation was evolving, and the decision to actually make the change came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1508</w:t>
      </w:r>
      <w:r>
        <w:rPr>
          <w:rFonts w:ascii="arial" w:eastAsia="arial" w:hAnsi="arial" w:cs="arial"/>
          <w:color w:val="000000"/>
          <w:sz w:val="20"/>
          <w:lang w:val="en-US" w:eastAsia="en-US" w:bidi="ar-SA"/>
        </w:rPr>
        <w:t>  In my view, the Ministry recognized in about the summer of 2009 that the CSF was incurring an AFG shortfall as it moved from leased heterogeneous space to owned homogeneous space, and became responsible for maintaining those facilities over the course of their economic lives. While the Ministry recognized this, it did not take action at that time because of economic circumstances and because it did not want to take funds from the majority districts and reallocate it to the CSF. I note that shortly prior to this, the Ministry had asked the school boards from which the CSF leased space to provide the CSF with space free of charge for one year due to economic circumstances, which I discuss in Chapter XXXV, Leases, causing SD38-Richmond, at least, to take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1509</w:t>
      </w:r>
      <w:r>
        <w:rPr>
          <w:rFonts w:ascii="arial" w:eastAsia="arial" w:hAnsi="arial" w:cs="arial"/>
          <w:color w:val="000000"/>
          <w:sz w:val="20"/>
          <w:lang w:val="en-US" w:eastAsia="en-US" w:bidi="ar-SA"/>
        </w:rPr>
        <w:t>  Thus, the CSF missed out on about $500,000 per year in AFG funds in 2011/12, and $250,000 per year in each of 2009/10 and 2010/11. In that instance, and that time period, the Ministry recognized that the CSF had additional needs, treated it in a manner differently from majority school boards, and chose not to take action to remedy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1510</w:t>
      </w:r>
      <w:r>
        <w:rPr>
          <w:rFonts w:ascii="arial" w:eastAsia="arial" w:hAnsi="arial" w:cs="arial"/>
          <w:color w:val="000000"/>
          <w:sz w:val="20"/>
          <w:lang w:val="en-US" w:eastAsia="en-US" w:bidi="ar-SA"/>
        </w:rPr>
        <w:t xml:space="preserve">  I conclude that the Ministry's failure to treat the CSF consistently with the majority in this instance is contrary to s. 23. Section 23 requires that the majority be provided with minority language educational facilities, and a right to management and control at the district level on the basis of equality where the numbers so warrant. The CSF is entitled to the highest measure of management and control at the Provincial level, as Mr. Justice Vickers decided in </w:t>
      </w:r>
      <w:r>
        <w:rPr>
          <w:rFonts w:ascii="arial" w:eastAsia="arial" w:hAnsi="arial" w:cs="arial"/>
          <w:i/>
          <w:color w:val="000000"/>
          <w:sz w:val="20"/>
          <w:lang w:val="en-US" w:eastAsia="en-US" w:bidi="ar-SA"/>
        </w:rPr>
        <w:t>Vickers #1</w:t>
      </w:r>
      <w:r>
        <w:rPr>
          <w:rFonts w:ascii="arial" w:eastAsia="arial" w:hAnsi="arial" w:cs="arial"/>
          <w:color w:val="000000"/>
          <w:sz w:val="20"/>
          <w:lang w:val="en-US" w:eastAsia="en-US" w:bidi="ar-SA"/>
        </w:rPr>
        <w:t>. The Minister treated the CSF differently than the majority with respect to the calculation of its AFG after 2009 although it had recognized that the CSF's circumstances were changing and that it might not be appropriate to do so. Through that action, the Ministry failed to provide the CSF with equitable public funds to deliver minority language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1511</w:t>
      </w:r>
      <w:r>
        <w:rPr>
          <w:rFonts w:ascii="arial" w:eastAsia="arial" w:hAnsi="arial" w:cs="arial"/>
          <w:color w:val="000000"/>
          <w:sz w:val="20"/>
          <w:lang w:val="en-US" w:eastAsia="en-US" w:bidi="ar-SA"/>
        </w:rPr>
        <w:t>  I do not consider that the formula ought to have been calculated differently for the CSF extending back to 2002/03. The plaintiffs' argument that it should places undue emphasis on the division between the CSF's rural and urban schools. The Ministry did not apply the AFG Rural Factor to the CSF sooner because the CSF was operating in leased heterogeneous space and majority boards would have been responsible for the upkeep and maintenance on those facilities. Indeed, the CSF refused to spend any AFG funds on leased facilities-- even leased homogeneous facilities-- during that time. In or around 2009, the CSF had opened or was constructing three new schools, and was moving from heterogeneous leased to homogeneous owned space in those communities: École Secondaire Jules-Verne (Vancouver, opened in 2008), École Élémentaire Mer et Montagne (Campbell River, opened in 2011), École Au-coeur-de-l'île (Comox, opened in 2011). In 2008, the Province also acquired École Élémentaire Anne-Hébert (Vancouver (West)) for the CSF, a homogeneous school that the CSF had previously leased from SD39-Vancouver. In my view, it was that aspect of the CSF's operations and change in circumstances that the Ministry was focused on when it was considering whether the AFG Rural Factor should apply to the CSF.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4. AFG Recalculation Based on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1512</w:t>
      </w:r>
      <w:r>
        <w:rPr>
          <w:rFonts w:ascii="arial" w:eastAsia="arial" w:hAnsi="arial" w:cs="arial"/>
          <w:color w:val="000000"/>
          <w:sz w:val="20"/>
          <w:lang w:val="en-US" w:eastAsia="en-US" w:bidi="ar-SA"/>
        </w:rPr>
        <w:t>  The primary driver of the AFG formula is enrolment. Mr. Miller's evidence is that the formula therefore benefits districts with growing enrolment. The plaintiffs take issue with the fact that the Ministry has ceased annually re-calculating the AFG based on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1513</w:t>
      </w:r>
      <w:r>
        <w:rPr>
          <w:rFonts w:ascii="arial" w:eastAsia="arial" w:hAnsi="arial" w:cs="arial"/>
          <w:color w:val="000000"/>
          <w:sz w:val="20"/>
          <w:lang w:val="en-US" w:eastAsia="en-US" w:bidi="ar-SA"/>
        </w:rPr>
        <w:t>  The evidence confirms that the Ministry has not recalculated AFG allocations based on enrolment on an annual basis since about 2008/09. As a result, the 55 school districts with declining enrolment are protected from annual declines in their AFG. Mr. Miller conceded this change benefits districts with declining enrolment.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1514</w:t>
      </w:r>
      <w:r>
        <w:rPr>
          <w:rFonts w:ascii="arial" w:eastAsia="arial" w:hAnsi="arial" w:cs="arial"/>
          <w:color w:val="000000"/>
          <w:sz w:val="20"/>
          <w:lang w:val="en-US" w:eastAsia="en-US" w:bidi="ar-SA"/>
        </w:rPr>
        <w:t>  The CSF's AFG entitlement between 2008/09 and 2011/12 remained fixed at $810,920. That amount was based on the CSF's enrolment in 2008/09, which was 4,221 students. It increased in 2012/13 based on the re-calculation of the AFG Rural Factor, and since then, it has remained fixed at $1,306,508. By 2014/15, enrolment in CSF schools had reached 5,382 students. Thus, the CSF's AFG allocation did not increase along with its 27.5% enrolment growth between 2008/09 and 2014/15.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1515</w:t>
      </w:r>
      <w:r>
        <w:rPr>
          <w:rFonts w:ascii="arial" w:eastAsia="arial" w:hAnsi="arial" w:cs="arial"/>
          <w:color w:val="000000"/>
          <w:sz w:val="20"/>
          <w:lang w:val="en-US" w:eastAsia="en-US" w:bidi="ar-SA"/>
        </w:rPr>
        <w:t>  The plaintiffs argue that the CSF's AFG allocation should increase annually to account for its growing enrolment. They note that the AFG Rural Factor gives the CSF a 50% allocation for each student by which it is under capacity. The plaintiffs' position is that as a student is added to the school, the CSF should move from receiving 50% of that's student's allocation to 100% of the allocation. They also point out that in Vancouver and Victoria, the CSF's schools are adding enrolment beyond their capacity. The plaintiffs therefore argue that they are disadvantaged by the Ministry's decision not to allow the AFG funding formula to operate as it was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1516</w:t>
      </w:r>
      <w:r>
        <w:rPr>
          <w:rFonts w:ascii="arial" w:eastAsia="arial" w:hAnsi="arial" w:cs="arial"/>
          <w:color w:val="000000"/>
          <w:sz w:val="20"/>
          <w:lang w:val="en-US" w:eastAsia="en-US" w:bidi="ar-SA"/>
        </w:rPr>
        <w:t>  Due to the CSF's enrolment increases, if the Ministry re-calculated AFG allocations annually, then the CSF would receive more AFG funding today than it did when the AFG was last recalculated. However, the CSF is not entitled to any specific funding allocation system-- the funding framework is within the Province's purview so long as it does not interfere with the CSF's right to management and control over language and culture and ensures that school boards receive appropriate minority language educational facilities where the numbers so warrant. The CSF has not pointed to any maintenance projects that it has been unable to perform due to a lack of funding causing rightsholders to be deprived of the facilities they are entitled to. The system treats the CSF in a manner equivalent to other districts with growing enrolment. Nor is there evidence that AFG funds are essential to the CSF's exercise of control over language and culture-- the funds are for building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1517</w:t>
      </w:r>
      <w:r>
        <w:rPr>
          <w:rFonts w:ascii="arial" w:eastAsia="arial" w:hAnsi="arial" w:cs="arial"/>
          <w:color w:val="000000"/>
          <w:sz w:val="20"/>
          <w:lang w:val="en-US" w:eastAsia="en-US" w:bidi="ar-SA"/>
        </w:rPr>
        <w:t>  The CSF is not adversely affected because of its role as a minority language school board. Although its absolute numbers remain small, it is in the same position as other school districts that are experiencing rapid enrolment growth, like SD36-Surrey. In my analysis, it is the Province's jurisdiction to decide how to best balance the needs of school districts with growing and declining enrolment, which extends to deciding how frequently it will recalculate the AFG.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1518</w:t>
      </w:r>
      <w:r>
        <w:rPr>
          <w:rFonts w:ascii="arial" w:eastAsia="arial" w:hAnsi="arial" w:cs="arial"/>
          <w:color w:val="000000"/>
          <w:sz w:val="20"/>
          <w:lang w:val="en-US" w:eastAsia="en-US" w:bidi="ar-SA"/>
        </w:rPr>
        <w:t>  I conclude that the Province breached s. 23 by continuing its policy of not applying the AFG Rural Factor to the CSF in 2008/09, 2009/10 and 2010/11. The Ministry treated the CSF differently from majority boards despite recognizing the rationale for doing so was dissipating. The remaining question is whether the breach is justified pursuant to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1519</w:t>
      </w:r>
      <w:r>
        <w:rPr>
          <w:rFonts w:ascii="arial" w:eastAsia="arial" w:hAnsi="arial" w:cs="arial"/>
          <w:color w:val="000000"/>
          <w:sz w:val="20"/>
          <w:lang w:val="en-US" w:eastAsia="en-US" w:bidi="ar-SA"/>
        </w:rPr>
        <w:t xml:space="preserve">  I set out the framework for s. 1 justification in Chapter IX, Justification. There, I explain that since the plaintiffs' claim is grounded in the unconstitutional effects of facially neutral legislation,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framework rather than the </w:t>
      </w:r>
      <w:r>
        <w:rPr>
          <w:rFonts w:ascii="arial" w:eastAsia="arial" w:hAnsi="arial" w:cs="arial"/>
          <w:i/>
          <w:color w:val="000000"/>
          <w:sz w:val="20"/>
          <w:lang w:val="en-US" w:eastAsia="en-US" w:bidi="ar-SA"/>
        </w:rPr>
        <w:t>Doré</w:t>
      </w:r>
      <w:r>
        <w:rPr>
          <w:rFonts w:ascii="arial" w:eastAsia="arial" w:hAnsi="arial" w:cs="arial"/>
          <w:color w:val="000000"/>
          <w:sz w:val="20"/>
          <w:lang w:val="en-US" w:eastAsia="en-US" w:bidi="ar-SA"/>
        </w:rPr>
        <w:t xml:space="preserve"> framework ought to apply. The purpose of that scheme, which the plaintiffs acknowledge to be pressing and substantial, is the "fair and rational allocation of public funds". Here, the particular infringing measure-- the policy of not applying the AFG Rural Factor to the CSF-- was also intended to fairly and rationally allocate public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1520</w:t>
      </w:r>
      <w:r>
        <w:rPr>
          <w:rFonts w:ascii="arial" w:eastAsia="arial" w:hAnsi="arial" w:cs="arial"/>
          <w:color w:val="000000"/>
          <w:sz w:val="20"/>
          <w:lang w:val="en-US" w:eastAsia="en-US" w:bidi="ar-SA"/>
        </w:rPr>
        <w:t xml:space="preserve">  The rational connection step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analysis aims to avoid arbitrary legislative regimes by asking whether there is a connection between the infringing measure and the valid government objective. When examining the rational connection, I will have regard to the objective and the scheme for achieving that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1521</w:t>
      </w:r>
      <w:r>
        <w:rPr>
          <w:rFonts w:ascii="arial" w:eastAsia="arial" w:hAnsi="arial" w:cs="arial"/>
          <w:color w:val="000000"/>
          <w:sz w:val="20"/>
          <w:lang w:val="en-US" w:eastAsia="en-US" w:bidi="ar-SA"/>
        </w:rPr>
        <w:t>  I find that there is a rational connection between fairly and rationally expending public funds and a measure that did not apply the AFG Rural Factor to the CSF. The policy refrained from providing the CSF with increased funding when it was operating out of many leased, heterogeneous schools and was not paying for the maintenance work on those facilities. By doing so, more funds were available for the majority school boards responsible for the maintenance work, which was a fair and rational allocation of funds. Further, after about 2008, the continued application of the policy to the CSF reduced the harm to the in a period where the Ministry was providing only half of districts' overall AFG funding in each year. The Ministry chose to wait until there were more funds to distribute before it made the AFG Rural Factor applicable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1522</w:t>
      </w:r>
      <w:r>
        <w:rPr>
          <w:rFonts w:ascii="arial" w:eastAsia="arial" w:hAnsi="arial" w:cs="arial"/>
          <w:color w:val="000000"/>
          <w:sz w:val="20"/>
          <w:lang w:val="en-US" w:eastAsia="en-US" w:bidi="ar-SA"/>
        </w:rPr>
        <w:t>  The minimal impairment stage of the test asks whether the infringing measure impairs the right or freedom as little as possible. It asks whether there are less drastic means by which the Province could have achieved its objective in a real and substantial manner. That the Province is engaging in a balancing of interests and an allocation of scarce resources weighs toward giving the Province some deference. It is a middle level of deference that takes into account the social good and value that society places on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1523</w:t>
      </w:r>
      <w:r>
        <w:rPr>
          <w:rFonts w:ascii="arial" w:eastAsia="arial" w:hAnsi="arial" w:cs="arial"/>
          <w:color w:val="000000"/>
          <w:sz w:val="20"/>
          <w:lang w:val="en-US" w:eastAsia="en-US" w:bidi="ar-SA"/>
        </w:rPr>
        <w:t>  In my view, the failure to make the change in 2008 was minimally impairing. The CSF continued to receive about 60% of the AFG funding that it would ultimately be entitled to. The CSF's new programmes where it moved from leased to owned space opened in 2008 and then 2011, so the CSF's need for the additional funds were not urgent in 2009. Moreover, since the CSF was not spending its AFG funds on leased space, including leased homogeneous space, it was in practice operating at an advantage with respect to AFG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1524</w:t>
      </w:r>
      <w:r>
        <w:rPr>
          <w:rFonts w:ascii="arial" w:eastAsia="arial" w:hAnsi="arial" w:cs="arial"/>
          <w:color w:val="000000"/>
          <w:sz w:val="20"/>
          <w:lang w:val="en-US" w:eastAsia="en-US" w:bidi="ar-SA"/>
        </w:rPr>
        <w:t>  The final stage considers the proportionality of the effects of the infringing measure. This goes beyond the purpose or objective of the measure, and examines its salutary and deleterious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1525</w:t>
      </w:r>
      <w:r>
        <w:rPr>
          <w:rFonts w:ascii="arial" w:eastAsia="arial" w:hAnsi="arial" w:cs="arial"/>
          <w:color w:val="000000"/>
          <w:sz w:val="20"/>
          <w:lang w:val="en-US" w:eastAsia="en-US" w:bidi="ar-SA"/>
        </w:rPr>
        <w:t>  At the local level, the salutary effects of the policy of not applying the AFG Rural Factor to the CSF are straightforward: the Ministry did not have to deal with the political consequences of taking from the majority to give to the minority in a period when it had just done so. It also had the effect of protecting majority boards from small additional AFG losses in years when they were already only receiving half of what they were used to receiving. The Ministry did not save any funds it could have reallocated from the majority to the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1526</w:t>
      </w:r>
      <w:r>
        <w:rPr>
          <w:rFonts w:ascii="arial" w:eastAsia="arial" w:hAnsi="arial" w:cs="arial"/>
          <w:color w:val="000000"/>
          <w:sz w:val="20"/>
          <w:lang w:val="en-US" w:eastAsia="en-US" w:bidi="ar-SA"/>
        </w:rPr>
        <w:t>  The deleterious effects are more challenging to quantify. The Ministry has always maintained that school boards ought to be spending part of their operating funds on facility maintenance. The CSF had operating surpluses of more than $5,793,403 in 2008/09, $4,242,349 in 2009/10 and $1,853,493 in 2010/11. The CSF did not point to any projects that it was unable to complete due to a deficiency of AFG funds in this period. I note that in more recent years, starting in 2013/14, the CSF deferred a Heating, Ventilation and Air Conditioning ("HVAC") system replacement at École Élémentaire Anne-Hébert (Vancouver (East)) due to insufficient AFG funds. It is possible that the CSF may have been able to proceed with a project like that sooner if the Ministry had begun applying the AFG Rural Factor to the CSF in 2008/09. However, that is unlikely because the CSF was coping with the reduced AFG funding being provided to all districts in those years. At most, I find that if the Ministry had applied the AFG Rural Factor to the CSF sooner, it would have reduced the financial burden on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1527</w:t>
      </w:r>
      <w:r>
        <w:rPr>
          <w:rFonts w:ascii="arial" w:eastAsia="arial" w:hAnsi="arial" w:cs="arial"/>
          <w:color w:val="000000"/>
          <w:sz w:val="20"/>
          <w:lang w:val="en-US" w:eastAsia="en-US" w:bidi="ar-SA"/>
        </w:rPr>
        <w:t>  Weighing those effects together, I find that the salutary effects outweigh the deleterious effects. All school boards were undergoing challenging economic times in 2008/09 and 2009/10, particularly regarding their AFG. The CSF's need for the AFG Rural Factor was only just beginning to materialize in those years, and was not fully realized until 2011, after its programmes had moved from leased heterogeneous to owned homogeneous space. The CSF was also operating from a position of relative advantage at that time because of its decision not to spend its AFG funds on leased space even though it was receiving funds for students enrolled in those schools. The CSF also had considerable operating surpluses. As soon as the Ministry was able to secure more funds for its AFG funding envelope, it allocated all of those funds to the CSF. In light of those factors, and the deference owed to the Ministry's assessment of the best ways of balancing the needs of the majority and the minority, I conclude that the deleterious and salutary effects are balanced, and the breach passes the proportionality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1528</w:t>
      </w:r>
      <w:r>
        <w:rPr>
          <w:rFonts w:ascii="arial" w:eastAsia="arial" w:hAnsi="arial" w:cs="arial"/>
          <w:color w:val="000000"/>
          <w:sz w:val="20"/>
          <w:lang w:val="en-US" w:eastAsia="en-US" w:bidi="ar-SA"/>
        </w:rPr>
        <w:t>  Since I find that the breach of s. 23 associated with the AFG is justified, it is not necessary for me to consider an appropriate remedy. Had I found that a remedy were necessary, I agree with the plaintiffs that since the harm to the CSF was monetary, financial compensation would be appropriate. The CSF missed out on about $550,000 per year in AFG funds in 2011/12, and $275,000 per year in each of 2009/10 and 2010/11. Thus, in my view, the appropriate remedy would have been about $1.1 million in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F.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1529</w:t>
      </w:r>
      <w:r>
        <w:rPr>
          <w:rFonts w:ascii="arial" w:eastAsia="arial" w:hAnsi="arial" w:cs="arial"/>
          <w:color w:val="000000"/>
          <w:sz w:val="20"/>
          <w:lang w:val="en-US" w:eastAsia="en-US" w:bidi="ar-SA"/>
        </w:rPr>
        <w:t>  Most of the plaintiffs' complaints concerning the AFG have no merit. In my view, the CSF is not disadvantaged because it cannot fund Expansion Projects using its AFG. The real issue is the lack of funding for Expansion Projects generally, which is wholly divorced from the purposes the AFG serves. I also find that the CSF does not suffer because the rationale for the AFG funding model- encouraging school closures and consolidations- does not apply to it. As a growing district, the CSF did not experience the policy burden that the funding formula imposed on districts with declining enrolment, particularly once the AFG Rural Factor began applying to it. I am also satisfied that the CSF was not disproportionately harmed by the AFG funding freeze in 2009/10, the failure to modify the CSF's AFG allocation based on the age of the CSF's leased facilities and the decision not to recalculate the AFG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1530</w:t>
      </w:r>
      <w:r>
        <w:rPr>
          <w:rFonts w:ascii="arial" w:eastAsia="arial" w:hAnsi="arial" w:cs="arial"/>
          <w:color w:val="000000"/>
          <w:sz w:val="20"/>
          <w:lang w:val="en-US" w:eastAsia="en-US" w:bidi="ar-SA"/>
        </w:rPr>
        <w:t>  In connection with the application of the AFG Rural Factor to the CSF, though, I find that the Ministry treated the CSF differently than the majority after 2009 even though it had recognized that the CSF's circumstances were changing and that it might not be appropriate to do so. Through that action, the Ministry failed to provide the CSF with equitable public funds to deliver minority language education. I therefore find that the Province breached s. 23 by failing to apply the AFG Rural Factor to the CSF in 2008/09, 2009/10 and 2010/11. However, I find that the policy is one that is reasonably justified in a free and democratic society.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XIV.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1531</w:t>
      </w:r>
      <w:r>
        <w:rPr>
          <w:rFonts w:ascii="arial" w:eastAsia="arial" w:hAnsi="arial" w:cs="arial"/>
          <w:color w:val="000000"/>
          <w:sz w:val="20"/>
          <w:lang w:val="en-US" w:eastAsia="en-US" w:bidi="ar-SA"/>
        </w:rPr>
        <w:t>  The plaintiffs take the position that the defendants have historically and chronically underfunded the CSF's transportation system through arbitrary funding mechanisms that do not account for the CSF's unique needs. In response, the defendants say that the factor in the Enrolment-Based Funding Model most related to transportation -- the Student Location Factor -- is not meant to completely indemnify the CSF for its transportation costs, and that the CSF can use other aspects of its operating grant to fund transportation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1532</w:t>
      </w:r>
      <w:r>
        <w:rPr>
          <w:rFonts w:ascii="arial" w:eastAsia="arial" w:hAnsi="arial" w:cs="arial"/>
          <w:color w:val="000000"/>
          <w:sz w:val="20"/>
          <w:lang w:val="en-US" w:eastAsia="en-US" w:bidi="ar-SA"/>
        </w:rPr>
        <w:t>  The plaintiffs' claim in connection with transportation relates to what it sees as a transportation funding deficit that it has incurred since at least 2002. Additionally, the plaintiffs claim for the costs that the CSF would incur if it were to reduce all bus ride times in the Province to less than 30 or 45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1533</w:t>
      </w:r>
      <w:r>
        <w:rPr>
          <w:rFonts w:ascii="arial" w:eastAsia="arial" w:hAnsi="arial" w:cs="arial"/>
          <w:color w:val="000000"/>
          <w:sz w:val="20"/>
          <w:lang w:val="en-US" w:eastAsia="en-US" w:bidi="ar-SA"/>
        </w:rPr>
        <w:t>  Below, I begin with a discussion of the role transportation plays in context of s. 23, before outlining the specifics of the CSF's transportation system. I then turn to the plaintiffs' allegation that the CSF is disadvantaged by the funding system and incurs a transportation deficit, as well as the submissions concerning the CSF's plan to reduce bus ride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 Transportation in the Minority Language Context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1534</w:t>
      </w:r>
      <w:r>
        <w:rPr>
          <w:rFonts w:ascii="arial" w:eastAsia="arial" w:hAnsi="arial" w:cs="arial"/>
          <w:color w:val="000000"/>
          <w:sz w:val="20"/>
          <w:lang w:val="en-US" w:eastAsia="en-US" w:bidi="ar-SA"/>
        </w:rPr>
        <w:t>  The plaintiffs' position is that the minority language context makes transportation services particularly important to the CSF's operations. After reviewing the pertinent legal context, I discuss and the evidence concerning travel times for British Columbia's minority language schools.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Legal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1535</w:t>
      </w:r>
      <w:r>
        <w:rPr>
          <w:rFonts w:ascii="arial" w:eastAsia="arial" w:hAnsi="arial" w:cs="arial"/>
          <w:color w:val="000000"/>
          <w:sz w:val="20"/>
          <w:lang w:val="en-US" w:eastAsia="en-US" w:bidi="ar-SA"/>
        </w:rPr>
        <w:t>  In Chapter VI, The Respective Roles of the Province and the CSF, I explain that a minority language school board's right to management and control gives it a measure of control over those aspects of educational facilities that pertain to the minority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the Court considered whether the location of minority language instruction and facilities fell within the cultural and linguistic authority of the minority board. In concluding that it did, the Court found that the Minister ought to have deferred to the school board's judgment concerning what number of students were required to make a programme pedagogically appropriate (at para. 48) and what travel times were appropriate (at paras. 49-50). The school board's right to management and control also included the geographic boundaries for assembly of students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1537</w:t>
      </w:r>
      <w:r>
        <w:rPr>
          <w:rFonts w:ascii="arial" w:eastAsia="arial" w:hAnsi="arial" w:cs="arial"/>
          <w:color w:val="000000"/>
          <w:sz w:val="20"/>
          <w:lang w:val="en-US" w:eastAsia="en-US" w:bidi="ar-SA"/>
        </w:rPr>
        <w:t>  The Court also commented on the importance of accessibility and transportation services in the minority language context. In particular, given that students eligible to attend a minority language school face an option between a locally-accessible school in the majority language and a less accessible school in the minority language, long travel times can discourage students from attending the minority language school. The same disincentive does not apply to the majority. Moreover, the travel disincentive has an impact on assimilation of minority language children; travel has no cultural impact for the majority. Thus, the Court held that "[f]or the minority, travel arrangements were in large measure a cultural and linguistic issue"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1538</w:t>
      </w:r>
      <w:r>
        <w:rPr>
          <w:rFonts w:ascii="arial" w:eastAsia="arial" w:hAnsi="arial" w:cs="arial"/>
          <w:color w:val="000000"/>
          <w:sz w:val="20"/>
          <w:lang w:val="en-US" w:eastAsia="en-US" w:bidi="ar-SA"/>
        </w:rPr>
        <w:t xml:space="preserve">  Mr. Justice Willcock also emphasized the importance of accessibility in the minority language context in </w:t>
      </w:r>
      <w:r>
        <w:rPr>
          <w:rFonts w:ascii="arial" w:eastAsia="arial" w:hAnsi="arial" w:cs="arial"/>
          <w:i/>
          <w:color w:val="000000"/>
          <w:sz w:val="20"/>
          <w:lang w:val="en-US" w:eastAsia="en-US" w:bidi="ar-SA"/>
        </w:rPr>
        <w:t>Association des-parents- BCSC</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he suggested that appropriate transportation arrangements for the minority may differ from what is provided to the majority. He found that longer travel times may be appropriate to allow students to take advantage of the types of amenities that are available at larger schools (at para. 153):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above, the constitutional requirement that minority language students receive educational facilities where their numbers warrant implies that those facilities will be accessible to the students. Accessibility is a complex question. First, in addressing the "numbers warrant" question, it will be necessary for the courts to define the area in which the population of rights-holders is estimated. In instances where there is a school board exercising management and control on behalf of the rights-holders, it will usually be appropriate to leave the description of relevant catchment areas to the board. Using the board's definition of the catchment area, the court should then apply the sliding scale described in the case law in addressing challenges to the adequacy of the instruction or facilities provided. </w:t>
      </w:r>
      <w:r>
        <w:rPr>
          <w:rFonts w:ascii="arial" w:eastAsia="arial" w:hAnsi="arial" w:cs="arial"/>
          <w:color w:val="000000"/>
          <w:sz w:val="20"/>
          <w:u w:val="single"/>
          <w:lang w:val="en-US" w:eastAsia="en-US" w:bidi="ar-SA"/>
        </w:rPr>
        <w:t xml:space="preserve">In </w:t>
      </w:r>
      <w:r>
        <w:rPr>
          <w:rFonts w:ascii="arial" w:eastAsia="arial" w:hAnsi="arial" w:cs="arial"/>
          <w:i/>
          <w:color w:val="000000"/>
          <w:sz w:val="20"/>
          <w:u w:val="single"/>
          <w:lang w:val="en-US" w:eastAsia="en-US" w:bidi="ar-SA"/>
        </w:rPr>
        <w:t>Arsenault-Cameron</w:t>
      </w:r>
      <w:r>
        <w:rPr>
          <w:rFonts w:ascii="arial" w:eastAsia="arial" w:hAnsi="arial" w:cs="arial"/>
          <w:color w:val="000000"/>
          <w:sz w:val="20"/>
          <w:u w:val="single"/>
          <w:lang w:val="en-US" w:eastAsia="en-US" w:bidi="ar-SA"/>
        </w:rPr>
        <w:t xml:space="preserve">, the Supreme Court of Canada recognized, at paras. 49-50, that the pedagogical requirements of the minority need not be met in an identical way to those of the majority. That is as true of transportation arrangements as it is of physical facilities. The nature and extent of the facilities afforded to students will have some impact upon transportation arrangements. Minority language boards, like majority language boards, may decide that it is preferable to have students travel long distances to a larger and better-equipped facility or, in some instances, to have students travel shorter distances to smaller facilities, such as the [SD39-Vancouver] annexes, where they may have less options and limited facilities. Minority language students in remote locations may prefer to be included within the catchment area of a particular school rather than find themselves in a situation where their numbers do not warrant a dedicated facility. It may be for that reason that in </w:t>
      </w:r>
      <w:r>
        <w:rPr>
          <w:rFonts w:ascii="arial" w:eastAsia="arial" w:hAnsi="arial" w:cs="arial"/>
          <w:i/>
          <w:color w:val="000000"/>
          <w:sz w:val="20"/>
          <w:u w:val="single"/>
          <w:lang w:val="en-US" w:eastAsia="en-US" w:bidi="ar-SA"/>
        </w:rPr>
        <w:t>Arsenault-Cameron</w:t>
      </w:r>
      <w:r>
        <w:rPr>
          <w:rFonts w:ascii="arial" w:eastAsia="arial" w:hAnsi="arial" w:cs="arial"/>
          <w:color w:val="000000"/>
          <w:sz w:val="20"/>
          <w:u w:val="single"/>
          <w:lang w:val="en-US" w:eastAsia="en-US" w:bidi="ar-SA"/>
        </w:rPr>
        <w:t xml:space="preserve"> the Court held that travel times that may be reasonable for official language minority students in some circumstances cannot absolutely govern what is appropriate in other circumstances.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Arsenault-Cameron</w:t>
      </w:r>
      <w:r>
        <w:rPr>
          <w:rFonts w:ascii="arial" w:eastAsia="arial" w:hAnsi="arial" w:cs="arial"/>
          <w:color w:val="000000"/>
          <w:sz w:val="20"/>
          <w:lang w:val="en-US" w:eastAsia="en-US" w:bidi="ar-SA"/>
        </w:rPr>
        <w:t xml:space="preserve">, the Court was only required to consider whether the Minister had breached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the parents of minority language students by failing to adopt the recommendation and decision of the minority language school board. The board had therefore exercised its judgment and made a determination with respect to appropriate travel times. The Minister was held to have acted improperly in substituting his decision for the board's and applying a standard that was not appropriately driven by pedagogical considerations.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1539</w:t>
      </w:r>
      <w:r>
        <w:rPr>
          <w:rFonts w:ascii="arial" w:eastAsia="arial" w:hAnsi="arial" w:cs="arial"/>
          <w:color w:val="000000"/>
          <w:sz w:val="20"/>
          <w:lang w:val="en-US" w:eastAsia="en-US" w:bidi="ar-SA"/>
        </w:rPr>
        <w:t>  Thus, the right to determine what transportation times are appropriate falls within the minority's jurisdiction in most instances. The CSF is in the best position to determine whether it is pedagogically appropriate to educate students in a larger school, resulting in longer transportation times. The CSF is also best positioned to determine when transportation times are too long, and when it is appropriate to establish smaller programmes with fewer amenities to reduce travel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1540</w:t>
      </w:r>
      <w:r>
        <w:rPr>
          <w:rFonts w:ascii="arial" w:eastAsia="arial" w:hAnsi="arial" w:cs="arial"/>
          <w:color w:val="000000"/>
          <w:sz w:val="20"/>
          <w:lang w:val="en-US" w:eastAsia="en-US" w:bidi="ar-SA"/>
        </w:rPr>
        <w:t>  On the other hand, the CSF's jurisdiction is not unrestricted. The Minister is entitled to develop institutional structures and regulations governing the minority's right to management and control. The linguistic minority is not entitled to any particular design of the education system. So long as the Province's framework does not interfere with the minority's linguistic and cultural concerns and meets the Province's positive obligation to provide facilities to the appropriate standard where the numbers warrant, the minority must exercise its right to management and control consistently with that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rPr>
                <w:rFonts w:ascii="arial" w:eastAsia="arial" w:hAnsi="arial" w:cs="arial"/>
                <w:sz w:val="20"/>
                <w:lang w:val="en-US" w:eastAsia="en-US" w:bidi="ar-SA"/>
              </w:rPr>
            </w:pP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 The Transportation Context in British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Columbia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1541</w:t>
      </w:r>
      <w:r>
        <w:rPr>
          <w:rFonts w:ascii="arial" w:eastAsia="arial" w:hAnsi="arial" w:cs="arial"/>
          <w:color w:val="000000"/>
          <w:sz w:val="20"/>
          <w:lang w:val="en-US" w:eastAsia="en-US" w:bidi="ar-SA"/>
        </w:rPr>
        <w:t>  The rationale for the concept that the minority may have different transportation needs than the majority is borne out in the evidence. There is no question that the vast majority of CSF students live closer to the nearest majority school than they do to the nearest CSF school. The Court had the benefit of maps of catchment areas for each of the Community Claims. The maps show the location of students' homes and all CSF and majority schools in the catchment area. Those maps clearly show that CSF students tend to live farther from CSF schools than they do from majority schools. The Province accepts this general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1542</w:t>
      </w:r>
      <w:r>
        <w:rPr>
          <w:rFonts w:ascii="arial" w:eastAsia="arial" w:hAnsi="arial" w:cs="arial"/>
          <w:color w:val="000000"/>
          <w:sz w:val="20"/>
          <w:lang w:val="en-US" w:eastAsia="en-US" w:bidi="ar-SA"/>
        </w:rPr>
        <w:t>  The CSF also provided affidavit evidence from Mr. Pierre Berleur, the CSF's Payroll Supervisor and Financial Analyst, and supporting affidavits from other CSF staff, about the travel times from student homes to CSF and majority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1543</w:t>
      </w:r>
      <w:r>
        <w:rPr>
          <w:rFonts w:ascii="arial" w:eastAsia="arial" w:hAnsi="arial" w:cs="arial"/>
          <w:color w:val="000000"/>
          <w:sz w:val="20"/>
          <w:lang w:val="en-US" w:eastAsia="en-US" w:bidi="ar-SA"/>
        </w:rPr>
        <w:t>  For each CSF school, the affiants present a table that states the distance and driving time from each student's home to the nearest CSF school, as well as the distance and driving time to the nearest majority school. The tables also provide the student's address, grade level, bus stop route number and location, and the length of time each student travels by bus to the CSF school. Together, I refer to these as the "Transportation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1544</w:t>
      </w:r>
      <w:r>
        <w:rPr>
          <w:rFonts w:ascii="arial" w:eastAsia="arial" w:hAnsi="arial" w:cs="arial"/>
          <w:color w:val="000000"/>
          <w:sz w:val="20"/>
          <w:lang w:val="en-US" w:eastAsia="en-US" w:bidi="ar-SA"/>
        </w:rPr>
        <w:t>  In their affidavits, the affiants provide some detail about the data sources they relied on to complete the Transportation Tables. Student addresses and grade levels were derived from BCeSIS, the enrolment database used by the CSF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1545</w:t>
      </w:r>
      <w:r>
        <w:rPr>
          <w:rFonts w:ascii="arial" w:eastAsia="arial" w:hAnsi="arial" w:cs="arial"/>
          <w:color w:val="000000"/>
          <w:sz w:val="20"/>
          <w:lang w:val="en-US" w:eastAsia="en-US" w:bidi="ar-SA"/>
        </w:rPr>
        <w:t>  Data concerning the bus pick-up points, their addresses, and the time the students spent travelling by bus were drawn from reports from Edulog, a computer programme the CSF uses to manage bus routes. Those reports came before the Court as appendices to the affidavits of Mr. Kelly Grittner, the CSF's transportation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1546</w:t>
      </w:r>
      <w:r>
        <w:rPr>
          <w:rFonts w:ascii="arial" w:eastAsia="arial" w:hAnsi="arial" w:cs="arial"/>
          <w:color w:val="000000"/>
          <w:sz w:val="20"/>
          <w:lang w:val="en-US" w:eastAsia="en-US" w:bidi="ar-SA"/>
        </w:rPr>
        <w:t>  Distance and travel times between the students' homes and CSF schools were created using the "Directions" function of Google Maps, which allows users to calculate the distance between two locations. For many communities, the distance between the students' homes and the nearest majority schools were drawn from a school locator programme available on school district websites. Where that programme was not available, the affiants found the elementary school closest to the student's home using Google Maps. The parties have entered into an agreement that the "directions" function of Google Maps provides approximate distances and drive-times, by car, between specified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1547</w:t>
      </w:r>
      <w:r>
        <w:rPr>
          <w:rFonts w:ascii="arial" w:eastAsia="arial" w:hAnsi="arial" w:cs="arial"/>
          <w:color w:val="000000"/>
          <w:sz w:val="20"/>
          <w:lang w:val="en-US" w:eastAsia="en-US" w:bidi="ar-SA"/>
        </w:rPr>
        <w:t>  Mr. Berleur explained that he supervised the other affiants. He conducted a number of spot-checks to ensure that the data in the Transportation Tables were accurate. He also compared the distances and travel times to ensure nothing appeared anomalous.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1548</w:t>
      </w:r>
      <w:r>
        <w:rPr>
          <w:rFonts w:ascii="arial" w:eastAsia="arial" w:hAnsi="arial" w:cs="arial"/>
          <w:color w:val="000000"/>
          <w:sz w:val="20"/>
          <w:lang w:val="en-US" w:eastAsia="en-US" w:bidi="ar-SA"/>
        </w:rPr>
        <w:t>  Mr. Berleur was cross-examined in connection with the Transportation Tables. In the course of that cross-examination, it was shown that there were some differences between the data noted by Ms. Johanne Ross, the CSF's now-retired transportation coordinator, and the data found by Mr. Berleur in the course of replicating Ms. Ross's work. (I note parenthetically that the CSF does not seek to rely on Ms. Ross's work.) Mr. Berleur suggested that Ms. Ross might have relied on an earlier iteration of the source material, although he swore in his affidavit that they both relied on the same source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1549</w:t>
      </w:r>
      <w:r>
        <w:rPr>
          <w:rFonts w:ascii="arial" w:eastAsia="arial" w:hAnsi="arial" w:cs="arial"/>
          <w:color w:val="000000"/>
          <w:sz w:val="20"/>
          <w:lang w:val="en-US" w:eastAsia="en-US" w:bidi="ar-SA"/>
        </w:rPr>
        <w:t>  Based on the information in the Transportation Tables, Mr. Berleur created graphs and summaries to illustrate how travel times by car from students' homes to CSF schools compared to travel times by car to the closest majority schools. He also prepared graphs to show how travel times by school bus from students' homes to CSF schools compare to travel times by car to the nearest majority schools. I will refer to these paragraphs and figures, which are found in paragraphs 419-421 and 424-426 of Mr. Berleur's fourth affidavit, as the "Summary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1550</w:t>
      </w:r>
      <w:r>
        <w:rPr>
          <w:rFonts w:ascii="arial" w:eastAsia="arial" w:hAnsi="arial" w:cs="arial"/>
          <w:color w:val="000000"/>
          <w:sz w:val="20"/>
          <w:lang w:val="en-US" w:eastAsia="en-US" w:bidi="ar-SA"/>
        </w:rPr>
        <w:t>  Mr. Berleur prepared the Summary Section by creating a comprehensive Microsoft Excel table that included data for every CSF school. The comprehensive table was not put before the Court. On cross-examination, Ms. Wolfe, counsel for the defendants, illustrated that some of the percentages and calculations in Mr. Berleur's summaries did not match the data in his figures. In many, but not all, cases, those discrepancies favoured the CSF. Mr. Berleur related those discrepancies to the technical trappings of the Excel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1551</w:t>
      </w:r>
      <w:r>
        <w:rPr>
          <w:rFonts w:ascii="arial" w:eastAsia="arial" w:hAnsi="arial" w:cs="arial"/>
          <w:color w:val="000000"/>
          <w:sz w:val="20"/>
          <w:lang w:val="en-US" w:eastAsia="en-US" w:bidi="ar-SA"/>
        </w:rPr>
        <w:t>  The defendants objected to the admission of the transportation affidavits on the basis that they are irrelevant and unnecessary, unreliable, and contain inadmissible opinion. On February 11, 2015, I ruled the affidavits were relevant. However, I determined that the Summary Section was unreliable and unnecessary, and was inadmissible. I also found that the defendant's argument that the information in the Transportation Tables was unreliable would go to weight rather than threshold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1552</w:t>
      </w:r>
      <w:r>
        <w:rPr>
          <w:rFonts w:ascii="arial" w:eastAsia="arial" w:hAnsi="arial" w:cs="arial"/>
          <w:color w:val="000000"/>
          <w:sz w:val="20"/>
          <w:lang w:val="en-US" w:eastAsia="en-US" w:bidi="ar-SA"/>
        </w:rPr>
        <w:t>  Over the course of the defendants' cross-examination of him, Mr. Berleur was taken to 10 discrepancies between work included in his fourth affidavit, and work he had performed in an earlier test-case affidavit that was also tendered as an exhibit at trial. Mr. Berleur admitted that the sources and methodologies were the same, so he would have expected the results to be the same. He agreed that there was an error in one of the two sets of calculations, but could not say which was in error. Further, he admitted that his spot-checks for correctness in the affidavits prepared by others were not comprehensive.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1553</w:t>
      </w:r>
      <w:r>
        <w:rPr>
          <w:rFonts w:ascii="arial" w:eastAsia="arial" w:hAnsi="arial" w:cs="arial"/>
          <w:color w:val="000000"/>
          <w:sz w:val="20"/>
          <w:lang w:val="en-US" w:eastAsia="en-US" w:bidi="ar-SA"/>
        </w:rPr>
        <w:t>  As a result of these problems, there is a concern about the reliability of the data in the Transportation Tables. They must be treated with some care. The specific data points within the Transportation Tables cannot be taken to be exact. However, they can present an overall, general estimate of the order of magnitude of how far student homes are from CSF schools in comparison to majority-language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1554</w:t>
      </w:r>
      <w:r>
        <w:rPr>
          <w:rFonts w:ascii="arial" w:eastAsia="arial" w:hAnsi="arial" w:cs="arial"/>
          <w:color w:val="000000"/>
          <w:sz w:val="20"/>
          <w:lang w:val="en-US" w:eastAsia="en-US" w:bidi="ar-SA"/>
        </w:rPr>
        <w:t>  The plaintiffs have tabulated some of the raw data in Mr. Berleur's affidavit, and presented argument based on its analysis of the distances. The plaintiffs focus on communities where the catchment area can be divided into a central zone with surrounding municipalities: Kelowna, Sechelt, Nanaimo, Penticton and Nelson. As would be expected, students living outside the central municipality live at a much greater distance from the CSF school as compared to the local majority school. CSF students living outside the municipality of Kelowna, for example, live about 20 kilometres from École L'Anse-au-Sable, and about 5 kilometres from the closest majority school. CSF students living outside Sechelt live an average of about 17 kilometres from École Élémentaire du Pacifique and an average of about 3 kilometres from the closest majority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1555</w:t>
      </w:r>
      <w:r>
        <w:rPr>
          <w:rFonts w:ascii="arial" w:eastAsia="arial" w:hAnsi="arial" w:cs="arial"/>
          <w:color w:val="000000"/>
          <w:sz w:val="20"/>
          <w:lang w:val="en-US" w:eastAsia="en-US" w:bidi="ar-SA"/>
        </w:rPr>
        <w:t>  The facts to be drawn from the Transportation Tables are not earth shattering. CSF students are highly dispersed in their catchment areas, more so than students attending majority-language schools. This is to be expected given the very small Francophone community in British Columbia. As a result, the vast majority of students live much closer to a majority school than a CSF school. This is natural: majority schools are neighbourhood schools. Homogeneous minority schools in British Columbia tend to be regional to allow students to take advantage of the greater amenities that can be offered in a larger school. The CSF has chosen to offer larger programmes with more amenities; the result is that transportation times are long, particularly for children who live in the outskirts of the communities the schools serve. The difference in distances is particularly stark in those communities where the CSF has chosen to draw a very large catchment area that includes surrounding municipalities where the numbers are otherwise unlikely to warrant a homogeneous Francophone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1556</w:t>
      </w:r>
      <w:r>
        <w:rPr>
          <w:rFonts w:ascii="arial" w:eastAsia="arial" w:hAnsi="arial" w:cs="arial"/>
          <w:color w:val="000000"/>
          <w:sz w:val="20"/>
          <w:lang w:val="en-US" w:eastAsia="en-US" w:bidi="ar-SA"/>
        </w:rPr>
        <w:t>  The results of the differences are straightforward: for the majority of CSF students, it will take less time to travel to a majority school than it would for them to travel to a CSF school. Because of the manner in which the CSF has chosen to structure its education system, travel times to homogeneous Francophone schools will inevitably be longer than travel times to majority schools.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Overview of the CSF's Transportation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1557</w:t>
      </w:r>
      <w:r>
        <w:rPr>
          <w:rFonts w:ascii="arial" w:eastAsia="arial" w:hAnsi="arial" w:cs="arial"/>
          <w:color w:val="000000"/>
          <w:sz w:val="20"/>
          <w:lang w:val="en-US" w:eastAsia="en-US" w:bidi="ar-SA"/>
        </w:rPr>
        <w:t>  To understand the CSF's claim in connection with transportation, it is essential to begin with an appreciation of the transportation services that the CSF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1558</w:t>
      </w:r>
      <w:r>
        <w:rPr>
          <w:rFonts w:ascii="arial" w:eastAsia="arial" w:hAnsi="arial" w:cs="arial"/>
          <w:color w:val="000000"/>
          <w:sz w:val="20"/>
          <w:lang w:val="en-US" w:eastAsia="en-US" w:bidi="ar-SA"/>
        </w:rPr>
        <w:t>  The CSF determines what level of transportation services it will provide independent of the Ministry. Mr. Miller's evidence is that the Ministry has minimal involvement in operational decisions of that nature. The Ministry takes the view that school districts are best placed to assess their own needs and how they should be addressed. Thus, the Ministry's policy is one that rightfully leaves transportation decisions with the CSF, respecting its right to management and control of matters going to language and culture. The question is whether the Province provides sufficient public funds for the CSF to deliver the transportation facilities that the numbers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1559</w:t>
      </w:r>
      <w:r>
        <w:rPr>
          <w:rFonts w:ascii="arial" w:eastAsia="arial" w:hAnsi="arial" w:cs="arial"/>
          <w:color w:val="000000"/>
          <w:sz w:val="20"/>
          <w:lang w:val="en-US" w:eastAsia="en-US" w:bidi="ar-SA"/>
        </w:rPr>
        <w:t>  Dr. Ardanaz, Mr. Bonnefoy and Mr. Allison all spoke to the CSF's transportation system. Additional evidence came from Mr. Grittner. As the CSF's Transportation Consultant, Mr. Grittner has assisted the CSF on a variety of transportation matters, with a focus on improving the system's efficiency, cost and bus ride times. To that end, he has assisted the CSF with the management of its transportation tender process, the negotiation and implementation of its transportation contracts, the preparation of its transportation budget estimates and the oversight of its bus routes.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Nature of the CSF's Transportation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1560</w:t>
      </w:r>
      <w:r>
        <w:rPr>
          <w:rFonts w:ascii="arial" w:eastAsia="arial" w:hAnsi="arial" w:cs="arial"/>
          <w:color w:val="000000"/>
          <w:sz w:val="20"/>
          <w:lang w:val="en-US" w:eastAsia="en-US" w:bidi="ar-SA"/>
        </w:rPr>
        <w:t>  The CSF has always treated its transportation system as a high priority. Dr. Ardanaz advised that from the beginning, the CSF saw it as essential to student recruitment to provide high-quality transportation, free of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1561</w:t>
      </w:r>
      <w:r>
        <w:rPr>
          <w:rFonts w:ascii="arial" w:eastAsia="arial" w:hAnsi="arial" w:cs="arial"/>
          <w:color w:val="000000"/>
          <w:sz w:val="20"/>
          <w:lang w:val="en-US" w:eastAsia="en-US" w:bidi="ar-SA"/>
        </w:rPr>
        <w:t>  Mr. Grittner described the CSF's transportation system. He explained that the CSF has specified walk limits around its schools. Students living within those zones are not entitled to receive transportation services due to their proximity to the school. The elementary school walk limits range from one to three kilometres depending on the nature of the community where the school is located. The secondary school walk limit is three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1562</w:t>
      </w:r>
      <w:r>
        <w:rPr>
          <w:rFonts w:ascii="arial" w:eastAsia="arial" w:hAnsi="arial" w:cs="arial"/>
          <w:color w:val="000000"/>
          <w:sz w:val="20"/>
          <w:lang w:val="en-US" w:eastAsia="en-US" w:bidi="ar-SA"/>
        </w:rPr>
        <w:t>  Students who do not walk to school-- the vast majority of CSF students-- are transported by bus. In Dr. Ardanaz's time, the CSF provided door-to-door bus transportation services from students' homes to school. Now, CSF students are transported to school from centralized group pick-up points. Students living within specified walk-to-stop zones are transported from those pick-up points. The walk-to-stop zones are limited to one to three kilometres, consistent with the CSF's walk limits. However, many students live within 500 meters of a local pick-up point. According to Mr. Grittner, in rural areas, it is sometimes more convenient to provide door-to-door service due to the dispersion of the student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1563</w:t>
      </w:r>
      <w:r>
        <w:rPr>
          <w:rFonts w:ascii="arial" w:eastAsia="arial" w:hAnsi="arial" w:cs="arial"/>
          <w:color w:val="000000"/>
          <w:sz w:val="20"/>
          <w:lang w:val="en-US" w:eastAsia="en-US" w:bidi="ar-SA"/>
        </w:rPr>
        <w:t>  The CSF does not own a fleet of buses due to the complexity and cost of managing fleets in a number of communities in the Province. Instead, the CSF contracts with third-party bus service providers and majority school boards to deliver transportation services. The CSF does whichever is more cost-effective.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1564</w:t>
      </w:r>
      <w:r>
        <w:rPr>
          <w:rFonts w:ascii="arial" w:eastAsia="arial" w:hAnsi="arial" w:cs="arial"/>
          <w:color w:val="000000"/>
          <w:sz w:val="20"/>
          <w:lang w:val="en-US" w:eastAsia="en-US" w:bidi="ar-SA"/>
        </w:rPr>
        <w:t>  Mr. Grittner explained that in 2014/15, the CSF's five third-party bus service providers operated 148 to 150 buses in 21 communities: Chilliwack (École Élémentaire La Vérendrye), Kamloops (École Élémentaire Collines-d'or), Langley (École Élémentaire des Voyageurs), Squamish (École Élémentaire Les Aiglons), Richmond (École Élémentaire des Navigateurs), Surrey (École Gabrielle-Roy), Delta (École Élémentaire du Bois-Joli), Vancouver (École Élémentaire Anne-Hébert, École Élémentaire Rose-des-Vents, École Secondaire Jules-Verne), Port Coquitlam (École des Pionniers), Penticton (École Élémentaire Entre-lacs, Penticton Secondary Francophone Programme), Mission (École Élémentaire Deux-Rives), Powell River (École Élémentaire Côte du Soleil, Brooks Secondary Francophone Programme), Kelowna (École L'Anse-au-Sable), Prince George (École Élémentaire Franco-Nord, Duchess Park Secondary Francophone Programme), North Vancouver (École André-Piolat), Nanaimo (École Élémentaire Océane, Nanaimo District Secondary Francophone Programme), Victoria (École Victor-Brodeur), Comox (École Au-Coeur-de-l'île), Campbell River (École Élémentaire Mer et Montagne, Carihi Secondary Francophone Programme), Port Alberni (École Élémentaire des Grands-cèdres) and Revelstoke (École Élémentaire des Glaciers).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1565</w:t>
      </w:r>
      <w:r>
        <w:rPr>
          <w:rFonts w:ascii="arial" w:eastAsia="arial" w:hAnsi="arial" w:cs="arial"/>
          <w:color w:val="000000"/>
          <w:sz w:val="20"/>
          <w:lang w:val="en-US" w:eastAsia="en-US" w:bidi="ar-SA"/>
        </w:rPr>
        <w:t>  Mr. Grittner explained that third-party bus service providers develop bus routes with minimal involvement by the CSF. However, Mr. Grittner reviews and suggests efficiencies for many bus routes and by assists the third-party providers resolving specific issues. Further, Mr. Grittner may become involved if it becomes necessary to create new bus routes, such as when the CSF experiences a surge in enrolment at a particular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1566</w:t>
      </w:r>
      <w:r>
        <w:rPr>
          <w:rFonts w:ascii="arial" w:eastAsia="arial" w:hAnsi="arial" w:cs="arial"/>
          <w:color w:val="000000"/>
          <w:sz w:val="20"/>
          <w:lang w:val="en-US" w:eastAsia="en-US" w:bidi="ar-SA"/>
        </w:rPr>
        <w:t>  In six communities the CSF contracted with majority school boards to provide transportation services: Nelson (SD8-Kootenay Lake, École Élémentaire des Sentiers-Alpins); Rossland (SD20-Kootenay-Columbia, École Élémentaire des Septs-Sommets); Whistler (SD48-Sea-to-Sky, École Élémentaire La Passerelle); Fernie (SD5-Southeast Kootenay, École Élémentaire Sophie-Morigeau); Terrace (SD82-Coast Mountains, École Élémentaire Jack-Cook); and Sechelt (SD46-Sunshine Coast, École Élémentaire du Pacifique and Chatelech Secondary Francophone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1567</w:t>
      </w:r>
      <w:r>
        <w:rPr>
          <w:rFonts w:ascii="arial" w:eastAsia="arial" w:hAnsi="arial" w:cs="arial"/>
          <w:color w:val="000000"/>
          <w:sz w:val="20"/>
          <w:lang w:val="en-US" w:eastAsia="en-US" w:bidi="ar-SA"/>
        </w:rPr>
        <w:t>  In addition to school bus services, the CSF provides secondary students at École Secondaire Jules-Verne (Vancouver) complementary public transportation passes to travel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1568</w:t>
      </w:r>
      <w:r>
        <w:rPr>
          <w:rFonts w:ascii="arial" w:eastAsia="arial" w:hAnsi="arial" w:cs="arial"/>
          <w:color w:val="000000"/>
          <w:sz w:val="20"/>
          <w:lang w:val="en-US" w:eastAsia="en-US" w:bidi="ar-SA"/>
        </w:rPr>
        <w:t>  Finally, where the CSF determines that extending bus service to a given area would unduly lengthen an existing bus route, it may choose to financially compensate parents who drive their children either to school or to the nearest group pick-up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1569</w:t>
      </w:r>
      <w:r>
        <w:rPr>
          <w:rFonts w:ascii="arial" w:eastAsia="arial" w:hAnsi="arial" w:cs="arial"/>
          <w:color w:val="000000"/>
          <w:sz w:val="20"/>
          <w:lang w:val="en-US" w:eastAsia="en-US" w:bidi="ar-SA"/>
        </w:rPr>
        <w:t>  At one time, the CSF also incurred the cost of housing students who wanted to attend a minority programme but lived in a community where there was no local programme available. The CSF has not done this for several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CSF Transportation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1570</w:t>
      </w:r>
      <w:r>
        <w:rPr>
          <w:rFonts w:ascii="arial" w:eastAsia="arial" w:hAnsi="arial" w:cs="arial"/>
          <w:color w:val="000000"/>
          <w:sz w:val="20"/>
          <w:lang w:val="en-US" w:eastAsia="en-US" w:bidi="ar-SA"/>
        </w:rPr>
        <w:t>  The CSF decides what transportation services to provide in a given area, to what group of children, based on its internal transportation policy. The most notable revisions to those policies occurred in 2009 and 2013.</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2009 Transportation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1571</w:t>
      </w:r>
      <w:r>
        <w:rPr>
          <w:rFonts w:ascii="arial" w:eastAsia="arial" w:hAnsi="arial" w:cs="arial"/>
          <w:color w:val="000000"/>
          <w:sz w:val="20"/>
          <w:lang w:val="en-US" w:eastAsia="en-US" w:bidi="ar-SA"/>
        </w:rPr>
        <w:t>  The CSF's transportation policy was revised June 29, 2009 (the "2009 Transportation Policy"). That policy provides the following "Statement of Policy", which recognizes the importance of transportation due to the distance between students' homes and minority language schools, and the need to manage transportation in light of a number of factors, including student and school needs, cost efficiency and bus ride times: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Conseil Scolaire francophone (CSF) recognizes that a vast proportion of the students enrolled in the Francophone Program reside far from the school they attend in their region. Consequently, the CSF offers transportation services to the students residing outside of the walk limits and inside of the Transportation Zones as defined in this policy. The following possibilities are offered to students who are eligible for transportation:</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by school bus according to the applicable legislation;</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distribution of public transit passes in metropolitan areas; and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financial assistance to parents to subsidize transportation.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management of transportation will be based upon the following factors:</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students' safety;</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curricula's needs (teaching hours, etc.);</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efficient means for students' transportation;</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need to reduce to the minimum the length of bus trips; and</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support from the Ministry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1572</w:t>
      </w:r>
      <w:r>
        <w:rPr>
          <w:rFonts w:ascii="arial" w:eastAsia="arial" w:hAnsi="arial" w:cs="arial"/>
          <w:color w:val="000000"/>
          <w:sz w:val="20"/>
          <w:lang w:val="en-US" w:eastAsia="en-US" w:bidi="ar-SA"/>
        </w:rPr>
        <w:t>  The 2009 Transportation Policy introduced the concept of a "school Transportation Zone". Where a Transportation Zone is used, it sets a geographic area around a school within which students will be transported to school. Currently, the CSF uses Transportation Zones in Penticton, Kelowna, North Vancouver, Victoria and Nanaimo. Notably, all these communities have very large catchment areas that encompass multiple 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1573</w:t>
      </w:r>
      <w:r>
        <w:rPr>
          <w:rFonts w:ascii="arial" w:eastAsia="arial" w:hAnsi="arial" w:cs="arial"/>
          <w:color w:val="000000"/>
          <w:sz w:val="20"/>
          <w:lang w:val="en-US" w:eastAsia="en-US" w:bidi="ar-SA"/>
        </w:rPr>
        <w:t>  The 2009 Transportation Policy also spoke to ideal bus ride times. Section 2(c)(i) of the policy provided that, "[w]henever possible, school transportation services by bus will be organized in such a way as to limit transportation time to 45 minutes, while recognizing this objective may be impossible to reach in some localities."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1574</w:t>
      </w:r>
      <w:r>
        <w:rPr>
          <w:rFonts w:ascii="arial" w:eastAsia="arial" w:hAnsi="arial" w:cs="arial"/>
          <w:color w:val="000000"/>
          <w:sz w:val="20"/>
          <w:lang w:val="en-US" w:eastAsia="en-US" w:bidi="ar-SA"/>
        </w:rPr>
        <w:t>  The 2009 Transportation Policy also set out cases where the CSF would provide transportation assistance to parents of students who would otherwise be eligible for transportation services, but to whom it is difficult or impossible to provide bus services. To those parents, the CSF would pay up to $0.40 per kilometre per day, to a maximum of $10 per day per family. Mr. LeBrun advised that the Ministry set a $10 per day maximum payment for reimbursements of transportation assistance under a transportation funding supplement that no longer exists. The Ministry, however, would only reimburse districts at $0.20 per kilometre; the CSF reimburses parents more.</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2013 Transportation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1575</w:t>
      </w:r>
      <w:r>
        <w:rPr>
          <w:rFonts w:ascii="arial" w:eastAsia="arial" w:hAnsi="arial" w:cs="arial"/>
          <w:color w:val="000000"/>
          <w:sz w:val="20"/>
          <w:lang w:val="en-US" w:eastAsia="en-US" w:bidi="ar-SA"/>
        </w:rPr>
        <w:t>  The CSF's next major amendment to its transportation policy took place in 2013, and resulted in the promulgation of the "2013 Transportation Policy". The predominant change removed reference to the CSF's intent to reduce travel times to less than 45 minutes. Instead, the CSF endeavours to organize school bus transportation in such a way that "travel times are equivalent to the travel times of students attending a majority school in the same catchment area as the CSF school, whether they walk or are driven by car or by bus" (s. 2)(c)(i)).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1576</w:t>
      </w:r>
      <w:r>
        <w:rPr>
          <w:rFonts w:ascii="arial" w:eastAsia="arial" w:hAnsi="arial" w:cs="arial"/>
          <w:color w:val="000000"/>
          <w:sz w:val="20"/>
          <w:lang w:val="en-US" w:eastAsia="en-US" w:bidi="ar-SA"/>
        </w:rPr>
        <w:t>  Mr. Grittner confirmed that while he was generally aware of the changes in the 2013 Transportation Policy, he had never been shown the policy, was never asked to and has never attempted to organize the CSF's bus routes in such a way that the bus ride times are equivalent to those in the relevant majority district. He testified that he would find it hard to implement.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1577</w:t>
      </w:r>
      <w:r>
        <w:rPr>
          <w:rFonts w:ascii="arial" w:eastAsia="arial" w:hAnsi="arial" w:cs="arial"/>
          <w:color w:val="000000"/>
          <w:sz w:val="20"/>
          <w:lang w:val="en-US" w:eastAsia="en-US" w:bidi="ar-SA"/>
        </w:rPr>
        <w:t>  While he was under cross-examination, Mr. Allison maintained that he believed the CSF's goal of reducing travel times to that level was realistically achievable, but not for every student. Later, he seemed to concede that given that majority language schools are typically neighbourhood schools, and the CSF operates regional schools, fully realizing the new policy "seemed to be impossible". Mr. Allison conceded that regardless of the 2013 Transportation Policy, the CSF uses its former 45-minute threshold as a "red flag" for routes that might be too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1578</w:t>
      </w:r>
      <w:r>
        <w:rPr>
          <w:rFonts w:ascii="arial" w:eastAsia="arial" w:hAnsi="arial" w:cs="arial"/>
          <w:color w:val="000000"/>
          <w:sz w:val="20"/>
          <w:lang w:val="en-US" w:eastAsia="en-US" w:bidi="ar-SA"/>
        </w:rPr>
        <w:t>  In connection with Mr. Grittner's lack of knowledge of the policy change, Mr. Allison took the unreasonable stance that Mr. Grittner ought to have understood what was meant by the policy change, even if the he did not see the policy and the CSF did not show it to him. At this point, Mr. Allison was highly argumentative, as he was in most of his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Cost of the CSF Transportation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1579</w:t>
      </w:r>
      <w:r>
        <w:rPr>
          <w:rFonts w:ascii="arial" w:eastAsia="arial" w:hAnsi="arial" w:cs="arial"/>
          <w:color w:val="000000"/>
          <w:sz w:val="20"/>
          <w:lang w:val="en-US" w:eastAsia="en-US" w:bidi="ar-SA"/>
        </w:rPr>
        <w:t>  The CSF incurs proportionately higher transportation and housing costs than majority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1580</w:t>
      </w:r>
      <w:r>
        <w:rPr>
          <w:rFonts w:ascii="arial" w:eastAsia="arial" w:hAnsi="arial" w:cs="arial"/>
          <w:color w:val="000000"/>
          <w:sz w:val="20"/>
          <w:lang w:val="en-US" w:eastAsia="en-US" w:bidi="ar-SA"/>
        </w:rPr>
        <w:t>  The Court received evidence of the actual amounts school districts spend on transportation from school district revenue and expenditure tables. The evidence confirms that districts keep these records and provide them to the Ministry while they are under an obligation to do so. I am satisfied they are admissible as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1581</w:t>
      </w:r>
      <w:r>
        <w:rPr>
          <w:rFonts w:ascii="arial" w:eastAsia="arial" w:hAnsi="arial" w:cs="arial"/>
          <w:color w:val="000000"/>
          <w:sz w:val="20"/>
          <w:lang w:val="en-US" w:eastAsia="en-US" w:bidi="ar-SA"/>
        </w:rPr>
        <w:t>  In most recent years, the CSF has spent nearly 10% of its operating budget on transportation. In 2011/12, the CSF spent $6,179,156 for transportation and housing expenditures, or 9.6% of its operating budget. In 2012/13, the CSF spent $6,029,090 for transportation and housing, representing 9.2% of its operating budget. In 2013/14, the CSF spent $5,966,976 on transportation and housing, representing 8.8% of its operating funding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1582</w:t>
      </w:r>
      <w:r>
        <w:rPr>
          <w:rFonts w:ascii="arial" w:eastAsia="arial" w:hAnsi="arial" w:cs="arial"/>
          <w:color w:val="000000"/>
          <w:sz w:val="20"/>
          <w:lang w:val="en-US" w:eastAsia="en-US" w:bidi="ar-SA"/>
        </w:rPr>
        <w:t>  Across the province in each of those years, all districts (including the CSF) spent an average of 2% of their operating expenditures on transportation and housing. Excluding the CSF, the amounts spent by majority boards in any given year ranged from a high of nearly 9% (SD87-Stikine) to a low of 0.3% (SD44-North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Transportation Funding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1583</w:t>
      </w:r>
      <w:r>
        <w:rPr>
          <w:rFonts w:ascii="arial" w:eastAsia="arial" w:hAnsi="arial" w:cs="arial"/>
          <w:color w:val="000000"/>
          <w:sz w:val="20"/>
          <w:lang w:val="en-US" w:eastAsia="en-US" w:bidi="ar-SA"/>
        </w:rPr>
        <w:t>  Since the CSF's inception, the Province's model for funding transportation and housing funding has gone through several iterations: a cost-based reimbursement model; a frozen but unrestricted annual allocation in the Operating Block; and an unrestricted per-student allocation in the Operating Block based on student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1584</w:t>
      </w:r>
      <w:r>
        <w:rPr>
          <w:rFonts w:ascii="arial" w:eastAsia="arial" w:hAnsi="arial" w:cs="arial"/>
          <w:color w:val="000000"/>
          <w:sz w:val="20"/>
          <w:lang w:val="en-US" w:eastAsia="en-US" w:bidi="ar-SA"/>
        </w:rPr>
        <w:t>  The plaintiffs argue that the latter two iterations of the Province's funding model disproportionately disadvantaged the CSF and failed to take into account its unique needs. They also suggest that the CSF has incurred a substantial transportation funding deficit. The defendants counter that the Operating Block grants the CSF receives are sufficient for the CSF's needs, pointing to evidence of the CSF's surpluses.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1585</w:t>
      </w:r>
      <w:r>
        <w:rPr>
          <w:rFonts w:ascii="arial" w:eastAsia="arial" w:hAnsi="arial" w:cs="arial"/>
          <w:color w:val="000000"/>
          <w:sz w:val="20"/>
          <w:lang w:val="en-US" w:eastAsia="en-US" w:bidi="ar-SA"/>
        </w:rPr>
        <w:t>  Below, I review the Operating Block with specific reference to transportation. Then I discuss each of the iterations of the factor that funds transportation and the plaintiffs' allegations that the CSF has incurred a substantial transportation funding deficit.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 Operating Block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1586</w:t>
      </w:r>
      <w:r>
        <w:rPr>
          <w:rFonts w:ascii="arial" w:eastAsia="arial" w:hAnsi="arial" w:cs="arial"/>
          <w:color w:val="000000"/>
          <w:sz w:val="20"/>
          <w:lang w:val="en-US" w:eastAsia="en-US" w:bidi="ar-SA"/>
        </w:rPr>
        <w:t>  The Province allocates funding to school districts for operating purposes by way of its Operating Block. I explain how the Operating Block Grants are calculated in detail in Chapter XII, Public Funds. To summarize, the Ministry allocates the Operating Block to school boards using its Enrolment-Based Funding Model. Once districts receive their operating grants, they make all decisions with respect to programme delivery, including admission, educational and transportation programmes.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1587</w:t>
      </w:r>
      <w:r>
        <w:rPr>
          <w:rFonts w:ascii="arial" w:eastAsia="arial" w:hAnsi="arial" w:cs="arial"/>
          <w:color w:val="000000"/>
          <w:sz w:val="20"/>
          <w:lang w:val="en-US" w:eastAsia="en-US" w:bidi="ar-SA"/>
        </w:rPr>
        <w:t>  The Operating Funding Model went through significant changes in about 2002, when it moved from a Resource-Cost Funding Model to an Enrolment-Based Funding Model. Under the former model, the Ministry funded specific aspects of school programmes. With the move to an Enrolment-Based Funding Model, districts receive a basic allocation for every student in the district, as well as supplements to recognize Unique Student Factors (special needs, aboriginal, vulnerability), changes at the district level (enrolment and funding decline) and supplements to recognize Unique District Factors (small community supplement; low enrolment supplement; rural factor; climate factor; sparseness factor; student location factor; and a salary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1588</w:t>
      </w:r>
      <w:r>
        <w:rPr>
          <w:rFonts w:ascii="arial" w:eastAsia="arial" w:hAnsi="arial" w:cs="arial"/>
          <w:color w:val="000000"/>
          <w:sz w:val="20"/>
          <w:lang w:val="en-US" w:eastAsia="en-US" w:bidi="ar-SA"/>
        </w:rPr>
        <w:t>  The evidence shows that the CSF benefits the most from the Unique District Factors. Recently, it was allocated about $17 million pursuant to these factors. The next closest district received $10 million, and the supplements declined from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1589</w:t>
      </w:r>
      <w:r>
        <w:rPr>
          <w:rFonts w:ascii="arial" w:eastAsia="arial" w:hAnsi="arial" w:cs="arial"/>
          <w:color w:val="000000"/>
          <w:sz w:val="20"/>
          <w:lang w:val="en-US" w:eastAsia="en-US" w:bidi="ar-SA"/>
        </w:rPr>
        <w:t>  A final factor is specific to the CSF. The CSF receives a 15% funding premium on all of its funding coming out of the Operating Block: the 15% Francophone Supplement.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1590</w:t>
      </w:r>
      <w:r>
        <w:rPr>
          <w:rFonts w:ascii="arial" w:eastAsia="arial" w:hAnsi="arial" w:cs="arial"/>
          <w:color w:val="000000"/>
          <w:sz w:val="20"/>
          <w:lang w:val="en-US" w:eastAsia="en-US" w:bidi="ar-SA"/>
        </w:rPr>
        <w:t>  Although the CSF and other districts are not restricted with respect to how they spend their operating grants, each of the Unique District Factors and the 15% Francophone Supplement are linked to an estimate of the actual cost differential of associated with a given district characteristic.</w:t>
      </w:r>
      <w:r>
        <w:rPr>
          <w:rFonts w:ascii="arial" w:eastAsia="arial" w:hAnsi="arial" w:cs="arial"/>
          <w:sz w:val="20"/>
          <w:lang w:val="en-US" w:eastAsia="en-US" w:bidi="ar-SA"/>
        </w:rPr>
        <w:cr/>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15% Francophone Supplement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1591</w:t>
      </w:r>
      <w:r>
        <w:rPr>
          <w:rFonts w:ascii="arial" w:eastAsia="arial" w:hAnsi="arial" w:cs="arial"/>
          <w:color w:val="000000"/>
          <w:sz w:val="20"/>
          <w:lang w:val="en-US" w:eastAsia="en-US" w:bidi="ar-SA"/>
        </w:rPr>
        <w:t>  Beginning in about 2006, the CSF began to benefit from a 15% Francophone Supplement: a special supplement that applies only to the CSF, which I describe in Chapter VIII, Entitlement. That supplement takes the entirety of the CSF's operating grant-- from the basic enrolment-based amount, to all the Unique District Factors-- and adds to them a supplement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1592</w:t>
      </w:r>
      <w:r>
        <w:rPr>
          <w:rFonts w:ascii="arial" w:eastAsia="arial" w:hAnsi="arial" w:cs="arial"/>
          <w:color w:val="000000"/>
          <w:sz w:val="20"/>
          <w:lang w:val="en-US" w:eastAsia="en-US" w:bidi="ar-SA"/>
        </w:rPr>
        <w:t>  The parties disagree about whether the 15% Francophone Supplement was intended to compensate the CSF for any of its transportation costs. The plaintiffs take the position that it does not, while the defendants argue that it does. For that reason, I review the negotiations leading to the 15% Francophone Supplement here as well, to the extent that they relate to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1593</w:t>
      </w:r>
      <w:r>
        <w:rPr>
          <w:rFonts w:ascii="arial" w:eastAsia="arial" w:hAnsi="arial" w:cs="arial"/>
          <w:color w:val="000000"/>
          <w:sz w:val="20"/>
          <w:lang w:val="en-US" w:eastAsia="en-US" w:bidi="ar-SA"/>
        </w:rPr>
        <w:t>  In early September 2004, Mr. Bonnefoy wrote to Mr. Miller in connection with the CSF's transportation needs. This immediately preceded the negotiations leading to the 15% Francophone Supplement. Shortly thereafter, Ministry staff prepared a briefing note to Deputy Minister Dosdall, which highlighted that the CSF reported significant cost increases for student transportation, and that the funding shortfall for the CSF was significantly larger than for any other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1594</w:t>
      </w:r>
      <w:r>
        <w:rPr>
          <w:rFonts w:ascii="arial" w:eastAsia="arial" w:hAnsi="arial" w:cs="arial"/>
          <w:color w:val="000000"/>
          <w:sz w:val="20"/>
          <w:lang w:val="en-US" w:eastAsia="en-US" w:bidi="ar-SA"/>
        </w:rPr>
        <w:t>  In his October 12, 2004, response to Mr. Bonnefoy, Mr. Miller noted that the Technical Review Committee was reviewing the funding of student transportation, and was proposing a new formula based on distances between schools and individual student homes. Mr. Miller stated that he anticipated that supplement would remedy many inequities.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1595</w:t>
      </w:r>
      <w:r>
        <w:rPr>
          <w:rFonts w:ascii="arial" w:eastAsia="arial" w:hAnsi="arial" w:cs="arial"/>
          <w:color w:val="000000"/>
          <w:sz w:val="20"/>
          <w:lang w:val="en-US" w:eastAsia="en-US" w:bidi="ar-SA"/>
        </w:rPr>
        <w:t>  As negotiations between the Ministry and the CSF proceeded, the CSF provided the Ministry with the Operating Funding Report. It identified transportation costs as one of the unique cost pressures facing the CSF. The authors wrote that it might not be appropriate for the CSF to apply walk limits similar to those used historically to calculate student transportation grants for majority school districts due to the dispersion of its population and a corresponding lack of safety in number of children walking to and from school. Among its recommendations, the Operating Funding Report suggested that Provincial grants in support of student transportation be adjusted to reflect the CSF's actual enrolment increases and be based on lower walk limits than those applied to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1596</w:t>
      </w:r>
      <w:r>
        <w:rPr>
          <w:rFonts w:ascii="arial" w:eastAsia="arial" w:hAnsi="arial" w:cs="arial"/>
          <w:color w:val="000000"/>
          <w:sz w:val="20"/>
          <w:lang w:val="en-US" w:eastAsia="en-US" w:bidi="ar-SA"/>
        </w:rPr>
        <w:t>  After receiving the Operating Funding Report, on July 22, 2005, Ministry staff prepared a draft briefing note to the Minister. It referred to the CSF's concern with transportation funding, while highlighting that a general review of transportation funding was expected to be introduced for 2006/07. Ministry staff suggested the CSF would receive a significant increase in funding with the new supplement, and made no recommendations in connection with transportation funding for the CSF. However, the draft was never sent to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1597</w:t>
      </w:r>
      <w:r>
        <w:rPr>
          <w:rFonts w:ascii="arial" w:eastAsia="arial" w:hAnsi="arial" w:cs="arial"/>
          <w:color w:val="000000"/>
          <w:sz w:val="20"/>
          <w:lang w:val="en-US" w:eastAsia="en-US" w:bidi="ar-SA"/>
        </w:rPr>
        <w:t>  With the assistance of Trillium, the CSF prepared the Funding Requirements Request to detail the CSF's funding needs. The CSF suggested that the Provincial component of its request would cost between $10.6 and $12.5 million each year. The CSF asked for a 25% supplement to its Operating Block each year, which it would apply to expand its programmes. That would provide it with about $9 million each year. While that would fall short of the estimated cost of delivering its new programmes, the CSF planned to fund the rest by finding operational efficiencies.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1598</w:t>
      </w:r>
      <w:r>
        <w:rPr>
          <w:rFonts w:ascii="arial" w:eastAsia="arial" w:hAnsi="arial" w:cs="arial"/>
          <w:color w:val="000000"/>
          <w:sz w:val="20"/>
          <w:lang w:val="en-US" w:eastAsia="en-US" w:bidi="ar-SA"/>
        </w:rPr>
        <w:t>  Among its proposed expanded programmes, the CSF requested additional funding to establish efficient bus routes and shorter walk limits. The CSF stressed that the characteristics of a provincial school district made the provision of transportation services complex. The CSF specifically requested $1.6 million to $1.9 million annually to make improvements to its transportation system. Thus, transportation programming formed about 15% of the cost of the CSF's planned additional programmes. Costs related to transportation constituted about 20% of its $9 million annual funding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1599</w:t>
      </w:r>
      <w:r>
        <w:rPr>
          <w:rFonts w:ascii="arial" w:eastAsia="arial" w:hAnsi="arial" w:cs="arial"/>
          <w:color w:val="000000"/>
          <w:sz w:val="20"/>
          <w:lang w:val="en-US" w:eastAsia="en-US" w:bidi="ar-SA"/>
        </w:rPr>
        <w:t>  Mr. Miller was involved in the review of the Funding Requirements Request. On review, Ministry staff identified $5.4 million, or 60% of the initial $9 million request, that was specifically targeted to language and culture (including transportation), and was non-duplicative. Thus, transportation (a cost that I find was not duplicative of others) would have formed about 30% of the additional costs that the Ministry was prepared to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1600</w:t>
      </w:r>
      <w:r>
        <w:rPr>
          <w:rFonts w:ascii="arial" w:eastAsia="arial" w:hAnsi="arial" w:cs="arial"/>
          <w:color w:val="000000"/>
          <w:sz w:val="20"/>
          <w:lang w:val="en-US" w:eastAsia="en-US" w:bidi="ar-SA"/>
        </w:rPr>
        <w:t>  Ultimately, the analysis led Ministry staff to conclude that a 15% funding supplement, retroactive to the previous school year, would be appropriate. Mr. Miller advised that on July 25, 2006, Ministry staff prepared a briefing note for a decision by Minister Bond in connection with CSF funding. Unlike the first note, this note was actually sent to the Minister. Staff recommended providing a 15% supplement, and both Deputy Minister Dosdall and Minister Bond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1601</w:t>
      </w:r>
      <w:r>
        <w:rPr>
          <w:rFonts w:ascii="arial" w:eastAsia="arial" w:hAnsi="arial" w:cs="arial"/>
          <w:color w:val="000000"/>
          <w:sz w:val="20"/>
          <w:lang w:val="en-US" w:eastAsia="en-US" w:bidi="ar-SA"/>
        </w:rPr>
        <w:t>  On October 10, 2006, Deputy Minister Dosdall wrote to Mr. Watters, the CSF's Superintendent, to advise that Ministry staff had carefully reviewed the Funding Requirements Request, as well as additional transportation requirements and other factors germane to the CSF. He confirmed that the Minister would provide the CSF with a supplement equal to 15% of its final annual operating grant allocation, beginning with and retroactive to the 2005/06 school year. Mr. Miller confirmed his understanding that the 15% supplement was also designed to address the CSF's transportation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1602</w:t>
      </w:r>
      <w:r>
        <w:rPr>
          <w:rFonts w:ascii="arial" w:eastAsia="arial" w:hAnsi="arial" w:cs="arial"/>
          <w:color w:val="000000"/>
          <w:sz w:val="20"/>
          <w:lang w:val="en-US" w:eastAsia="en-US" w:bidi="ar-SA"/>
        </w:rPr>
        <w:t>  In my view, the preponderance of evidence suggests that the 15% Francophone Supplement was intended, in part, to address the CSF's transportation needs. Ministry staff knew that transportation costs were a problem for the CSF in the discussions immediately preceding the negotiation of the 15% Francophone Supplement. The CSF clearly identified transportation projects among those it wanted to pursue with additional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1603</w:t>
      </w:r>
      <w:r>
        <w:rPr>
          <w:rFonts w:ascii="arial" w:eastAsia="arial" w:hAnsi="arial" w:cs="arial"/>
          <w:color w:val="000000"/>
          <w:sz w:val="20"/>
          <w:lang w:val="en-US" w:eastAsia="en-US" w:bidi="ar-SA"/>
        </w:rPr>
        <w:t>  While initial conversations at the Ministry proposed focusing on cultural factors at the expense of transportation projects, it seems that position was never put forward to the Minister, and that Ministry staff moved away from that recommendation. At first, Ministry staff considered a 10% supplement; the Minister eventually agreed to a 15% supplement. In the July 2006 Briefing Note that went to the Minister, staff rejected the CSF's proposed 25% supplement due primarily to duplication, not because of a decision not to fund transportation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1604</w:t>
      </w:r>
      <w:r>
        <w:rPr>
          <w:rFonts w:ascii="arial" w:eastAsia="arial" w:hAnsi="arial" w:cs="arial"/>
          <w:color w:val="000000"/>
          <w:sz w:val="20"/>
          <w:lang w:val="en-US" w:eastAsia="en-US" w:bidi="ar-SA"/>
        </w:rPr>
        <w:t>  Most importantly, in his letter to the CSF informing it of the decision to implement a 15% supplement, Deputy Minister Dosdall explicitly stated that the Ministry reached its conclusion based on its review of factors including the CSF's transportation requirements.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The CSF's Operating Funding and Surpluses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1605</w:t>
      </w:r>
      <w:r>
        <w:rPr>
          <w:rFonts w:ascii="arial" w:eastAsia="arial" w:hAnsi="arial" w:cs="arial"/>
          <w:color w:val="000000"/>
          <w:sz w:val="20"/>
          <w:lang w:val="en-US" w:eastAsia="en-US" w:bidi="ar-SA"/>
        </w:rPr>
        <w:t>  As I explained in Chapter XII, Public Funds, the defendants prepared a series of charts showing the average per pupil operating funding that all districts received at three points: 2000/01, 2009/10 and 2013/14. In 2000/01, the CSF's per pupil operating allocation came to $10,300. The CSF received $12,759 per student in 2009/10 and $13,066 per student in 2013/14. The provincial averages in those years were $6,262, $8,182 and $8,690 respectively. The CSF has always been in the top 10 (of 60) school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1606</w:t>
      </w:r>
      <w:r>
        <w:rPr>
          <w:rFonts w:ascii="arial" w:eastAsia="arial" w:hAnsi="arial" w:cs="arial"/>
          <w:color w:val="000000"/>
          <w:sz w:val="20"/>
          <w:lang w:val="en-US" w:eastAsia="en-US" w:bidi="ar-SA"/>
        </w:rPr>
        <w:t>  In Chapter XII, Public Funds, I also describe that the CSF has been generating surpluses since about 2005. The evidence shows that by 2009, the CSF showed net accumulated operating surplus funds of $5.7 million. Mr. Bonnefoy explained that these surpluses related to the funding received as part of the 15% Francophone Supplement and were earmarked for spending over the course of the CSF's five-year strategic plan. Thus, part of those surpluses was targeted to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1607</w:t>
      </w:r>
      <w:r>
        <w:rPr>
          <w:rFonts w:ascii="arial" w:eastAsia="arial" w:hAnsi="arial" w:cs="arial"/>
          <w:color w:val="000000"/>
          <w:sz w:val="20"/>
          <w:lang w:val="en-US" w:eastAsia="en-US" w:bidi="ar-SA"/>
        </w:rPr>
        <w:t>  The CSF continued to generate, and then deplete its operating surplus during Mr. Allison's time as Secretary-Treasurer, which began in 2010. In June 2010, the CSF had an accumulated operating surplus of about $4 million. Since that time, the accumulated operating surplus has decreased to about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1608</w:t>
      </w:r>
      <w:r>
        <w:rPr>
          <w:rFonts w:ascii="arial" w:eastAsia="arial" w:hAnsi="arial" w:cs="arial"/>
          <w:color w:val="000000"/>
          <w:sz w:val="20"/>
          <w:lang w:val="en-US" w:eastAsia="en-US" w:bidi="ar-SA"/>
        </w:rPr>
        <w:t>  Notably, between 2010 and January 2015, the CSF spent more than $12 million on legal fees associated with this litigation. Mr. Allison took the position that the CSF cut educational programmes to fund the litigation; he maintained that the $12 million would not have formed part of an operating surplus. The evidence confirms that this is the case. However, Mr. Allison also agreed that once this litigation concludes, the CSF will be able to begin applying the funds it spends on this litigation to transportation if the CSF so chooses.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2. Transportation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1609</w:t>
      </w:r>
      <w:r>
        <w:rPr>
          <w:rFonts w:ascii="arial" w:eastAsia="arial" w:hAnsi="arial" w:cs="arial"/>
          <w:color w:val="000000"/>
          <w:sz w:val="20"/>
          <w:lang w:val="en-US" w:eastAsia="en-US" w:bidi="ar-SA"/>
        </w:rPr>
        <w:t>  The Province funds transportation services using the Ministry's Operating Block grants, then allows school boards to provide transportation services or not in their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1610</w:t>
      </w:r>
      <w:r>
        <w:rPr>
          <w:rFonts w:ascii="arial" w:eastAsia="arial" w:hAnsi="arial" w:cs="arial"/>
          <w:color w:val="000000"/>
          <w:sz w:val="20"/>
          <w:lang w:val="en-US" w:eastAsia="en-US" w:bidi="ar-SA"/>
        </w:rPr>
        <w:t>  The supplement that most closely relates to transportation today is the Student Location Factor. Here, I describe the predecessor to that supplement, the Supplement for Transportation and Housing, how the new factor was developed and what it is intended to recognize.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 Pre-2002: The Resource-Cost Funding Model and Transportation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1611</w:t>
      </w:r>
      <w:r>
        <w:rPr>
          <w:rFonts w:ascii="arial" w:eastAsia="arial" w:hAnsi="arial" w:cs="arial"/>
          <w:color w:val="000000"/>
          <w:sz w:val="20"/>
          <w:lang w:val="en-US" w:eastAsia="en-US" w:bidi="ar-SA"/>
        </w:rPr>
        <w:t>  Mr. Miller's evidence was that prior to 2002/03, the Resource-Cost Funding Model funded transportation services by way of a Supplement for Transportation and Housing. Districts with their own bus fleets received a supplement calculated by multiplying audited transportation costs by kilometre by the number of kilometres on their approved routes. Districts that contracted bus services received a supplement equal to their audited costs from the prior year. Districts were only eligible for transportation funding for students that lived outside Ministry-set walk limits of 4-5 kilometres (depending on grade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1612</w:t>
      </w:r>
      <w:r>
        <w:rPr>
          <w:rFonts w:ascii="arial" w:eastAsia="arial" w:hAnsi="arial" w:cs="arial"/>
          <w:color w:val="000000"/>
          <w:sz w:val="20"/>
          <w:lang w:val="en-US" w:eastAsia="en-US" w:bidi="ar-SA"/>
        </w:rPr>
        <w:t>  The Supplement for Transportation and Housing was calculated in the same manner for the CSF as it was for other school districts. This was the case even though the CSF provided transportation services to students living within the Ministry's 4 to 5 kilometre walk limits. The CSF also provided door-to-door transportation services in many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1613</w:t>
      </w:r>
      <w:r>
        <w:rPr>
          <w:rFonts w:ascii="arial" w:eastAsia="arial" w:hAnsi="arial" w:cs="arial"/>
          <w:color w:val="000000"/>
          <w:sz w:val="20"/>
          <w:lang w:val="en-US" w:eastAsia="en-US" w:bidi="ar-SA"/>
        </w:rPr>
        <w:t>  The evidence shows that the Ministry's funding system did not recognize all of the CSF's transportation costs in those early years. The Ministry and the CSF had insufficient data to demonstrate the CSF's actual transportation costs and distances travelled. So, to provide its exceptional transportation services, the CSF used some Federal Start-up Funds. When those funds expired, it began incurring a transportation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1614</w:t>
      </w:r>
      <w:r>
        <w:rPr>
          <w:rFonts w:ascii="arial" w:eastAsia="arial" w:hAnsi="arial" w:cs="arial"/>
          <w:color w:val="000000"/>
          <w:sz w:val="20"/>
          <w:lang w:val="en-US" w:eastAsia="en-US" w:bidi="ar-SA"/>
        </w:rPr>
        <w:t>  As I explained in Chapter XII, Public Funds, starting in about 1999, the CSF began incurring an operating deficit. The CSF and the Review Team attributed about $1 million of the CSF's $2.4 million deficit to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1615</w:t>
      </w:r>
      <w:r>
        <w:rPr>
          <w:rFonts w:ascii="arial" w:eastAsia="arial" w:hAnsi="arial" w:cs="arial"/>
          <w:color w:val="000000"/>
          <w:sz w:val="20"/>
          <w:lang w:val="en-US" w:eastAsia="en-US" w:bidi="ar-SA"/>
        </w:rPr>
        <w:t>  The Review Team addressed transportation in its report. The Review Team expressed concern that the Supplement for Transportation and Housing was not satisfactory for the CSF. The Review Team observed that the Province funded transportation based on reported costs two years in arrears and eligible kilometres one year in arrears. The Review team stated that those arrangements prevented the CSF from expanding its transportation services as the CSF's enrolment increased. Further, the Review Team noted that although the Ministry increased the 1999/00 allocation for student transportation when the CSF's jurisdiction expanded to the entire province, the adjustment still fell short of the true costs of the CSF's transportation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1616</w:t>
      </w:r>
      <w:r>
        <w:rPr>
          <w:rFonts w:ascii="arial" w:eastAsia="arial" w:hAnsi="arial" w:cs="arial"/>
          <w:color w:val="000000"/>
          <w:sz w:val="20"/>
          <w:lang w:val="en-US" w:eastAsia="en-US" w:bidi="ar-SA"/>
        </w:rPr>
        <w:t>  The Review Team recommended that the CSF reduce student transportation programmes, and bring its transportation policy in line with the Ministry's walk limits. Dr. Ardanaz explained that the CSF Board of Trustees did not accept or implement that recommendation. While the Ministry assisted the CSF to retire its deficit, none of the additional funds the CSF received related to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1617</w:t>
      </w:r>
      <w:r>
        <w:rPr>
          <w:rFonts w:ascii="arial" w:eastAsia="arial" w:hAnsi="arial" w:cs="arial"/>
          <w:color w:val="000000"/>
          <w:sz w:val="20"/>
          <w:lang w:val="en-US" w:eastAsia="en-US" w:bidi="ar-SA"/>
        </w:rPr>
        <w:t>  Shortly thereafter, the operating funding model was revised in a way that gave the CSF significant benefits. It benefits more than any other district from Unique District Factors to account for its provincial jurisdiction. Several years after that, it began receiving the 15% Francophone Supplement, which was specifically designed to compensate the CSF for some of its increased transportation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b) 2002-2012: Transportation Funding Freeze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1618</w:t>
      </w:r>
      <w:r>
        <w:rPr>
          <w:rFonts w:ascii="arial" w:eastAsia="arial" w:hAnsi="arial" w:cs="arial"/>
          <w:color w:val="000000"/>
          <w:sz w:val="20"/>
          <w:lang w:val="en-US" w:eastAsia="en-US" w:bidi="ar-SA"/>
        </w:rPr>
        <w:t>  When the operating funding model changed to the Enrolment-Based Funding Model in 2002/03, the funding allocation system included almost all of the elements that continue in the funding formula today: a basic allocation per student, supplements for districts undergoing change, all but one of the Unique Student Factors and many of the Unique District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1619</w:t>
      </w:r>
      <w:r>
        <w:rPr>
          <w:rFonts w:ascii="arial" w:eastAsia="arial" w:hAnsi="arial" w:cs="arial"/>
          <w:color w:val="000000"/>
          <w:sz w:val="20"/>
          <w:lang w:val="en-US" w:eastAsia="en-US" w:bidi="ar-SA"/>
        </w:rPr>
        <w:t>  Mr. Miller explained that the Supplement for Transportation and Housing was the one holdover from the previous funding formula. So, the Student Location Factor and Supplemental Student Location Factor were not introduced in 2002/03. Instead, the Operating Grants Manuals from 2002/03 through 2011/12 describe the Supplement for Transportation and Housing: a supplement to support the transportation of students to and from school, and funding for special housing arrangements as approved by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1620</w:t>
      </w:r>
      <w:r>
        <w:rPr>
          <w:rFonts w:ascii="arial" w:eastAsia="arial" w:hAnsi="arial" w:cs="arial"/>
          <w:color w:val="000000"/>
          <w:sz w:val="20"/>
          <w:lang w:val="en-US" w:eastAsia="en-US" w:bidi="ar-SA"/>
        </w:rPr>
        <w:t>  Mr. Miller's evidence was that even though the Supplement for Transportation and Housing carried through to the Enrolment-Based Funding Model, the supplement ceased to be restricted. The Ministry eliminated its walk limits and allowed school boards to determine whether and how to use the funds from that supplement. Mr. Grittner confirmed that was his experience, and that the districts he worked for supplemented their transportation costs using operating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1621</w:t>
      </w:r>
      <w:r>
        <w:rPr>
          <w:rFonts w:ascii="arial" w:eastAsia="arial" w:hAnsi="arial" w:cs="arial"/>
          <w:color w:val="000000"/>
          <w:sz w:val="20"/>
          <w:lang w:val="en-US" w:eastAsia="en-US" w:bidi="ar-SA"/>
        </w:rPr>
        <w:t>  According to Mr. Miller, funding for the Supplement for Transportation and Housing was frozen at 2001/02 levels through 2009/10: about $85.7 million divided between the 60 school districts. In 2010/11, the Supplement for Transportation and Housing for all districts increased by 2.58% when some extra funds became available due to the expiration of a collective agreement. The supplement was frozen at that level in 2011/12.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1622</w:t>
      </w:r>
      <w:r>
        <w:rPr>
          <w:rFonts w:ascii="arial" w:eastAsia="arial" w:hAnsi="arial" w:cs="arial"/>
          <w:color w:val="000000"/>
          <w:sz w:val="20"/>
          <w:lang w:val="en-US" w:eastAsia="en-US" w:bidi="ar-SA"/>
        </w:rPr>
        <w:t>  The Operating Grants Manuals for that period show that the CSF's Supplement for Transportation and Housing was frozen at the funding it received pursuant to its audited transportation costs for 1999/00: $3,400,440. The CSF also received the small increase that all districts received in 2010/11, bringing its annual funding to $3,488,298.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1623</w:t>
      </w:r>
      <w:r>
        <w:rPr>
          <w:rFonts w:ascii="arial" w:eastAsia="arial" w:hAnsi="arial" w:cs="arial"/>
          <w:color w:val="000000"/>
          <w:sz w:val="20"/>
          <w:lang w:val="en-US" w:eastAsia="en-US" w:bidi="ar-SA"/>
        </w:rPr>
        <w:t>  Additionally, for the first several years after the Enrolment-Based Funding Model was introduced, the amount the CSF was receiving for each student decreased due to overall funding cuts. In 2002/03 the amount the CSF received for each student decreased from $10,162 to $10,126. It continued to decrease to $9,868 in 2003/04, and to $9,782 in 2004/05.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1624</w:t>
      </w:r>
      <w:r>
        <w:rPr>
          <w:rFonts w:ascii="arial" w:eastAsia="arial" w:hAnsi="arial" w:cs="arial"/>
          <w:color w:val="000000"/>
          <w:sz w:val="20"/>
          <w:lang w:val="en-US" w:eastAsia="en-US" w:bidi="ar-SA"/>
        </w:rPr>
        <w:t>  On the other hand, due to its increasing enrolment, the total amount that the CSF pursuant to its Operating Block Grant was increasing. Of course, this also created an added cost burden related to transporting more students. Between 2002/03 and 2012/13, the CSF's enrolment grew from 2,943 students to 4,742 students. In the same period, the CSF also opened several new programmes, requiring new transportation contracts and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1625</w:t>
      </w:r>
      <w:r>
        <w:rPr>
          <w:rFonts w:ascii="arial" w:eastAsia="arial" w:hAnsi="arial" w:cs="arial"/>
          <w:color w:val="000000"/>
          <w:sz w:val="20"/>
          <w:lang w:val="en-US" w:eastAsia="en-US" w:bidi="ar-SA"/>
        </w:rPr>
        <w:t>  As a result, the CSF's actual transportation costs came to more than the $3.4 million it received pursuant to the Supplement for Transportation and Housing. In that period, the CSF regularly spent in excess of $4.1 to $4.2 million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1626</w:t>
      </w:r>
      <w:r>
        <w:rPr>
          <w:rFonts w:ascii="arial" w:eastAsia="arial" w:hAnsi="arial" w:cs="arial"/>
          <w:color w:val="000000"/>
          <w:sz w:val="20"/>
          <w:lang w:val="en-US" w:eastAsia="en-US" w:bidi="ar-SA"/>
        </w:rPr>
        <w:t>  Mr. Miller confirmed that the Ministry was aware as early as 2004 that the CSF was spending in excess of its Supplement for Transportation and Housing by about $1 million. He agreed that the funding freeze would have caused challenges for the CSF as it added programmes and students. However, Mr. Miller also advised that the Ministry was receiving complaints about the frozen transportation funding from all districts, not just the CSF. He suggested the CSF's enrolment increases were resulting in more overall funding for the CSF due to the Enrolment-Based Funding Model. With the new model, Mr. Miller explained, the Ministry intended to move away from targeted funding for transportation and allow school boards to use whatever it wanted from their overall Operating Block grants to fund whatever transportation services they believed to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1627</w:t>
      </w:r>
      <w:r>
        <w:rPr>
          <w:rFonts w:ascii="arial" w:eastAsia="arial" w:hAnsi="arial" w:cs="arial"/>
          <w:color w:val="000000"/>
          <w:sz w:val="20"/>
          <w:lang w:val="en-US" w:eastAsia="en-US" w:bidi="ar-SA"/>
        </w:rPr>
        <w:t>  With funding frozen, by the summer of 2005 the CSF determined to make new efforts to create a more efficient transportation system. This was one of the programmes it had planned to implement with its 15% Francophone Supplement. Mr. Grittner, Mr. Bonnefoy and Mr. Allison were all involved in, and gave evidence about, the CSF's efficiency improvements between 2004 and 2009. The programme involved moving to a local pick-up point system, using larger school buses, and improving the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1628</w:t>
      </w:r>
      <w:r>
        <w:rPr>
          <w:rFonts w:ascii="arial" w:eastAsia="arial" w:hAnsi="arial" w:cs="arial"/>
          <w:color w:val="000000"/>
          <w:sz w:val="20"/>
          <w:lang w:val="en-US" w:eastAsia="en-US" w:bidi="ar-SA"/>
        </w:rPr>
        <w:t>  Mr. Bonnefoy explained that in 2006/07 the CSF began a three-year transportation review designed to improve the CSF's system by moving from door-to-door service to central pick-up points. In the first year of the review, the CSF engaged Mr. Grittner to use a software programme to set optimum bus routes. At the start of the second year of the review, on August 19, 2007, the CSF issued a bulletin to parents explaining the CSF's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1629</w:t>
      </w:r>
      <w:r>
        <w:rPr>
          <w:rFonts w:ascii="arial" w:eastAsia="arial" w:hAnsi="arial" w:cs="arial"/>
          <w:color w:val="000000"/>
          <w:sz w:val="20"/>
          <w:lang w:val="en-US" w:eastAsia="en-US" w:bidi="ar-SA"/>
        </w:rPr>
        <w:t>  Mr. Bonnefoy also signaled that the CSF would be developing new policy and regulations in connection with bus routes in the future. In 2009, Mr. Allison and Mr. Bonnefoy revised the CSF's previous transportation policy and officially moved to a group pick-up point policy. In July 2009, the CSF sent a letter to parents informing them of the policy change, which would take effect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1630</w:t>
      </w:r>
      <w:r>
        <w:rPr>
          <w:rFonts w:ascii="arial" w:eastAsia="arial" w:hAnsi="arial" w:cs="arial"/>
          <w:color w:val="000000"/>
          <w:sz w:val="20"/>
          <w:lang w:val="en-US" w:eastAsia="en-US" w:bidi="ar-SA"/>
        </w:rPr>
        <w:t>  Once the new school year was underway, the CSF received many phone calls and questions from parents. Mr. Grittner confirmed that because the policy was implemented when school was not in session there was no way to ensure that all parents were informed of the changes. He thought that if the policy had been completed sooner, the CSF would have had fewer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1631</w:t>
      </w:r>
      <w:r>
        <w:rPr>
          <w:rFonts w:ascii="arial" w:eastAsia="arial" w:hAnsi="arial" w:cs="arial"/>
          <w:color w:val="000000"/>
          <w:sz w:val="20"/>
          <w:lang w:val="en-US" w:eastAsia="en-US" w:bidi="ar-SA"/>
        </w:rPr>
        <w:t>  As a result of the timing issues, in September 2009, the CSF sent another letter to parents, prepared by Mr. Grittner, which acknowledged that the CSF's communications about the new policy had "not been adequate in helping parents understand the changes contemplated by the new transportation policy". Mr. Grittner then responded to common parent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1632</w:t>
      </w:r>
      <w:r>
        <w:rPr>
          <w:rFonts w:ascii="arial" w:eastAsia="arial" w:hAnsi="arial" w:cs="arial"/>
          <w:color w:val="000000"/>
          <w:sz w:val="20"/>
          <w:lang w:val="en-US" w:eastAsia="en-US" w:bidi="ar-SA"/>
        </w:rPr>
        <w:t>  Mr. Allison assisted with responses to parent queries. He told the Court that minimal complaints related to the walking zones. In his view, parents' primary complaints related rules around drop-offs at a secondary address (like a daycare) in the afternoon. Mr. Grittner's evidence was that by 2010, most parent complaints related to bus travel times in instances where a route that had previously operated as two small routes had been merged into one longer route with a larger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1633</w:t>
      </w:r>
      <w:r>
        <w:rPr>
          <w:rFonts w:ascii="arial" w:eastAsia="arial" w:hAnsi="arial" w:cs="arial"/>
          <w:color w:val="000000"/>
          <w:sz w:val="20"/>
          <w:lang w:val="en-US" w:eastAsia="en-US" w:bidi="ar-SA"/>
        </w:rPr>
        <w:t>  Mr. Grittner's evidence was that by January 2011, he had formed the view that the 2009 Transportation Policy had been implemented well. There were no "hot spots" of problems, and the complaints about ride times, walk to stop distances and stop locations were minimal. There were very few issues in two or three locations across the Province. The 2009 Transportation Policy had been more difficult to implement where there was a history of door-to-door service. He confirmed that 95% of his problem-solving time was spent on 5% of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1634</w:t>
      </w:r>
      <w:r>
        <w:rPr>
          <w:rFonts w:ascii="arial" w:eastAsia="arial" w:hAnsi="arial" w:cs="arial"/>
          <w:color w:val="000000"/>
          <w:sz w:val="20"/>
          <w:lang w:val="en-US" w:eastAsia="en-US" w:bidi="ar-SA"/>
        </w:rPr>
        <w:t>  With the 2009 Transportation Policy, the CSF also introduced the idea of Transportation Zones limiting the area in which the CSF will provide transportation, making the overall system more efficient. Mr. Allison decides whether a Transportation Zone will extend to a certain area based on whether there are "a lot of kids living in a certain area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1635</w:t>
      </w:r>
      <w:r>
        <w:rPr>
          <w:rFonts w:ascii="arial" w:eastAsia="arial" w:hAnsi="arial" w:cs="arial"/>
          <w:color w:val="000000"/>
          <w:sz w:val="20"/>
          <w:lang w:val="en-US" w:eastAsia="en-US" w:bidi="ar-SA"/>
        </w:rPr>
        <w:t>  The CSF has deviated from its 2009 Transportation Policy in a very small number of cases. In September 2010, one parent with three children attending École L'Anse-au-Sable (Kelowna) complained that the central pick-up point was a long distance from the family's home outside Kelowna. The parents threatened to withdraw their children unless the students were dropped off closer to home. Mr. Allison agreed to extend the route to the students' home because the stop was last on the route and would not affect other students. Also, he considered that those students earned the CSF $30,000 in operating funding. Notably, even though Mr. Allison wrote in a contemporaneous email to Mr. Grittner that his decision was based on the funding the CSF received for those students, while he was under cross-examination he became very evasive and refused to say that the funding was the most important reason for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1636</w:t>
      </w:r>
      <w:r>
        <w:rPr>
          <w:rFonts w:ascii="arial" w:eastAsia="arial" w:hAnsi="arial" w:cs="arial"/>
          <w:color w:val="000000"/>
          <w:sz w:val="20"/>
          <w:lang w:val="en-US" w:eastAsia="en-US" w:bidi="ar-SA"/>
        </w:rPr>
        <w:t>  Mr. Grittner explained that the CSF has also been gradually moving from operating small buses (seating between 20 to 24 passengers) to medium buses (seating 25 to 30 passengers) and large buses (seating between 31 and 72 passengers, depending on passenger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1637</w:t>
      </w:r>
      <w:r>
        <w:rPr>
          <w:rFonts w:ascii="arial" w:eastAsia="arial" w:hAnsi="arial" w:cs="arial"/>
          <w:color w:val="000000"/>
          <w:sz w:val="20"/>
          <w:lang w:val="en-US" w:eastAsia="en-US" w:bidi="ar-SA"/>
        </w:rPr>
        <w:t>  Mr. Grittner acknowledged there is no significant difference between the operating costs for small, medium and large buses. However, using more larger buses can reduce the cost of a transportation system because they allow more students to travel on a single bus route. That has the effect of reducing the number of buses required across the system. He confirmed that was the case in both urban and rural areas. On the other hand, large school buses also result in longer bus ride times for students picked up early on the route, who must travel while the bus picks up the remaining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1638</w:t>
      </w:r>
      <w:r>
        <w:rPr>
          <w:rFonts w:ascii="arial" w:eastAsia="arial" w:hAnsi="arial" w:cs="arial"/>
          <w:color w:val="000000"/>
          <w:sz w:val="20"/>
          <w:lang w:val="en-US" w:eastAsia="en-US" w:bidi="ar-SA"/>
        </w:rPr>
        <w:t>  Mr. Grittner recalled that when he began working with the CSF in 2006, it operated mostly small- and medium-sized buses, which are better suited to providing door-to-door transportation services in residential neighbourhoods. As the CSF implemented the 2009 Transportation Policy, it began to use larger buses to improve efficiencies and to accommodate increasing enrolment. Mr. Grittner gave the example of a change in the number of buses in Prince George from eight small buses to four large buses, resulting in annual net cost savings of $162,850. He also decreased transportation costs in Kamloops by $43,444 by moving from three smaller to two larger buses.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1639</w:t>
      </w:r>
      <w:r>
        <w:rPr>
          <w:rFonts w:ascii="arial" w:eastAsia="arial" w:hAnsi="arial" w:cs="arial"/>
          <w:color w:val="000000"/>
          <w:sz w:val="20"/>
          <w:lang w:val="en-US" w:eastAsia="en-US" w:bidi="ar-SA"/>
        </w:rPr>
        <w:t>  Mr. Grittner manages the CSF's third-party bus service provider bidding process. Starting in 2006, he began synchronizing the expiration dates of all the CSF's transportation contracts so he could group service areas together for bidding purposes, and generate more economical bids. The synchronization process was complete by 2011/12, and applied to bids for the 2012/13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1640</w:t>
      </w:r>
      <w:r>
        <w:rPr>
          <w:rFonts w:ascii="arial" w:eastAsia="arial" w:hAnsi="arial" w:cs="arial"/>
          <w:color w:val="000000"/>
          <w:sz w:val="20"/>
          <w:lang w:val="en-US" w:eastAsia="en-US" w:bidi="ar-SA"/>
        </w:rPr>
        <w:t>  Mr. Grittner confirmed that the group tendering process allowed the CSF to negotiate lower prices for buses, generating savings of about $250,000 in 2012/13 over 2011/12. This led to a significant decrease in the overall cost of the CSF's bus transportation service.</w:t>
      </w:r>
      <w:r>
        <w:rPr>
          <w:rFonts w:ascii="arial" w:eastAsia="arial" w:hAnsi="arial" w:cs="arial"/>
          <w:sz w:val="20"/>
          <w:lang w:val="en-US" w:eastAsia="en-US" w:bidi="ar-SA"/>
        </w:rPr>
        <w:cr/>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2012: Student Location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1641</w:t>
      </w:r>
      <w:r>
        <w:rPr>
          <w:rFonts w:ascii="arial" w:eastAsia="arial" w:hAnsi="arial" w:cs="arial"/>
          <w:color w:val="000000"/>
          <w:sz w:val="20"/>
          <w:lang w:val="en-US" w:eastAsia="en-US" w:bidi="ar-SA"/>
        </w:rPr>
        <w:t>  Although the Ministry initially carried the Supplement for Transportation and Housing forward into the Enrolment-Based Funding Model, it always planned to replace it with an enrolment-based factor. Beginning in about 2005, the Technical Review Committee proposed a formula based on the location of students' homes in relation to local schools. Ultimately, the Ministry implemented the Student Location Factor, which is based on population density.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 The Student Location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1642</w:t>
      </w:r>
      <w:r>
        <w:rPr>
          <w:rFonts w:ascii="arial" w:eastAsia="arial" w:hAnsi="arial" w:cs="arial"/>
          <w:color w:val="000000"/>
          <w:sz w:val="20"/>
          <w:lang w:val="en-US" w:eastAsia="en-US" w:bidi="ar-SA"/>
        </w:rPr>
        <w:t>  Since the Ministry always intended to replace the Supplement for Transportation and Housing, the 2003/04 Operating Grants Manual included a note that the Supplement for Transportation and Housing was under review, and new guidelines would be in place for 2005/06. As the work proved more onerous than expected, the 2004/05 Operating Grants Manual moved the implementation date forward by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1643</w:t>
      </w:r>
      <w:r>
        <w:rPr>
          <w:rFonts w:ascii="arial" w:eastAsia="arial" w:hAnsi="arial" w:cs="arial"/>
          <w:color w:val="000000"/>
          <w:sz w:val="20"/>
          <w:lang w:val="en-US" w:eastAsia="en-US" w:bidi="ar-SA"/>
        </w:rPr>
        <w:t>  The 2005/06 Operating Grants Manual referenced a proposed revised formula for transportation based on student and school location (the "2005 Location Supplement Proposal"). The 2005 Location Supplement Proposal would allocate funding based on a number of components: home-to-school distances, student dispersion, weighting for road surfaces, weighting for winter weather conditions, funding amounts for special needs students and a capital component for the purchase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1644</w:t>
      </w:r>
      <w:r>
        <w:rPr>
          <w:rFonts w:ascii="arial" w:eastAsia="arial" w:hAnsi="arial" w:cs="arial"/>
          <w:color w:val="000000"/>
          <w:sz w:val="20"/>
          <w:lang w:val="en-US" w:eastAsia="en-US" w:bidi="ar-SA"/>
        </w:rPr>
        <w:t>  As of the 2005/06 Operating Grants Manual, the new formula was scheduled for implementation in 2007/08. However, with the 2006/07 Operating Grants Manual, the implementation schedule was pushed forward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1645</w:t>
      </w:r>
      <w:r>
        <w:rPr>
          <w:rFonts w:ascii="arial" w:eastAsia="arial" w:hAnsi="arial" w:cs="arial"/>
          <w:color w:val="000000"/>
          <w:sz w:val="20"/>
          <w:lang w:val="en-US" w:eastAsia="en-US" w:bidi="ar-SA"/>
        </w:rPr>
        <w:t>  The proposed formula required the Ministry to gather information about the distance between students' homes and the nearest school. The Technical Review Committee initiated a pilot project to test the data collection process. Mr. Lebrun's experience was that the pilot project revealed that collecting data for the 2005 Location Supplement Proposal would be incredibly data-intensive due to the need to compile and submit student addresses to the Ministry. Additionally, the Ministry lacked the staff time and expertise to calculate home-to-school distances for every student. As a result, the Ministry did not move ahead with a change to the Supplement for Transportation and Housing at that time. Mr. Miller's evidence confirmed Mr. Lebrun's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1646</w:t>
      </w:r>
      <w:r>
        <w:rPr>
          <w:rFonts w:ascii="arial" w:eastAsia="arial" w:hAnsi="arial" w:cs="arial"/>
          <w:color w:val="000000"/>
          <w:sz w:val="20"/>
          <w:lang w:val="en-US" w:eastAsia="en-US" w:bidi="ar-SA"/>
        </w:rPr>
        <w:t>  By the time of the 2007/08 Operating Grants Manual, the Ministry had abandoned the 2005 Location Supplement Proposal, and made no mention of any plan to replace the Supplement for Transportation and Housing. The plan was put on hiatus from 2007/08 through 2010/11. Through that time, funding for the Supplement for Transportation and Housing remained frozen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1647</w:t>
      </w:r>
      <w:r>
        <w:rPr>
          <w:rFonts w:ascii="arial" w:eastAsia="arial" w:hAnsi="arial" w:cs="arial"/>
          <w:color w:val="000000"/>
          <w:sz w:val="20"/>
          <w:lang w:val="en-US" w:eastAsia="en-US" w:bidi="ar-SA"/>
        </w:rPr>
        <w:t>  The 2012/13 Operating Grants Manual eliminates reference to the Supplement for Transportation and Housing and introduces two new Unique District Factors: the Student Location Factor and Supplemental Student Location Factor. Mr. Lebrun advised that he developed those supplements with a view to capturing student-to-school distances without inconveniencing school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1648</w:t>
      </w:r>
      <w:r>
        <w:rPr>
          <w:rFonts w:ascii="arial" w:eastAsia="arial" w:hAnsi="arial" w:cs="arial"/>
          <w:color w:val="000000"/>
          <w:sz w:val="20"/>
          <w:lang w:val="en-US" w:eastAsia="en-US" w:bidi="ar-SA"/>
        </w:rPr>
        <w:t>  Mr. Miller explained that the Student Location Factor provides an amount per student that is weighted based on school-age population density. Districts with lower density receive more funding than those with high density to recognize the increased costs associated with delivering education to a highly dispersed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1649</w:t>
      </w:r>
      <w:r>
        <w:rPr>
          <w:rFonts w:ascii="arial" w:eastAsia="arial" w:hAnsi="arial" w:cs="arial"/>
          <w:color w:val="000000"/>
          <w:sz w:val="20"/>
          <w:lang w:val="en-US" w:eastAsia="en-US" w:bidi="ar-SA"/>
        </w:rPr>
        <w:t>  The Ministry begins its analysis with "community clusters" representing communities within districts. Wherever more than five kilometres separate elementary schools in a district or more than 25 kilometres separate secondary schools, the Ministry treats the cluster of schools at distance from others as a separate community. The Ministry then determines the density of the community cluster using census data. According to Mr. Miller, the Ministry is interested in density as a proxy for home-to-school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1650</w:t>
      </w:r>
      <w:r>
        <w:rPr>
          <w:rFonts w:ascii="arial" w:eastAsia="arial" w:hAnsi="arial" w:cs="arial"/>
          <w:color w:val="000000"/>
          <w:sz w:val="20"/>
          <w:lang w:val="en-US" w:eastAsia="en-US" w:bidi="ar-SA"/>
        </w:rPr>
        <w:t>  The Ministry weights enrolment in each community cluster based on population density and whether the regional centre or a district is eligible for a rural index or small community supplement. Subject to some exceptions, districts are provided a dollar amount for every weighted elementary and secondary FTE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1651</w:t>
      </w:r>
      <w:r>
        <w:rPr>
          <w:rFonts w:ascii="arial" w:eastAsia="arial" w:hAnsi="arial" w:cs="arial"/>
          <w:color w:val="000000"/>
          <w:sz w:val="20"/>
          <w:lang w:val="en-US" w:eastAsia="en-US" w:bidi="ar-SA"/>
        </w:rPr>
        <w:t>  The weighting of every student based on population density and eligibility for the rural index and small community supplement is set out in the following table: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4" type="#_x0000_t75" style="width:432.06pt;height:150.02pt">
            <v:imagedata r:id="rId41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1652</w:t>
      </w:r>
      <w:r>
        <w:rPr>
          <w:rFonts w:ascii="arial" w:eastAsia="arial" w:hAnsi="arial" w:cs="arial"/>
          <w:color w:val="000000"/>
          <w:sz w:val="20"/>
          <w:lang w:val="en-US" w:eastAsia="en-US" w:bidi="ar-SA"/>
        </w:rPr>
        <w:t>  Mr. Miller acknowledged that weighting enrolment based on density has a significant impact on funding that districts receive pursuant to the Student Location Factor. With weights ranging from 0.02 to 4, weighting can affect funding by a factor of 200. Where only one of the rural index or small community supplement applies ((1) or (2)), population density alone affects the weighting of the funds received by a factor of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1653</w:t>
      </w:r>
      <w:r>
        <w:rPr>
          <w:rFonts w:ascii="arial" w:eastAsia="arial" w:hAnsi="arial" w:cs="arial"/>
          <w:color w:val="000000"/>
          <w:sz w:val="20"/>
          <w:lang w:val="en-US" w:eastAsia="en-US" w:bidi="ar-SA"/>
        </w:rPr>
        <w:t>  The Ministry introduced two other factors along with the Student Location Factors. The Supplemental Student Location Factor provides districts with additional funding for every special needs student in the district. The Ministry also created a temporary three-year Student Location Factor Transition Supplement to assist districts experiencing an unexpected drop in their transportation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1654</w:t>
      </w:r>
      <w:r>
        <w:rPr>
          <w:rFonts w:ascii="arial" w:eastAsia="arial" w:hAnsi="arial" w:cs="arial"/>
          <w:color w:val="000000"/>
          <w:sz w:val="20"/>
          <w:lang w:val="en-US" w:eastAsia="en-US" w:bidi="ar-SA"/>
        </w:rPr>
        <w:t>  When the new factors were introduced, the Ministry continued to work with the funding envelope that it already had for the Supplement for Transportation and Housing, in addition to about $15 million in new funds intended to "benchmark" the supplement to the actual transportation costs reported by districts. In 2012/13, the Ministry allocated a total of $78,856,925 to districts pursuant to the Student Location Factor. That made it the single largest allocation out of all the Unique District Factors. The Ministry allocated districts a further $19,435,000 pursuant to the Supplemental Student Location Factor, and $3,965,587 in transitional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1655</w:t>
      </w:r>
      <w:r>
        <w:rPr>
          <w:rFonts w:ascii="arial" w:eastAsia="arial" w:hAnsi="arial" w:cs="arial"/>
          <w:color w:val="000000"/>
          <w:sz w:val="20"/>
          <w:lang w:val="en-US" w:eastAsia="en-US" w:bidi="ar-SA"/>
        </w:rPr>
        <w:t>  Mr. Miller's evidence was that, like the other supplements in the Operating Block, the Ministry takes the view that individual school districts can decide how to spend funds allocated by the Student Location Factor, and whether to spend those funds on transportation. According to Mr. Miller, school districts provide transportation services as their discretion; the student location factor amount does not vary based on service level or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ii. The Student Location Factor and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1656</w:t>
      </w:r>
      <w:r>
        <w:rPr>
          <w:rFonts w:ascii="arial" w:eastAsia="arial" w:hAnsi="arial" w:cs="arial"/>
          <w:color w:val="000000"/>
          <w:sz w:val="20"/>
          <w:lang w:val="en-US" w:eastAsia="en-US" w:bidi="ar-SA"/>
        </w:rPr>
        <w:t>  Mr. Lebrun confirmed that when the Ministry calculated the Student Location Factor for the CSF, it became clear that the formula generated less funding for the CSF than it had received previously pursuant to the Supplement for Transportation and Housing. To account for this, the Technical Review Committee decided to multiply the CSF's allocation by some factor to increase the CSF's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1657</w:t>
      </w:r>
      <w:r>
        <w:rPr>
          <w:rFonts w:ascii="arial" w:eastAsia="arial" w:hAnsi="arial" w:cs="arial"/>
          <w:color w:val="000000"/>
          <w:sz w:val="20"/>
          <w:lang w:val="en-US" w:eastAsia="en-US" w:bidi="ar-SA"/>
        </w:rPr>
        <w:t>  As a result, the Student Location Factor is calculated differently for the CSF than it is for other districts. After the Ministry calculates the CSF's Student Location Factor allocation, the Ministry multiplies the result by five to recognize the CSF's unique circumstances and the fact that it has a highly dispersed population. This additional step is not performed for any other school district; it is a modification unique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1658</w:t>
      </w:r>
      <w:r>
        <w:rPr>
          <w:rFonts w:ascii="arial" w:eastAsia="arial" w:hAnsi="arial" w:cs="arial"/>
          <w:color w:val="000000"/>
          <w:sz w:val="20"/>
          <w:lang w:val="en-US" w:eastAsia="en-US" w:bidi="ar-SA"/>
        </w:rPr>
        <w:t>  Since the Student Location Factor is otherwise calculated the same for the CSF as it is for other districts, Mr. Miller believed that it is not based on the density of school-aged students eligible to attend a CSF school; it is based on overall population density. This has the effect of overstating the density of students eligible to attend CSF schools. For example, funding for the CSF's enrolment in Vancouver was weighted by 0.04 based on the City of Vancouver's overall population density of about 658 children per square kilometre. Mr. Miller agreed that since only a portion of those students are eligible to attend CSF schools, it is fair to say that the density of students eligible to attend CSF schools is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1659</w:t>
      </w:r>
      <w:r>
        <w:rPr>
          <w:rFonts w:ascii="arial" w:eastAsia="arial" w:hAnsi="arial" w:cs="arial"/>
          <w:color w:val="000000"/>
          <w:sz w:val="20"/>
          <w:lang w:val="en-US" w:eastAsia="en-US" w:bidi="ar-SA"/>
        </w:rPr>
        <w:t>  Mr. Miller confirmed that the Ministry has never calculated the population density of students eligible to attend CSF schools. While Mr. Lebrun was under cross-examination, he advised that the Technical Review Committee did not consider assigning different density values to the CSF's community clusters.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1660</w:t>
      </w:r>
      <w:r>
        <w:rPr>
          <w:rFonts w:ascii="arial" w:eastAsia="arial" w:hAnsi="arial" w:cs="arial"/>
          <w:color w:val="000000"/>
          <w:sz w:val="20"/>
          <w:lang w:val="en-US" w:eastAsia="en-US" w:bidi="ar-SA"/>
        </w:rPr>
        <w:t>  Under the new factors, in 2012/13, the CSF received $3,829,925 for the Student Location Factor, and a further $84,000 for the Supplemental Student Location Factor, for a total of $3,913,925. That represented an increase of $425,627 over the $3,488,298 the CSF received in 2011/12: an increase of about 12%.</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Consultations with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1661</w:t>
      </w:r>
      <w:r>
        <w:rPr>
          <w:rFonts w:ascii="arial" w:eastAsia="arial" w:hAnsi="arial" w:cs="arial"/>
          <w:color w:val="000000"/>
          <w:sz w:val="20"/>
          <w:lang w:val="en-US" w:eastAsia="en-US" w:bidi="ar-SA"/>
        </w:rPr>
        <w:t>  The Technical Review Committee was responsible for determining how to incorporate the Supplement for Transportation and Housing into the Enrolment-Based Funding Model. The CSF has never had formal representation on the Technical Review Committee. Nor could Mr. Lebrun remember the CSF appearing before the Technical Review Committee to make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1662</w:t>
      </w:r>
      <w:r>
        <w:rPr>
          <w:rFonts w:ascii="arial" w:eastAsia="arial" w:hAnsi="arial" w:cs="arial"/>
          <w:color w:val="000000"/>
          <w:sz w:val="20"/>
          <w:lang w:val="en-US" w:eastAsia="en-US" w:bidi="ar-SA"/>
        </w:rPr>
        <w:t>  In October 2003, Mr. Miller responded to a request by the CSF to participate on the Technical Review Committee. He suggested that the CSF contact the BCSTA and the BCASBO and seek representation through those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1663</w:t>
      </w:r>
      <w:r>
        <w:rPr>
          <w:rFonts w:ascii="arial" w:eastAsia="arial" w:hAnsi="arial" w:cs="arial"/>
          <w:color w:val="000000"/>
          <w:sz w:val="20"/>
          <w:lang w:val="en-US" w:eastAsia="en-US" w:bidi="ar-SA"/>
        </w:rPr>
        <w:t>  Mr. Bonnefoy sought to make representations on transportation to the Technical Review Committee again in September 2004, with a goal of dispelling a myth that the CSF offered "Cadillac" bus transportation services. However, he was not invited to comment. Notably, he did not seek formal representation on the committee through BCASBO, even though he was a member of that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1664</w:t>
      </w:r>
      <w:r>
        <w:rPr>
          <w:rFonts w:ascii="arial" w:eastAsia="arial" w:hAnsi="arial" w:cs="arial"/>
          <w:color w:val="000000"/>
          <w:sz w:val="20"/>
          <w:lang w:val="en-US" w:eastAsia="en-US" w:bidi="ar-SA"/>
        </w:rPr>
        <w:t>  Although the CSF was not formally represented on the committee, Mr. Stewart recounted that he and Mr. Miller, who participated in the Technical Review Committee, ensured that the committee considered the interests of districts not directly represented, including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1665</w:t>
      </w:r>
      <w:r>
        <w:rPr>
          <w:rFonts w:ascii="arial" w:eastAsia="arial" w:hAnsi="arial" w:cs="arial"/>
          <w:color w:val="000000"/>
          <w:sz w:val="20"/>
          <w:lang w:val="en-US" w:eastAsia="en-US" w:bidi="ar-SA"/>
        </w:rPr>
        <w:t>  In 2004, the Technical Review Committee began its pilot project to collect data for the 2005 Location Supplement Proposal. Mr. Lebrun explained that the pilot project used a sample of seven school districts. Some districts were included in the pilot project because they had relatively sophisticated data to contribute. Most were included because they had representatives sitting on the Technical Review Committee. The CSF was not included in the Pilot Project. Mr. Lebrun's evidence was that no member of the Technical Review Committee suggested including the CSF in the case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1666</w:t>
      </w:r>
      <w:r>
        <w:rPr>
          <w:rFonts w:ascii="arial" w:eastAsia="arial" w:hAnsi="arial" w:cs="arial"/>
          <w:color w:val="000000"/>
          <w:sz w:val="20"/>
          <w:lang w:val="en-US" w:eastAsia="en-US" w:bidi="ar-SA"/>
        </w:rPr>
        <w:t>  There is one reference to the CSF in the Technical Review Committee's Terms of Reference for 2005. That year, the Technical Review Committee was tasked with providing advice regarding funding adjustments for the CSF. However, Mr. Lebrun could not remember any work being done by the committee on that question. Further, in its discussions on the topic, Mr. Lebrun could not recall whether the Technical Review Committee noted whether the CSF's transportation expenditures were in line with its transportation revenues, or how the proposed funding formula would impact the CSF's level of transportation funding. Mr. Lebrun could not recall whether the Technical Review Committee discussed how the formula would apply to the CSF given that it had both urban and rural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1667</w:t>
      </w:r>
      <w:r>
        <w:rPr>
          <w:rFonts w:ascii="arial" w:eastAsia="arial" w:hAnsi="arial" w:cs="arial"/>
          <w:color w:val="000000"/>
          <w:sz w:val="20"/>
          <w:lang w:val="en-US" w:eastAsia="en-US" w:bidi="ar-SA"/>
        </w:rPr>
        <w:t>  Although the CSF was not specifically discussed at the Technical Review Committee, deliberations by Ministry Staff around the 15% Francophone Supplement reveal that staff expected that the new formula would result in significant benefits to the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1668</w:t>
      </w:r>
      <w:r>
        <w:rPr>
          <w:rFonts w:ascii="arial" w:eastAsia="arial" w:hAnsi="arial" w:cs="arial"/>
          <w:color w:val="000000"/>
          <w:sz w:val="20"/>
          <w:lang w:val="en-US" w:eastAsia="en-US" w:bidi="ar-SA"/>
        </w:rPr>
        <w:t>  In about October 2009, Mr. Lebrun presented the Technical Review Committee with the idea of the Student Location Factor. At that time, and through December 2009, the formula was similar to what was eventually implemented, although the precise weighting figures were not finalized. Members of the committee agreed in principle to the new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1669</w:t>
      </w:r>
      <w:r>
        <w:rPr>
          <w:rFonts w:ascii="arial" w:eastAsia="arial" w:hAnsi="arial" w:cs="arial"/>
          <w:color w:val="000000"/>
          <w:sz w:val="20"/>
          <w:lang w:val="en-US" w:eastAsia="en-US" w:bidi="ar-SA"/>
        </w:rPr>
        <w:t>  Based on comments from the Technical Review Committee, Mr. Lebrun revised the weighting formulae, and gave members information to explain some of the outliers that would see large variations in their transportation funding. In accordance with usual practice, the Technical Review Committee did not inform those outliers of its proposals, nor were they invited to make representations; the members of the Technical Review Committee were expected to represent all districts. Thus, the CSF was not invited to comment on the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1670</w:t>
      </w:r>
      <w:r>
        <w:rPr>
          <w:rFonts w:ascii="arial" w:eastAsia="arial" w:hAnsi="arial" w:cs="arial"/>
          <w:color w:val="000000"/>
          <w:sz w:val="20"/>
          <w:lang w:val="en-US" w:eastAsia="en-US" w:bidi="ar-SA"/>
        </w:rPr>
        <w:t>  Minutes of the Technical Review Committee's deliberations about the Student Location Factor in the fall of 2009 refer to the CSF. Someone on the committee directed Mr. Lebrun that there must be an adjustment to the formula to provide additional recognition for the CSF, although Mr. Lebrun could not recall who. He confirmed that the idea of multiplying the results of the formula by some factor arose at the Ministry level; he could not recall the committee discussing how large or small that factor should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1671</w:t>
      </w:r>
      <w:r>
        <w:rPr>
          <w:rFonts w:ascii="arial" w:eastAsia="arial" w:hAnsi="arial" w:cs="arial"/>
          <w:color w:val="000000"/>
          <w:sz w:val="20"/>
          <w:lang w:val="en-US" w:eastAsia="en-US" w:bidi="ar-SA"/>
        </w:rPr>
        <w:t>  Overall, the Technical Review Committee did not spend much time-- if any-- specifically considering how the Student Location Factor would apply to the CSF. They did not spend much time considering how the factor would apply to any districts: they were focused on the bigger picture.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3. Alleged Transportation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1672</w:t>
      </w:r>
      <w:r>
        <w:rPr>
          <w:rFonts w:ascii="arial" w:eastAsia="arial" w:hAnsi="arial" w:cs="arial"/>
          <w:color w:val="000000"/>
          <w:sz w:val="20"/>
          <w:lang w:val="en-US" w:eastAsia="en-US" w:bidi="ar-SA"/>
        </w:rPr>
        <w:t>  The plaintiffs prepared a chart detailing the CSF's transportation costs and funding received in each year between 2001/02 and 2014/15. They use that table to argue that the CSF has incurred a substantial transportation deficit. The defendants take issue with many aspects of that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1673</w:t>
      </w:r>
      <w:r>
        <w:rPr>
          <w:rFonts w:ascii="arial" w:eastAsia="arial" w:hAnsi="arial" w:cs="arial"/>
          <w:color w:val="000000"/>
          <w:sz w:val="20"/>
          <w:lang w:val="en-US" w:eastAsia="en-US" w:bidi="ar-SA"/>
        </w:rPr>
        <w:t>  The plaintiffs arrive at a total spent on transportation and housing by adding CSF costs in several categories: total amounts paid to third-party and majority-district bus providers; amounts spent compensating parents for driving their children to school; expenditures for housing students attending secondary school outside their community in past years; and the salaries of district-level transportation and housing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1674</w:t>
      </w:r>
      <w:r>
        <w:rPr>
          <w:rFonts w:ascii="arial" w:eastAsia="arial" w:hAnsi="arial" w:cs="arial"/>
          <w:color w:val="000000"/>
          <w:sz w:val="20"/>
          <w:lang w:val="en-US" w:eastAsia="en-US" w:bidi="ar-SA"/>
        </w:rPr>
        <w:t>  The defendants say that the amounts spent compensating parents for transporting children to school is not a proper transportation cost because the CSF is effectively funding transportation to communities where the numbers are too small to warrant instruction. The defendants also say it is not appropriate to include salaries of transportation and housing personnel in the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1675</w:t>
      </w:r>
      <w:r>
        <w:rPr>
          <w:rFonts w:ascii="arial" w:eastAsia="arial" w:hAnsi="arial" w:cs="arial"/>
          <w:color w:val="000000"/>
          <w:sz w:val="20"/>
          <w:lang w:val="en-US" w:eastAsia="en-US" w:bidi="ar-SA"/>
        </w:rPr>
        <w:t>  I do not consider that it is inappropriate to include amounts spent compensating parents in the CSF's overall transportation costs. The CSF bases its compensation programme on a Ministry formula that was in place under the Resource-Cost Funding Model for compensating parents who transport their children to school in rural areas. It is within the CSF's right to management and control to decide to transport students to larger schools rather than providing them with limited instruction due to low numbers. The CSF may decide that it is most cost-effective to rely on parents to provide transportation services. The personnel amounts, however, are the costs associated with district-level school board staff that administer the CSF's transportation services. Those amounts are included in a different Ministry budget reporting category, and should not be included in the CSF's 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1676</w:t>
      </w:r>
      <w:r>
        <w:rPr>
          <w:rFonts w:ascii="arial" w:eastAsia="arial" w:hAnsi="arial" w:cs="arial"/>
          <w:color w:val="000000"/>
          <w:sz w:val="20"/>
          <w:lang w:val="en-US" w:eastAsia="en-US" w:bidi="ar-SA"/>
        </w:rPr>
        <w:t>  The plaintiffs go on to calculate the CSF's shortfall for transportation funding in every year of the CSF's existence. The CSF deducts its total expenditures from the amount the CSF received pursuant to the Supplement for Transportation and Housing or the Student Location Factor and Supplemental Student Location Factor. To account for the 15% Francophone Supplement, the CSF also adds 15% to the Supplement for Transportation and Housing in every year after 2007/08.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1677</w:t>
      </w:r>
      <w:r>
        <w:rPr>
          <w:rFonts w:ascii="arial" w:eastAsia="arial" w:hAnsi="arial" w:cs="arial"/>
          <w:color w:val="000000"/>
          <w:sz w:val="20"/>
          <w:lang w:val="en-US" w:eastAsia="en-US" w:bidi="ar-SA"/>
        </w:rPr>
        <w:t>  The plaintiffs' method for dealing with the 15% Francophone Supplement is erroneous. It is based on the idea that the only funding the CSF could use on transportation and housing came from that supplement and the portion of the 15% increase that arose out of that supplement. However, the CSF receives a 15% premium on every aspect of its funding. Some aspects of its operating grant are not specifically related to language and culture; the 15% premium on those amounts was intended to be spent on matters detailed in the CSF's Funding Requirements Request. The CSF may spend all of the supplement on matters going to language and culture-- including transportation-- at its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1678</w:t>
      </w:r>
      <w:r>
        <w:rPr>
          <w:rFonts w:ascii="arial" w:eastAsia="arial" w:hAnsi="arial" w:cs="arial"/>
          <w:color w:val="000000"/>
          <w:sz w:val="20"/>
          <w:lang w:val="en-US" w:eastAsia="en-US" w:bidi="ar-SA"/>
        </w:rPr>
        <w:t>  I conclude that it is more appropriate to calculate the CSF's overall available funding for transportation by including a proportion of the 15% Francophone Supplement. The question is what proportion to include. The CSF spends about 10% of its operating budget on transportation; it is appropriate to add at least 10% of the amount received pursuant to the 15% Francophone Supplement to the CSF's transportation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1679</w:t>
      </w:r>
      <w:r>
        <w:rPr>
          <w:rFonts w:ascii="arial" w:eastAsia="arial" w:hAnsi="arial" w:cs="arial"/>
          <w:color w:val="000000"/>
          <w:sz w:val="20"/>
          <w:lang w:val="en-US" w:eastAsia="en-US" w:bidi="ar-SA"/>
        </w:rPr>
        <w:t>  In the Funding Requirements Request, the CSF's plans for transportation amounted to about 20% of the CSF's requested $9 million per year. The planned transportation programme amounted to about 30% of the non-duplicative programmes that the Ministry was prepared to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1680</w:t>
      </w:r>
      <w:r>
        <w:rPr>
          <w:rFonts w:ascii="arial" w:eastAsia="arial" w:hAnsi="arial" w:cs="arial"/>
          <w:color w:val="000000"/>
          <w:sz w:val="20"/>
          <w:lang w:val="en-US" w:eastAsia="en-US" w:bidi="ar-SA"/>
        </w:rPr>
        <w:t>  I arrive at very different accounts of the CSF's historic deficit depending on whether 10%, 20% or 30% of the CSF's 15% Francophone Supplement is included in the CSF's total transportation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1681</w:t>
      </w:r>
      <w:r>
        <w:rPr>
          <w:rFonts w:ascii="arial" w:eastAsia="arial" w:hAnsi="arial" w:cs="arial"/>
          <w:color w:val="000000"/>
          <w:sz w:val="20"/>
          <w:lang w:val="en-US" w:eastAsia="en-US" w:bidi="ar-SA"/>
        </w:rPr>
        <w:t>  When recalculating the CSF's transportation funding and spending in that way, the picture is slightly different; the CSF did not incur as substantial a deficit as it states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1682</w:t>
      </w:r>
      <w:r>
        <w:rPr>
          <w:rFonts w:ascii="arial" w:eastAsia="arial" w:hAnsi="arial" w:cs="arial"/>
          <w:color w:val="000000"/>
          <w:sz w:val="20"/>
          <w:lang w:val="en-US" w:eastAsia="en-US" w:bidi="ar-SA"/>
        </w:rPr>
        <w:t>  If 10% of the 15% Francophone Supplement is included as part of the CSF's overall transportation funding, between 2002/03 and 2011/12, when the Supplement for Transportation and Housing was frozen, the CSF incurred average annual deficits of $1.4 million, for a total cumulative deficit of about $14.2 million. In the two years that the Student Location Factor has been in place, the CSF incurred an average deficit of about $1.1 million per year, for a cumulative deficit of $2.2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1683</w:t>
      </w:r>
      <w:r>
        <w:rPr>
          <w:rFonts w:ascii="arial" w:eastAsia="arial" w:hAnsi="arial" w:cs="arial"/>
          <w:color w:val="000000"/>
          <w:sz w:val="20"/>
          <w:lang w:val="en-US" w:eastAsia="en-US" w:bidi="ar-SA"/>
        </w:rPr>
        <w:t>  If 20% of the 15% Francophone Supplement is included as part of the CSF's overall transportation funding, between 2002/03 and 2011/12, when the Supplement for Transportation and Housing was frozen, the CSF incurred average deficits of about $1 million each year, for a cumulative deficit of about $10 million. However, once the Student Location Factor came into force, the CSF incurred less than $500,000 in annual deficits. In 2013/14, its deficit would have been only about $150,000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1684</w:t>
      </w:r>
      <w:r>
        <w:rPr>
          <w:rFonts w:ascii="arial" w:eastAsia="arial" w:hAnsi="arial" w:cs="arial"/>
          <w:color w:val="000000"/>
          <w:sz w:val="20"/>
          <w:lang w:val="en-US" w:eastAsia="en-US" w:bidi="ar-SA"/>
        </w:rPr>
        <w:t>  If 30% of the 15% Francophone Supplement is included as part of the CSF's overall transportation funding, between 2002/03 and 2011/12, when the Supplement for Transportation and Housing was frozen, the CSF incurred average deficits of about $610,000 per year, for a cumulative deficit of about $6 million. Once the Student Location Factor came into force, the CSF began incurring transportation surpluses of more than $400,000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1685</w:t>
      </w:r>
      <w:r>
        <w:rPr>
          <w:rFonts w:ascii="arial" w:eastAsia="arial" w:hAnsi="arial" w:cs="arial"/>
          <w:color w:val="000000"/>
          <w:sz w:val="20"/>
          <w:lang w:val="en-US" w:eastAsia="en-US" w:bidi="ar-SA"/>
        </w:rPr>
        <w:t>  The CSF also attempts to calculate the cost per student of its transportation system to compare it to the amount it receives pursuant to the Student Location Factor and the Supplemental Student Location Factor. In doing so, the CSF leaves out all the funding it receives pursuant to the 15% Francophone Supplement. In my view, at least 10% of the 15% Francophone Supplement was meant to compensate the CSF for some of its incrementally higher transportation costs. As a result, a proportion of the amounts the CSF received pursuant to the 15% Francophone Supplement must be included in any calculation of the total funding the CSF received per student pursuant to the transportation supplement. If 10% of the 15% Francophone Supplement is included in the CSF's overall transportation supplement, while the Supplement for Transportation and Housing was frozen, the CSF incurred an average deficit of about $360 per student per year. That deficit would have been about $260 per student per year if 20% of the 15% Francophone Supplement is included, or $170 per year if 30% of the supplement is included in the CSF's transportation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1686</w:t>
      </w:r>
      <w:r>
        <w:rPr>
          <w:rFonts w:ascii="arial" w:eastAsia="arial" w:hAnsi="arial" w:cs="arial"/>
          <w:color w:val="000000"/>
          <w:sz w:val="20"/>
          <w:lang w:val="en-US" w:eastAsia="en-US" w:bidi="ar-SA"/>
        </w:rPr>
        <w:t>  Once the Student Location Factor was introduced, though, things changed for the CSF. If only 10% of the 15% Francophone Supplement in included in transportation funding, the CSF incurred average deficits of about $230 per FTE per year. If 20% of the 15% Francophone Supplement is included in transportation funding, the CSF's deficit is negligible: about $60 per student per year. If 30% of the 15% Francophone Supplement is counted as transportation funding, the CSF has in fact operated at a surplus of more than $110 per student per year since the Student Location Factor was introduced.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4.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1687</w:t>
      </w:r>
      <w:r>
        <w:rPr>
          <w:rFonts w:ascii="arial" w:eastAsia="arial" w:hAnsi="arial" w:cs="arial"/>
          <w:color w:val="000000"/>
          <w:sz w:val="20"/>
          <w:lang w:val="en-US" w:eastAsia="en-US" w:bidi="ar-SA"/>
        </w:rPr>
        <w:t>  The plaintiffs argue that the CSF has incurred a transportation deficit. The defendants have consistently taken the position that the CSF is well-funded, and has sufficient operating funds for its transportation system. The defendants also argue that the CSF's suggestion that it runs transportation "deficits" rings hollow given that the CSF has incurred substantial surpluses.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1688</w:t>
      </w:r>
      <w:r>
        <w:rPr>
          <w:rFonts w:ascii="arial" w:eastAsia="arial" w:hAnsi="arial" w:cs="arial"/>
          <w:color w:val="000000"/>
          <w:sz w:val="20"/>
          <w:lang w:val="en-US" w:eastAsia="en-US" w:bidi="ar-SA"/>
        </w:rPr>
        <w:t>  In Chapter XII, Public Funds, I find that although the Enrolment-Based Funding Model was designed to remove funding targeted to particular purposes, all of the Unique District Factors were originally designed to compensate districts for actual cost differentials. The Supplement for Transportation and Housing, while it was retained, was no different. Similarly, when the Student Location Factor was introduced, the Ministry added another $15 million to "benchmark" the pool of funds to reported 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1689</w:t>
      </w:r>
      <w:r>
        <w:rPr>
          <w:rFonts w:ascii="arial" w:eastAsia="arial" w:hAnsi="arial" w:cs="arial"/>
          <w:color w:val="000000"/>
          <w:sz w:val="20"/>
          <w:lang w:val="en-US" w:eastAsia="en-US" w:bidi="ar-SA"/>
        </w:rPr>
        <w:t>  Considering those aspects of the Enrolment-Based Funding Model that are designed to target transportation-- the Student Location Factor, the Supplemental Student Location Factor, and a portion of the CSF's 15% Francophone Supplement-- I am satisfied that the CSF did incur a transportation deficit in the period when the Supplement for Transportation and Funding was frozen.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1690</w:t>
      </w:r>
      <w:r>
        <w:rPr>
          <w:rFonts w:ascii="arial" w:eastAsia="arial" w:hAnsi="arial" w:cs="arial"/>
          <w:color w:val="000000"/>
          <w:sz w:val="20"/>
          <w:lang w:val="en-US" w:eastAsia="en-US" w:bidi="ar-SA"/>
        </w:rPr>
        <w:t>  However, in my view, the transportation deficit is not as substantial as the plaintiffs claim it is. The CSF's transportation system was cumbersome for many years. It lacked efficiency and provided an exceptionally high level of service, even taking into account the CSF's unique role as a minority language school board operating regional schools. Mr. Bonnefoy and Mr. Grittner were able to achieve considerable cost savings between 2004 and 2011. During Mr. Bonnefoy's tenure, the CSF began implementing group pick-up points where it was safe to do so instead of offering door-to-door transportation services, and made that an official policy in summer of 2009. With group pick-up points, the CSF was also able to shift to operating larger buses, which resulted in significant cost-savings. While parents were initially disappointed by the move to group pick-up points in 2009, I am satisfied that the controversy was in part caused by the way that the CSF's communicated the changes to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1691</w:t>
      </w:r>
      <w:r>
        <w:rPr>
          <w:rFonts w:ascii="arial" w:eastAsia="arial" w:hAnsi="arial" w:cs="arial"/>
          <w:color w:val="000000"/>
          <w:sz w:val="20"/>
          <w:lang w:val="en-US" w:eastAsia="en-US" w:bidi="ar-SA"/>
        </w:rPr>
        <w:t>  By 2012/13, the CSF was also able to regroup its bus tendering process into group service areas. Doing so resulted in annual cost savings of about $250,000. When that change is taken together with the move to the Student Location Factor, the CSF's transportation deficit reached a new low, and may even be showing a surplus.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1692</w:t>
      </w:r>
      <w:r>
        <w:rPr>
          <w:rFonts w:ascii="arial" w:eastAsia="arial" w:hAnsi="arial" w:cs="arial"/>
          <w:color w:val="000000"/>
          <w:sz w:val="20"/>
          <w:lang w:val="en-US" w:eastAsia="en-US" w:bidi="ar-SA"/>
        </w:rPr>
        <w:t>  I also take into account the conclusions I reach in Chapter XII, Public Funds, concerning the CSF's operating surpluses. The CSF began acquiring significant surpluses once it began receiving the 15% Francophone Supplement. Those surpluses increased until 2006/07, when the CSF began depleting them every year until 2011/12. I accept Mr. Bonnefoy's evidence that the CSF set aside funds required for its enhanced Francophone programming and then depleted it over the course of the implementation of its strategic plan. Some of those funds, though, should have been spent on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1693</w:t>
      </w:r>
      <w:r>
        <w:rPr>
          <w:rFonts w:ascii="arial" w:eastAsia="arial" w:hAnsi="arial" w:cs="arial"/>
          <w:color w:val="000000"/>
          <w:sz w:val="20"/>
          <w:lang w:val="en-US" w:eastAsia="en-US" w:bidi="ar-SA"/>
        </w:rPr>
        <w:t>  As a result, I am satisfied that the CSF has incurred a transportation deficit since 2001/02. While the Supplement for Transportation and Housing was frozen, the accumulated deficit reached somewhere between $6 million and $14 million. However, given that the CSF was operating an inefficient and overgenerous system, not all of its costs were reasonable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1694</w:t>
      </w:r>
      <w:r>
        <w:rPr>
          <w:rFonts w:ascii="arial" w:eastAsia="arial" w:hAnsi="arial" w:cs="arial"/>
          <w:color w:val="000000"/>
          <w:sz w:val="20"/>
          <w:lang w:val="en-US" w:eastAsia="en-US" w:bidi="ar-SA"/>
        </w:rPr>
        <w:t>  In any event, though, the system that exists today results in a fair outcome for the CSF. Due to the efficiencies that the CSF has created in its system and the move to the Student Location Factor, I am satisfied that the CSF is being properly indemnified for its transportation system. The CSF is being fully compensated, and is likely generating a surplus.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1695</w:t>
      </w:r>
      <w:r>
        <w:rPr>
          <w:rFonts w:ascii="arial" w:eastAsia="arial" w:hAnsi="arial" w:cs="arial"/>
          <w:color w:val="000000"/>
          <w:sz w:val="20"/>
          <w:lang w:val="en-US" w:eastAsia="en-US" w:bidi="ar-SA"/>
        </w:rPr>
        <w:t>  The plaintiffs raise three specific arguments in connection with the Ministry's transportation funding mechanism. First they say that they were disproportionately disadvantaged by the funding freeze while it was in place. They also argue that the Student Location Factor is inadequate and does not account for the CSF's actual transportation costs. Finally, they say that the Ministry did not take the CSF's needs into account when crafting the transportation funding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1696</w:t>
      </w:r>
      <w:r>
        <w:rPr>
          <w:rFonts w:ascii="arial" w:eastAsia="arial" w:hAnsi="arial" w:cs="arial"/>
          <w:color w:val="000000"/>
          <w:sz w:val="20"/>
          <w:lang w:val="en-US" w:eastAsia="en-US" w:bidi="ar-SA"/>
        </w:rPr>
        <w:t>  The plaintiffs say that the CSF was disproportionately impacted by the freeze of the Supplement for Transportation and Housing. They say that since funding was frozen at 1999/00 levels, the CSF was at a particular disadvantage when the freeze took hold. The plaintiffs also argue that the CSF's disadvantage was compounded by the enrolment growth the CSF was experiencing during the freeze. The plaintiffs say that the CSF brought its concerns about the adequacy of the Supplement for Transportation and Housing to the Ministry's attention many times, but the Ministry did not respond to the CSF's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1697</w:t>
      </w:r>
      <w:r>
        <w:rPr>
          <w:rFonts w:ascii="arial" w:eastAsia="arial" w:hAnsi="arial" w:cs="arial"/>
          <w:color w:val="000000"/>
          <w:sz w:val="20"/>
          <w:lang w:val="en-US" w:eastAsia="en-US" w:bidi="ar-SA"/>
        </w:rPr>
        <w:t>  In response, the defendants note that although the Supplement for Transportation and Housing was frozen between 2002 and 2012, the CSF's overall operating funding was increasing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1698</w:t>
      </w:r>
      <w:r>
        <w:rPr>
          <w:rFonts w:ascii="arial" w:eastAsia="arial" w:hAnsi="arial" w:cs="arial"/>
          <w:color w:val="000000"/>
          <w:sz w:val="20"/>
          <w:lang w:val="en-US" w:eastAsia="en-US" w:bidi="ar-SA"/>
        </w:rPr>
        <w:t>  The CSF's Supplement for Transportation and Housing Funding was frozen at the amount it spent on Transportation and Housing in 1999/00 between 2002/03 and 2011/12, subject to a small increase after 2010/11. In those years, the Supplement for Transportation and Housing therefore provided the CSF with between $3.4 million and $3.5 million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1699</w:t>
      </w:r>
      <w:r>
        <w:rPr>
          <w:rFonts w:ascii="arial" w:eastAsia="arial" w:hAnsi="arial" w:cs="arial"/>
          <w:color w:val="000000"/>
          <w:sz w:val="20"/>
          <w:lang w:val="en-US" w:eastAsia="en-US" w:bidi="ar-SA"/>
        </w:rPr>
        <w:t>  I find that the Ministry's Resource-Cost Funding Model fell short of meeting the CSF's reasonable transportation cost needs when the freeze was implemented. Thereafter, the CSF's enrolment grew and it opened new programmes. Its cost of delivering transportation services on a per student basis was increasing, too, as the CSF moved from leased heterogeneous to owned homogeneous schools and had to start new transportation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1700</w:t>
      </w:r>
      <w:r>
        <w:rPr>
          <w:rFonts w:ascii="arial" w:eastAsia="arial" w:hAnsi="arial" w:cs="arial"/>
          <w:color w:val="000000"/>
          <w:sz w:val="20"/>
          <w:lang w:val="en-US" w:eastAsia="en-US" w:bidi="ar-SA"/>
        </w:rPr>
        <w:t>  It is true that after 2002/03, the CSF had greater flexibility to use other parts of its operating funding to pay for transportation services. The evidence establishes that the CSF is a very well-funded school district. Its operating grants are consistently in the top 10 of 60 districts. Those districts that receive more than the CSF are remote and rural and therefore have their own challenges and costs associated with delivering educational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1701</w:t>
      </w:r>
      <w:r>
        <w:rPr>
          <w:rFonts w:ascii="arial" w:eastAsia="arial" w:hAnsi="arial" w:cs="arial"/>
          <w:color w:val="000000"/>
          <w:sz w:val="20"/>
          <w:lang w:val="en-US" w:eastAsia="en-US" w:bidi="ar-SA"/>
        </w:rPr>
        <w:t>  Although the CSF has no restrictions on how it spends its operating funding, all of the elements of the Enrolment-Based Funding Model are based on estimates of the actual costs arising out of certain unique district characteristics. As a result, it is understandable that the CSF considers that its transportation costs were underfunded because they exceeded the Supplement for Transportation and Housing during the time of the freeze.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1702</w:t>
      </w:r>
      <w:r>
        <w:rPr>
          <w:rFonts w:ascii="arial" w:eastAsia="arial" w:hAnsi="arial" w:cs="arial"/>
          <w:color w:val="000000"/>
          <w:sz w:val="20"/>
          <w:lang w:val="en-US" w:eastAsia="en-US" w:bidi="ar-SA"/>
        </w:rPr>
        <w:t>  When the CSF brought its concerns about transportation funding to the Ministry's attention, the Ministry acted: since 2006/07, the Ministry has recognized the CSF's additional transportation costs with the 15% Francophone Supplement. Unfortunately, it has since become clear that those funds were not sufficient to meet the CSF's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1703</w:t>
      </w:r>
      <w:r>
        <w:rPr>
          <w:rFonts w:ascii="arial" w:eastAsia="arial" w:hAnsi="arial" w:cs="arial"/>
          <w:color w:val="000000"/>
          <w:sz w:val="20"/>
          <w:lang w:val="en-US" w:eastAsia="en-US" w:bidi="ar-SA"/>
        </w:rPr>
        <w:t>  Overall, I am satisfied that the CSF was disadvantaged by the funding freeze between about 2001/02 and 2011/12. As a result, despite the 15% Francophone Supplement, during the time of the freeze the CSF accumulated an actual deficit of between $6 million and $14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1704</w:t>
      </w:r>
      <w:r>
        <w:rPr>
          <w:rFonts w:ascii="arial" w:eastAsia="arial" w:hAnsi="arial" w:cs="arial"/>
          <w:color w:val="000000"/>
          <w:sz w:val="20"/>
          <w:lang w:val="en-US" w:eastAsia="en-US" w:bidi="ar-SA"/>
        </w:rPr>
        <w:t>  The frozen Supplement for Transportation and Housing and the resulting freeze is problematic from the perspective of s. 23. The Province is required to provide the CSF with minority language educational facilities out of public funds where the numbers so warrant. The Province achieves that by offering the CSF public funds for operating purposes, and allowing the CSF to deliver the facilities. By failing to appropriately fund the CSF in that period, the CSF had to use funds that could have been devoted to other minority language educational facilities. It could have, for example, supplemented its Local Capital, performed maintenance on its buildings or otherwise offered more services and support in the classroom. Thus, the frozen Supplement for Transportation and Housing hurt the CSF's ability to achieve its mandate in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1705</w:t>
      </w:r>
      <w:r>
        <w:rPr>
          <w:rFonts w:ascii="arial" w:eastAsia="arial" w:hAnsi="arial" w:cs="arial"/>
          <w:color w:val="000000"/>
          <w:sz w:val="20"/>
          <w:lang w:val="en-US" w:eastAsia="en-US" w:bidi="ar-SA"/>
        </w:rPr>
        <w:t>  However, prior to about 2009, in particular, the cost of the CSF's transportation system was unreasonably high. Thus, the defendants should not be liable for the entire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1706</w:t>
      </w:r>
      <w:r>
        <w:rPr>
          <w:rFonts w:ascii="arial" w:eastAsia="arial" w:hAnsi="arial" w:cs="arial"/>
          <w:color w:val="000000"/>
          <w:sz w:val="20"/>
          <w:lang w:val="en-US" w:eastAsia="en-US" w:bidi="ar-SA"/>
        </w:rPr>
        <w:t>  The plaintiffs' second argument is that the Student Location Factor does not adequately account for the CSF's transportation costs. The plaintiffs argue that the Student Location Factor was intended to reflect transportation costs by using school-age population density as a proxy for the distance between students' homes and the nearest school. The plaintiffs argue that the use of that proxy ignores distance traveled and cost as a variable. Thus, they say that the formula does not account for the CSF's unique need to transport a highly dispersed student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1707</w:t>
      </w:r>
      <w:r>
        <w:rPr>
          <w:rFonts w:ascii="arial" w:eastAsia="arial" w:hAnsi="arial" w:cs="arial"/>
          <w:color w:val="000000"/>
          <w:sz w:val="20"/>
          <w:lang w:val="en-US" w:eastAsia="en-US" w:bidi="ar-SA"/>
        </w:rPr>
        <w:t>  The plaintiffs also take issue with specific aspects of the Student Location Factor. They argue that the population densities the Ministry uses do not reflect that the population of rightsholders' children is less dense than the total population. The plaintiffs further argue that the Ministry chose to multiply the CSF's allocation by an arbitrary factor to correct the discrepancy. They urge me to infer that the multiplier was chosen to maintain funding under the new supplement at a level similar to that generated by the frozen Supplement for Transportation and 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1708</w:t>
      </w:r>
      <w:r>
        <w:rPr>
          <w:rFonts w:ascii="arial" w:eastAsia="arial" w:hAnsi="arial" w:cs="arial"/>
          <w:color w:val="000000"/>
          <w:sz w:val="20"/>
          <w:lang w:val="en-US" w:eastAsia="en-US" w:bidi="ar-SA"/>
        </w:rPr>
        <w:t>  In response, the defendants take the position that it was reasonable for the Minister to reject the 2005 Location Supplement Proposal and its focus on home-to-school distances because it was too data-intensive. In the defendants' submission, grounding the Student Location Factor in density is a sensible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1709</w:t>
      </w:r>
      <w:r>
        <w:rPr>
          <w:rFonts w:ascii="arial" w:eastAsia="arial" w:hAnsi="arial" w:cs="arial"/>
          <w:color w:val="000000"/>
          <w:sz w:val="20"/>
          <w:lang w:val="en-US" w:eastAsia="en-US" w:bidi="ar-SA"/>
        </w:rPr>
        <w:t>  In the defendants' view, it was reasonable for the Ministry to choose to increase the CSF's allotment under the supplement by a factor of five to account for the different densities of majority and minority students. They also take issue with the idea that the factor was chosen to ensure that the CSF's funding under the old and new formula stayed the same, noting that the CSF benefited by about $500,000 when the Student Location Factor was introduced. Since the plaintiffs seek damages in connection with $500,000 in missed AFG funding, the defendants say that even the CSF sees $500,000 as a significant sum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1710</w:t>
      </w:r>
      <w:r>
        <w:rPr>
          <w:rFonts w:ascii="arial" w:eastAsia="arial" w:hAnsi="arial" w:cs="arial"/>
          <w:color w:val="000000"/>
          <w:sz w:val="20"/>
          <w:lang w:val="en-US" w:eastAsia="en-US" w:bidi="ar-SA"/>
        </w:rPr>
        <w:t>  The defendants argue that the only reason the CSF faces constraints in its operating budget today is this litigation. They say that once the litigation is over, the CSF will have ample room in its operating budget to offer the additional transportation services it seeks. The plaintiffs counter that any funding being spent on the litigation should be considered only with extreme caution so as not to deter parties acting in good faith to pursue what they see as a violation of their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1711</w:t>
      </w:r>
      <w:r>
        <w:rPr>
          <w:rFonts w:ascii="arial" w:eastAsia="arial" w:hAnsi="arial" w:cs="arial"/>
          <w:color w:val="000000"/>
          <w:sz w:val="20"/>
          <w:lang w:val="en-US" w:eastAsia="en-US" w:bidi="ar-SA"/>
        </w:rPr>
        <w:t xml:space="preserve">  As I outline in Chapter VI, The Respective Roles of the Province and the CSF, the Province has the jurisdiction under s. 93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to establish the framework for delivering education funding. The CSF is not entitled to any specific funding formula. The funding system is valid so long as it does not interfere with the CSF's right to management and control and ensures rightsholders receive the funding they are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1712</w:t>
      </w:r>
      <w:r>
        <w:rPr>
          <w:rFonts w:ascii="arial" w:eastAsia="arial" w:hAnsi="arial" w:cs="arial"/>
          <w:color w:val="000000"/>
          <w:sz w:val="20"/>
          <w:lang w:val="en-US" w:eastAsia="en-US" w:bidi="ar-SA"/>
        </w:rPr>
        <w:t>  It might very well be that if the Province had implemented a system that traced student homes and the distances to the nearest school it would have benefited the CSF more. Such a formula might also have yielded less for the CSF. There is no way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1713</w:t>
      </w:r>
      <w:r>
        <w:rPr>
          <w:rFonts w:ascii="arial" w:eastAsia="arial" w:hAnsi="arial" w:cs="arial"/>
          <w:color w:val="000000"/>
          <w:sz w:val="20"/>
          <w:lang w:val="en-US" w:eastAsia="en-US" w:bidi="ar-SA"/>
        </w:rPr>
        <w:t>  The Province determined that it would be too time-consuming and challenging to implement a system that tracks student homes and distances travelled to school. Instead, they implemented a system that considers population density. The Province recognizes the unique density of CSF students by multiplying the CSF's allocation by a factor of 5. Doing so yields a significant benefit to the CSF: Its transportation funding increased by about 12%. Its deficit per student dropped to such an extent that any deficit it faces is negligible-- it may even be incurring a surplus. Given the CSF's history of surpluses, and even taking into account that much of those surpluses and that those surpluses related to the 15% Francophone Supplement and transportation costs, I am satisfied that the Student Location Factor as well as the CSF's other transportation funding allow the CSF to deliver an appropriate level of transportation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1714</w:t>
      </w:r>
      <w:r>
        <w:rPr>
          <w:rFonts w:ascii="arial" w:eastAsia="arial" w:hAnsi="arial" w:cs="arial"/>
          <w:color w:val="000000"/>
          <w:sz w:val="20"/>
          <w:lang w:val="en-US" w:eastAsia="en-US" w:bidi="ar-SA"/>
        </w:rPr>
        <w:t>  It is my view that when the Technical Review Committee designed the Student Location Factor, it intended to reallocate funds while benchmarking it to actual spending. The Technical Review Committee looked for a formula that would prevent large discrepancies in what districts were receiving, and implemented transitional funding for the few districts that were likely to lose funds. I infer that the multiplier chosen for the CSF was designed to provide it with a modest increase over what it was receiving before, without any undue impact to majority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1715</w:t>
      </w:r>
      <w:r>
        <w:rPr>
          <w:rFonts w:ascii="arial" w:eastAsia="arial" w:hAnsi="arial" w:cs="arial"/>
          <w:color w:val="000000"/>
          <w:sz w:val="20"/>
          <w:lang w:val="en-US" w:eastAsia="en-US" w:bidi="ar-SA"/>
        </w:rPr>
        <w:t>  The Ministry's choice was simultaneously intended to bring the CSF's actual funding pursuant to the supplement closer to its actual expenditures. It had that effect. While the factor the Ministry chose is arbitrary, it remedied the CSF's transportation deficit going forward, particularly given the savings the CSF generated by improving its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1716</w:t>
      </w:r>
      <w:r>
        <w:rPr>
          <w:rFonts w:ascii="arial" w:eastAsia="arial" w:hAnsi="arial" w:cs="arial"/>
          <w:color w:val="000000"/>
          <w:sz w:val="20"/>
          <w:lang w:val="en-US" w:eastAsia="en-US" w:bidi="ar-SA"/>
        </w:rPr>
        <w:t>  Finally, the plaintiffs argue that the CSF's needs were not properly considered by the Technical Review Committee. The plaintiffs argue that the Technical Review Committee was never properly equipped to address the CSF's unique transportation needs because it excluded the CSF and was comprised only of majority board representatives incapable of understanding the CSF's situation. The plaintiffs urge that representation of the minority by the majority is not a substitute for management and control by the minority of matters going to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1717</w:t>
      </w:r>
      <w:r>
        <w:rPr>
          <w:rFonts w:ascii="arial" w:eastAsia="arial" w:hAnsi="arial" w:cs="arial"/>
          <w:color w:val="000000"/>
          <w:sz w:val="20"/>
          <w:lang w:val="en-US" w:eastAsia="en-US" w:bidi="ar-SA"/>
        </w:rPr>
        <w:t>  With reference to the pilot project connected to the 2005 Location Supplement Proposal, the plaintiffs suggest that the Technical Review Committee "missed a prime opportunity to review the Conseil's transportation funding needs and ensure that any future funding model respond to these needs." The plaintiffs also argue that in 2004, the Technical Review Committee discussed aspects of the formula in which the CSF had a vested interest, such as home-to-school distances, without reference to the CSF. In connection with the deliberations on the Student Location Factor, the plaintiffs point out that the Technical Review Committee never deliberated on whether a factor increase was appropriate for the CSF, or what factor should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1718</w:t>
      </w:r>
      <w:r>
        <w:rPr>
          <w:rFonts w:ascii="arial" w:eastAsia="arial" w:hAnsi="arial" w:cs="arial"/>
          <w:color w:val="000000"/>
          <w:sz w:val="20"/>
          <w:lang w:val="en-US" w:eastAsia="en-US" w:bidi="ar-SA"/>
        </w:rPr>
        <w:t xml:space="preserve">  The plaintiffs' argument is tantamount to an argument that there was a breach of a duty to consult with them. They have not pleaded that a duty to consult exists pursuant to s. 23 that is similar to the one that exists under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While the majority cannot be expected to appreciate all the unique interests of the minority, that fact does not give the CSF the right to be consulted about all aspects of the funding framework across the Province. In my view, the fact that the CSF was not consulted does not breach s. 23.</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Dent v. Young, [2013] B.C.J. No. 1930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M140049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Daroyl Frank Dent, Plaintiff, and Glenn Arthur Robin Young,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7" w:name="Keywords_17"/>
      <w:bookmarkEnd w:id="117"/>
      <w:r>
        <w:rPr>
          <w:rFonts w:ascii="arial" w:eastAsia="arial" w:hAnsi="arial" w:cs="arial"/>
          <w:b/>
          <w:color w:val="000000"/>
          <w:sz w:val="20"/>
          <w:lang w:val="en-US" w:eastAsia="en-US" w:bidi="ar-SA"/>
        </w:rPr>
        <w:t>Damages — Physical and psychological injuries — Physical injuries — Body injuries — Back and spine — Neck — Head injuries — Headaches — Arm injuries — Action by passenger for damages for injuries sustained in motor vehicle accident allowed — Plaintiff was passenger in vehicle that was rear-ended while waiting to make left turn — Plaintiff suffered injuries to neck, shoulders, upper arms and lower back, from which he had substantially recovered but continued to experience residual pain and headaches and was unlikely to fully recover — Injuries negatively affected social and intimate life — Plaintiff entitled to non-pecuniary damages of $65,000, special damages of $4,193, $3,000 for costs of future care and $5,000 for lost of housekeeping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housekeeping ability — Special damages — Expenses and expenditures — Medical — Medications -- therapy and rehabilitation — Non-pecuniary loss — Action by passenger for damages for injuries sustained in motor vehicle accident allowed — Plaintiff was passenger in vehicle that was rear-ended while waiting to make left turn — Plaintiff suffered injuries to neck, shoulders, upper arms and lower back, from which he had substantially recovered but continued to experience residual pain and headaches and was unlikely to fully recover — Injuries negatively affected social and intimate life — Plaintiff entitled to non-pecuniary damages of $65,000, special damages of $4,193, $3,000 for costs of future care and $5,000 for lost of housekeeping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8" w:name="Case Summary_17"/>
            <w:bookmarkEnd w:id="1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passenger for damages for injuries sustained in a motor vehicle accident. The plaintiff was the only passenger in a pickup truck owned and driven by his wife when it was struck from behind by a vehicle driven by the defendant. The accident occurred when the truck was stopped waiting to make a left turn into the driveway of a residence. Items came loose and flew about the cab, including a radio that struck the plaintiff in the head. The plaintiff developed significant pain and reduced mobility after the accident. He suffered injuries to his jaw, neck, shoulders back and legs. He also suffered headaches and sleep disturbances. X-rays taken more than one year after the accident showed some disc degeneration and compression fractures, which likely occurred before the accident, but which were not symptomatic. The plaintiff went to one massage therapy appointment, but found it too painful. He continued to see a physiotherapist. At the time of the accident, the plaintiff was 71 years of age. He was a retired truck driver. He had been involved in a work accident in 1995, but was fully recovered by the time of the accident. He had been diagnosed with bladder cancer, but was cancer free at the time of trial. Prior to the accident, the plaintiff was an active person who enjoyed dancing, golf, darts, working out, motorcycle riding and motor home trips. He did housework and yard work at his home. Since the accident, the plaintiff experienced considerable pain, which essentially immobilized him. He no longer engaged in physical activities and he had become reclusive and socially withdrawn. He was unable to complete the necessary maintenance and repairs on his home and garden.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9" w:name="Holdings of Court_14"/>
            <w:bookmarkEnd w:id="11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the accident, the plaintiff suffered injuries to his neck, shoulders, upper arms and lower back. He had substantially recovered from the injuries to his neck, shoulders, upper arms and back, but continued to experience headaches and pain and discomfort, and was unlikely to fully recover. While the plaintiff suffered degenerative disc disease and compression fractures prior to the accident, they did not cause him difficulties. The plaintiff's accident injuries eliminated his prior recreational activities, negatively affected his intimate relationship with his wife and caused him chronic residual discomfort. As a result, an award of $65,000 for non-pecuniary damages was fair and reasonable. In addition, the plaintiff was entitled to special damages of $4,193 for physiotherapy and medications. However, his claim for yard cleanup costs was disallowed as he had not proven that those costs were incurred in the relevant time period. The plaintiff was entitled to damages of $3,000 for costs of future care for physiotherapy and medication. As the plaintiff was unable to do household tasks and continued to be limited in his ability to do household tasks due to his injuries and his advancing age, he was entitled to damages of $5,000 for loss of housekeeping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0" w:name="Legislation Cited_11"/>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7"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1" w:name="Counsel_17"/>
      <w:bookmarkEnd w:id="1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W. Grunder and Michael R. Sporer.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Jonathan Simon.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7"/>
      <w:bookmarkEnd w:id="122"/>
      <w:r>
        <w:pict>
          <v:line id="_x0000_s1119"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E.A. ARNOLD-BAILEY J."/>
            <w:bookmarkEnd w:id="123"/>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Daroyl Dent ("the plaintiff") was the only passenger in a pickup truck owned and driven by his wife, Evie Vollman Dent, when the truck was struck from behind by a vehicle driven by Mr. Glenn Young ("the defendant") on the evening of June 12, 2010. The plaintiff was in the front passenger seat of the truck at the time and was wearing his seat belt. The accident occurred when the truck was stopped facing northbound on 200th Street in Langley, BC, waiting to make a left turn into the driveway of a residence belonging to their friend, Mr. McMartin. The plaintiff, Ms. Dent and Mr. McMartin who observed the collision from nearby, all described a collision of considerable force. The truck was pushed across the southbound lanes. Items came loose and flew about in the cab, including a radio that struck the plaintiff in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felt shaken immediately after the accident and developed significant pain and reduced mobility shortly thereafter. He claims injuries to his jaw, neck, shoulders, back and legs arising from the accident. He also suffered headaches and sleep disturbance; all of which he attributes to the accident. At the time of trial the plaintiff indicated that he continues to suffer from neck, shoulder, arm, back and leg pain, as well as headaches and sleep problems. He is not claiming for a tooth that had to be re-capped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the accident occurred the plaintiff was just several weeks short of his seventy-first birthday. By all accounts, prior to the accident he was an active and vital person who loved to take his wife dancing and go for motorcycle rides. He and his wife took their motorhome on trips. He also did some house work and considerable yard work at the couple's large home. He was a social person with a group of friends significantly younger than himself, with whom he went motorcycle riding and did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the accident the plaintiff, his wife and his friends all testified that he is plagued by pain that has essentially immobilized him. He no longer engages in any of the physical activities from before the accident, and he has become reclusive and socially withdrawn. His marriage has suffered as a result. His home, garden and the shelter for his motorhome are in need of maintenance and repairs, which prior to the accident, he would have performed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claim is for damages arising from the accident, namely: non-pecuniary damages of $75,000; special damages of $5,783; cost of future care of $3,000; and loss of housekeeping capacity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liability is denied on behalf of the defendant in the pleadings, it was not disputed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find that the defendant is 100% liable for the accident as all the evidence points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the sole cause of the accident. It is clear that the defendant did not see Ms. Dent's truck stopped and waiting to make the left turn until it was too late for him to stop his vehicle. The defendant drove his car into the rear of the stopped truck at a considerable speed. A collision of considerable force ensued. Both vehicles were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only issues to be decided pertain to the amounts of damages to be assessed by the Court as non-pecuniary damages, special damages, cost of future care and loss of housekeeping capacity. The credibility and reliability of the testimony of witnesses called on behalf of the plaintiff are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73 years old at the time of trial. He is a retired truck driver and machine operator with a Grade 9 education. He retired from truck driving when he turned 70. He still has a bobcat that he used before the accident to generate a modest amount of extra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night of the accident, he recalled that he and his wife were just waiting to turn left into Al McMartin's driveway when they were struck from behind with "tremendous force" and "shot across one and a half lanes of traffic." He said they were "like rag dolls going in various directions" with the impact. The truck radio came out of the dashboard and hit him in the left side of his head. The plaintiff said he was in the passenger seat and wearing his seat belt. He recalled getting out of the truck and walking around to get his wife out. He checked to see if the driver of the other vehicle was alright, and said "he was in his vehicle flailing around with air bags." He recalled that police, an ambulance and a fire truck attended, and he was asked some questions. Later, he and his wife drove the short distance home in the truck. To make the truck drivable, Mr. McMartin had to help pull up the truck's bumper using the bucket of a small bobcat.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described how, right after the accident, he was disoriented and unsteady on his feet. He said he went home to bed and the next day he developed a terrible headache, his neck seized up, he felt tightening in his shoulder, his buttocks became numb and tingling and his right calf muscle tightened up. His jaw was clicking and he found it hard to turn his head because his neck was tight. He found it hard to chew and swallow, and one of his teeth had to be re-capped. He also described an incident when he started to bend to kiss his wife and he seized up and was unable to move. She had to bring him a chair to sit down on where he stayed for a while because he was immobile.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terms of his health prior to the accident, the plaintiff said that he was in good health despite the fact that he had been seeing doctors and having tests for a colonoscopy and in relation to his urinary tract. He said that he had been battling bladder cancer for ten years. At the time of the accident, the plaintiff said that he still had bladder cancer, but at his most recent checkup he understood he was cancer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had a work accident in 1995. By 2010, prior to the accident, the plaintiff said he "was all healed up" from the earlier accident and didn't have any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described all the activities that he enjoyed before the accident, including going two stepping with his wife and riding motorcycles. He said that he started motorbike riding at age seven and when he was young he used to do a lot of off-road riding, go to meets, "mud run or hill climb" and competed professionally for 12 years. He stopped professional racing when he was 35 years old. In terms of dirt biking, the plaintiff said that before the accident he would go out whenever he could, one to three times a month with Mr. Graham and several other "older gentlemen." The last time he was dirt biking was with Mr. Graham in 2009. He said he stopped in 2009 because he became busy with his bobcat.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Other than dirt-bike riding, the plaintiff often went road riding on one of the several motorcycles he still owns, taking road trips in Alberta, BC and going down to the annual motorcycle rally in Sturgis, North Dakota. The plaintiff said that he has not been able to go motorcycle riding since the accident. He has concerns about his hip and not being able to put one leg down to steady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described how, since the accident, he is unable to: play golf; shoot darts; do a physical work out; or shoot pellet guns in a range that he had set up in his garage. In terms of golf, he said that he was unable to maintain the stance because his "back won't allow him to go there", and he can't swing the club because his shoulders are not strong enough. He cannot put his head down to look at the ball. He cannot stand straight enough to play darts. He can no longer work out on the universal gym and heavy punching bag he had in his basement as he did before. In terms of pellet shooting, he cannot hold the gun steady and his neck, shoulders and back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also explained how, prior to the accident, he used to help with household chores and maintenance, like doing laundry, vacuuming and washing windows, "pitching in here and there". He would have dinner ready when his wife came home from work. He would shop with his wife for groceries and was able to carry three or four grocery bags at a time. He looked after the couple's large dogs and cats. As well, he was very active in maintaining his yard, which included a large bed of flowers, a vegetable garden and trees. He has been unable to do these activities since the accident. In particular, he finds being unable to do work in the yard and garden very depressing.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Prior to the accident, the plaintiff often had friends help him with tasks and chores in his yard and garden; but since the accident he has had to ask friends to do the tasks in their entirety. For example, the canopy over his motorhome has collapsed and he has been unable to fix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and his wife have not used the motorhome since the accident as he can't drive it. He is unable to turn his head to see out of the mirrors.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About three days after the accident, the plaintiff went to the walk-in Willoughby Medical Clinic in Langley and saw Dr. Soni. He said that Dr. Roberts was his family doctor but his office was in White Rock and at the time he did not feel like driving that distance. The doctor he saw told to him to go for some therapy, He went once to a massage therapist in June or July 2010. He found it to be too painful and did not go a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Next, the plaintiff went to physiotherapy at Twin Rinks Physiotherapy as recommended by Dr. Roberts. He did not find that helpful in terms of his recovery or pain management. He also went for laser therapy, which he did not find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later went to see a physiotherapist named Kay Kennedy, who he has found to be very helpful. He continued to see this physiotherapist until the date of trial and plans to carry on with this treatment. She has given him exercises to do at home that he finds beneficial. He does them as needed, up to 20 minutes at a time three times per day. The plaintiff said that he is a lot better since he began treatments with Ms. Kennedy and the pain is "not excruciating" as it was when he first started, but that "it is still there, [in his] back,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said that as a result of the accident he has had trouble with his jaw, neck and back. His back has two compressed discs. He said that, immediately following the accident, he experienced lots of pain, heat, "pins and needles" and numbness. His neck has improved as compared to a year ago, but it is still not entirely healed. He can turn it more and move his head up and down somewhat. If he bends his head too much it "snaps" and he gets a headache. He still treats his neck with hot and cold packs. His shoulders were affected by the accident. He had problems lifting up his arms. He said he has made progress with his shoulders, and "they are coming along." He is left side dominant and his left shoulder is better than his right. He still has some pain when he lifts his left arm. However, the pain in his right shoulder is "24/7" and constant. It is a different kind of pain and more intense than the pain in his neck and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said since the accident, he has also had pain in the lumbar section of his back and down the right side of his leg. He has pain in his lower back more to the right but with some involvement of the left. He experiences "a pain like crazy, really sharp and then it goes numb." He gets treatments from Ms. Kennedy and does exercises she has given him to do. There has been some improvement in his back and he can walk a little better, but it has not entirely healed. His lower back starts to hurt as soon as he becomes tired and that happens every day. He still experiences numbness in his right leg that extends to his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testifying in court on the first day, the plaintiff became distressed and said that he felt terrible as his back and neck were hurting and he had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about his active social life before the accident and how he used to like to go out visiting people, dancing, or to watch hockey games. Since the accident, being in pain, he gets "so depressed" and doesn't want to go anywhere. He stated that prior to the accident physical intimacy with his wife was "great," but since the accident he described their intimacy as "nothing." The pain in his arm, shoulder and neck is a problem in this regard. However, he said the biggest issue since the accident is that he isn't able to do anything and sleeps a lot. This makes him angry with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cross-examined in some detail. He was asked when he used the phrase "pushed around like a rag doll" in his direct examination, who had used those words first, given that he, Ms. Dent and Mr. McMartin had all referred to "rag dolls" in relation to the accident. He denied any discussion with the other witnesses and said he used the term because "that is what we were doing in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agreed that he did not experience any pain at the scene, and said he was just disoriented. He said he did not have any pain when he went to bed but the pain started in the morning. When it was put to him that he said at examination for discovery that he had no pain or stiffness when he woke up, he said he was not sure when the symptoms started, except to say they had already started on the evening of the day after the accident. He said his back started to hurt, his right hand went numb and then he started getting progressively worse in terms of his neck, back, arms and right leg. He could not say when the pain in his right leg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he was asked why there was a seven month gap between when he went to see the doctor at the walk-in clinic and went to see his family doctor, he said, "You got me, I don't know." Aspects of his earlier medical history were put to him, as was his late start with physiotherapy in June 2011, to which he responded that he had no idea when he started physiotherapy, but thought he went to the laser place first, where he was told he had degenerative disc disease in his spine. His history of bladder cancer was reviewed, including the fact that he had a procedure performed July 3, 2012 in which more cancer cells removed, but as of his last visit was cancer free. He acknowledged the areas of improvement in terms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it was put to the plaintiff that he had said in examination for discovery that he did not have symptoms in his shoulders and did not know when the last time he recalled having symptoms in his shoulders was, the plaintiff said that some things were "pretty confusing some days." He could not recall whether he had symptoms in his shoulder. His response was essentially the same when it was put to him that at examination for discovery he said he did not have any injuries to his legs. At examination for discovery the plaintiff indicated his disappointment at not having sexual intimacy with his wife after the accident because of the pain he was in, but he also agreed that aspect of his life was improving. At trial he said that was the wrong answer and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he was asked about the invoices from Pam's Yard Clean up and Maintenance dated from June 26, 2010 to October 24, 2012 all being in sequence, the plaintiff said that he had Pam redo them because the originals were too hard to read. He also admitted that before the accident he and his wife had talked to Pam, who did garden work for a neighbour, but felt that perhaps it was going to cost too much to have her work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terms of assessing the evidence of the plaintiff, I am reminded that persons claiming injury in motor vehicle accidents come in all shapes and sizes, with a wide variety of skills, interests, background knowledge, education and varying abilities to express themselves and what they have experienced as a result of an accident. They do not all present well. They do not all deal with their injuries in a logical and consistent way that involves healthcare professionals and their often detailed documentation at every step of the way. Some, like the plaintiff, are a little more haphazard in their approach and great care must be taken in assessing their evidence in light of all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plaintiff is an older man with limited formal education but a keen interest in certain things. He is not sophisticated. At times in court he appeared to be impatient, in pain, irascible and somewhat inaccurate regarding details of his conditions. Clearly, after the accident he was slow to seek medical assistance beyond his initial trip to the local medical clinic and a session of massage therapy. However, his testimony indicates that he suffered considerable and initially worsening physical pain and immobility. For many months he experienced severe and almost constant pain and discomfort in his neck, shoulders, upper arms and lower back, with some pain extending to his right leg. He continues to suffer intermittent pain in his neck and lower back. It is also clear that he very much misses the activities he enjoyed prior to the accident. He has tried to engage in some of them and has concluded he is unable to do so without considerable improvement in his physical health. His attitude towards life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answers the plaintiff gave at examination for discovery that tended to minimize the extent of his injuries (upon which he was challenged in cross-examination) are inconsistent with the overall picture of his health provided by his doctor and the other witnesses. For example, he was asked about injury to his legs from the accident which he denied, but he clearly testified that he has experienced pain and numbness in his right leg as a result of injuries sustained in the accident. Also, at examination for discovery, the plaintiff indicated his sex life with his wife was improving, whereas at trial both he and his wife said it was non-existent. This inconsistency is perhaps explained by embarrassment or an unfounded optimism, or a bit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lack of sophistication extended to an unfamiliarity with court processes and how best to present himself. An example of this was when he was asked why the gap in time of almost seven months between visits to doctors on cross examination, and instead of describing how he coped or what he did in the interim, he responded, "You've got me there." Despite this and other less than satisfactory responses in his evidence, I am satisfied that the plaintiff suffered the injuries he attributes to the accident, and that his physical condition and mental outlook in his later years have been markedly changed for the worse as a result of those injuries. In short, despite some inconsistencies and inaccuracies in his testimony I find the plaintiff to be a generally credible and reliable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Wife - Evie Vollman 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Dent was anxious about testifying in court, but she proved to be a reliable and credible witness.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Dent is 54 years old. She described the impact of the collision; she was about to make the left turn into Mr. McMartin's place after waiting about 15 seconds when she heard a big loud crash and their bodies were thrust forward "like rag dolls" and things in the truck were sent flying, including the radio which came out of the dash and hit the plaintiff. She said the force was "irresistible" and when the truck came to rest, it was two and half car lengths into the southbound lanes. She heard the plaintiff exclaim "Oh my God". He was wearing a lap and shoulder belt. She said the backs of their seats had broken, things were all over the place, including her purse and the coffees they had just bought. She was disoriented, trying to collect her things and find one of her shoes that had come off. She got out of the truck and a bit later she talked to the police, ambulance attendants and firefighters when they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Dent assumed that the plaintiff must have gotten out of the truck from the passenger side door. They both went to Mr. McMartin's driveway. They both were in shock. According to her, the plaintiff was stumbling around and not behaving like himself, slurring his words and not being coherent to the point that a police officer asked if they had been drinking, which they had not been. Later she drove her damaged truck home with the plaintiff. It was subsequently written off as its frame had twisted.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night of the accident, Ms. Dent recalled that the plaintiff complained of neck pain and a headache and had trouble sleeping. He complained of his neck hurting when he swallowed and the pain in his neck shooting to his shoulder blade when he moved in bed. He complained that his whole body was hurting. Ms. Dent said it got worse as days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Dent described in some detail the various activities she and the plaintiff used to do together prior to the accident. She said her husband always had an energetic charisma about him and he was "the center of the party." He got her into motorcycle riding and bought her a motorcycle so they could ride together. They would go camping in their motorhome whenever they could get away. They enjoyed motorcycle and pedal bike riding together and going out for dinner and dancing. She said the 19 year age difference between them was not an issue because the plaintiff did not act his age and had so much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Since the accident Ms. Dent said that they have not been able to do the things together they used to do. They have not been out in the motorhome. They don't motorcycle ride together and her husband does not take his motorcycle out anymore. They don't go on trips. They have not been dancing since the accident although it was one of their favorite activities. At times the plaintiff will stay in bed for a week. He shuts down and will not talk. She regards this to be as a result of depression and it worries her. He is unable to do the things he used to do to maintain their house and the yard. Things pile up. She said that even his taking out the garbage is an issue. He does not build the things he used to build in his shop. She realized he gradually moved his hobby of fixing of electronics to the main floor of their house because it was easier for him to tinker there without having to go downstairs. He fell behind caring for the couple's large dogs and cats. After the accident he could not do yard work or tend the flower beds and trees as he did before. His work truck sat idle, as did his bobcat. The cover to the motorhome broke from the snow because he did not clear it. Ms. Dent said that when she suggested calling someone to come in and tend to some of these things, the plaintiff got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terms of his physical appearance, Ms. Dent said that before the accident, her husband used to stand tall and hold his head high. Since the accident he cannot stand straight. He doesn't have the stamina or energy he used to have. He is stooped. When he stoops, his legs are spread and he is in pain. She tells him to sit and he is stubborn. He is in pain and he starts to do things and gives up, falling into a depression that affects her and "the whole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Dent recalled one evening in October of last year when the plaintiff leaned over to give her a kiss his body seized up and it was like he was frozen. She got a chair for him to hold onto so he did not fall. After half an hour to an hour he was finally able to lie down. Ms. Dent said that physical intimacy with her husband stopped after the accident and she "had lost him in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terms of the plaintiff's personality, Ms. Dent indicated that since the accident he angers easily. He is moody and frustrated with things and lacks patience. This is a real contrast to how social he was before the accident. He used to motorcycle race and "everybody" knew him, whereas since the accident he refuses to go out to social or family gatherings.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cross-examination, Ms. Dent indicated that up to 2010 the plaintiff had suffered from bladder cancer and had surgery to remove the cancer cells. He did not have to stay in hospital and he was fine after two or three days. He has periodic checks and is now regarded to be cancer-free.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recalled that after the accident, the plaintiff suffered from cellulitis in his left leg that was treated at Peace Arch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Prior to the accident the plaintiff was semi-retired and would make roughly $7,000 to $9,000 a year, using his bobcat for snow removal or to dig trenches. Since the accident, she said that he can't do those jobs anymore, and even their own driveway does not get cleared.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recalled that after the accident he went for physiotherapy at Laser Solutions and then at Twin Rinks. It got to the point that he was driving himself to appointments. This was about a year after the accident and he went to 10 to 13 visits. Then he started to go to Kay Kennedy in White Rock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said their home is a 4000 sq. ft. house on a quarter acre lot that the plaintiff bought in 1996 or 1997. She has lived there with him since 2000. Whereas before the accident the plaintiff embarked upon projects in relation to their home with the help of others, since the accident he can only direct others to do what is needed. Ms. Dent indicated that she made arrangements with her brother, Andres Vollman, in the summer of 2010 to cut their lawn and to do other things they needed help with. She gave him some money when she could, to compensate him for his time. She said that her husband did not have anything to do with these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Dent agreed that in the last year she has noticed that the plaintiff's condition has improved somewhat, but said she can tell when he is standing he is in pain. Her view is that he continues to have pain in his neck that affects his arms, his lower back, hips and legs, and has headaches quite often that he never used to have. He has to take pain medication. She noted that her husband is now 73 years old. Whereas prior to the accident he was organized, kept things up around their home, including the yard, and was proud of his accomplishments, since the accident he can no longer do these things and his sense of self-worth has been negatively affected.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Read-ins From the Defendant's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counsel read in portions of the examination for discovery of the defendant that occurred on June 20, 2012. The read-ins confirm the basic facts of the accident and add some details. The defendant was driving his 2007 Volkswagen Rabbit at about 60 km. per hour. He hit the brakes and estimated he struck the plaintiff's wife's truck at 50 km. per hour. He did not know how much he was really able to slow his vehicle prior to impact. The defendant estimated that he was a car length away when he first saw the truck. He recalled seeing brake lights on the truck but did not recall if he noticed a left-turn signal light being on. His vehicle sustained damage in excess of $17,000 and was written off. He agreed that the photographs filed showed his damaged vehicle, that this was a straight-on, rear-end collision and the air bags in his vehicle deployed. He described the impact as "hard." The defendant indicated that the truck was stopped at the time of impact but he could not say how long it had been stopped.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Friends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Andres Vollman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Vollman is the plaintiff's brother-in-law. He has known the plaintiff since the late 1980s. Prior to the accident, he would see the plaintiff almost every weekend when he would stop by. Mr. Vollman heard about the accident the next day and since the accident he still goes over to the plaintiff's house regularly. He now needs to help the plaintiff with chores around the house when he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Vollman said that the plaintiff "is not the same person" as before the accident. Prior to the accident he recalled that the plaintiff was very active. The two of them went motorcycle riding two or three times a month during the summer, touring the Fraser Valley. Depending on the weather they would go golfing frequently. He often would see the plaintiff at Gaby's Bar, as the plaintiff used to go there to step dance every Thursday night. Mr. Vollman has not done any of these activities with the plaintiff since the accident. Although he still goes to Gaby's Bar, the plaintiff has not been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Vollman now helps his sister, Ms. Dent, with the groceries on Friday nights as the plaintiff can't do it. He moves boxes up and down stairs at their house and helps with basic chores like hanging Christmas lights and putting away decorations. After the accident, he helped the plaintiff renovate a room after a broken pipe caused some damage because the plaintiff could not move the sheets of gyprock or hang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Most noticeably, however, Mr. Vollman said that his brother-in-law's personality has changed since the accident. After the accident Mr. Vollman often found the plaintiff in bed where he had been for days. He has noticed that since the accident the plaintiff hesitates in answering a question and has to turn his whole body to look at the person speaking.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cross-examination, Mr. Vollman agreed that prior to the accident he worked for the plaintiff in his bobcat business and helped him by mowing lawns and building a dog run. After the accident he did various tasks that the plaintiff asked him to do, including lawn moving, and said that it was not unusual to help out the plaintiff both prior to and after the accident without being paid. If he saw the plaintiff struggling with the lawnmower, he would take over. However, since the accident Mr. Vollman said his sister asked him to cut their lawn, and he does it every two or three weeks. When asked if the plaintiff had improved since the accident in June 2010, Mr. Vollman replied, "No sir, if anything it has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found Mr. Vollman to be a reliable and credible witness except insofar as the plaintiff has experienced improvements in his physical condition as noted by Dr. Roberts.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Alan McMartin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McMartin resides at 7339 - 200 Street in Langley, the scene of the accident. He is 55 years old. The night of the accident he was standing in his driveway about 30 to 40 feet away from where Ms. Dent was turning in. He had been working in his yard and just happened to spot them as they were about to turn. He heard a tremendous crash and the truck bolted ahead. He said he could see their heads move "like a rag doll" and that it was a horrendous crash. The truck ended up crossing into the first southbound lane and into part of the second southbound lane. Given the magnitude of the collision he was worried that his friends had just been killed in his driveway. He rushed up to the road, first to ask them if they were alright when they were still in the truck, and then he went to direct traffic with a flashlight as he was concerned other vehicles might crash into theirs. He said the vehicle driven by the other driver was about the size of a VW Rabbit. Mr. McMartin was worried that the other driver would be in pretty bad shape, but he seemed ok. When he checked, he saw that airbags had protected the other driver. During that time Mr. McMartin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he returned to the truck, Mr. McMartin noticed that the plaintiff seemed shaken up and in shock. He recalled that eventually the plaintiff got out of the truck and he was worried about the plaintiff's stability on his feet when he started walking. Over the next 15 minutes, Mr. McMartin said that the plaintiff regained some stability, but he was not moving freely and was very slow in his movements. Mr. McMartin said that he thought "we pushed the truck off the road" but he also thought that at some point he drove the truck off the roadway. Later, the plaintiff and Ms. Dent left his place driving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McMartin indicated that he had known the plaintiff for 18 years. For a time they both worked for the same trucking company. He said they developed a pretty good friendship over the years. They would meet for coffee and go motorcycle riding. Sometimes, if the weather was good they would go motorcycle riding two or three times a week, and then not ride for a month. They both had the same kind of Harley. They would ride locally around the area and to Fort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Since the accident, Mr. McMartin said that he has not been able to convince the plaintiff to go out motorcycle riding. The plaintiff insists that he is not physically up to it. Whereas the plaintiff used to be "a joker", walked fast and was very light on his feet prior to the accident, since the accident he doesn't stand up straight anymore and has lost that spring in his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McMartin moved to Calgary about eight months prior to the trial but came back to help the plaintiff as the plaintiff has sold his Langley place and is moving. Prior to the accident, Mr. McMartin said that he never helped the plaintiff with chores, whereas since the plaintiff asks him to lift or move things when he visits. Since he moved to Alberta, Mr. McMartin has visited with the plaintiff every time he comes to the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cross-examination, Mr. McMartin indicated that it was dark when the accident occurred and the truck was black. Ms. Dent had been stopped for "maybe five or six seconds" waiting to make a left turn into his driveway. She was stopped in the left lane of travel facing north. The roadway was marked with two solid yellow lines close together at that point. He said traffic was really light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terms of what he knew about the plaintiff's health, Mr. McMartin indicated that he knew of the plaintiff's bladder cancer, but he did not think that the plaintiff had shared details about his bowel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found Mr. McMartin to be an impressive and accurate witness, both as to the circumstances of the collision between the vehicles at the entry to his driveway and regarding his observations of the plaintiff before, immediately after, and since the accident.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note that the plaintiff, Ms. Dent and Mr. McMartin all referred to the occupants of the truck being like "rag dolls" with the impact of the collision. I do not regard this as an indication that they got together and concocted their accounts, but that one of them at the time, mostly likely Ms. Dent, used the expression at the time of the accident and the others simply adopted it as being apt. It is expressive.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Rick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Graham is another of the plaintiff's friends. He lives in Surrey and works as a truck driver. He has known the plaintiff for 21 or 22 years. They both used to work for the same trucking company. Mr. Graham found out about the accident the day after it happened because he and the plaintiff were working on the plaintiff's roof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Prior to the accident, Mr. Graham said he would see the plaintiff three or four times a month and they would ride motorcycles together or do things around the plaintiff's house. How much they rode motorcycles together would change year to year, some years it was four or five times. Mr. Graham recalled that the plaintiff was a pretty competitive motorcycle rider. He said the plaintiff also rode dirt bikes and had engaged in fairly extreme riding and racing years ago. He and the plaintiff would go dirt bike riding together up in the Chilliwack area and ride mountain trails, finding the toughest routes to climb. The last time they went out was in the summer or fall of 2009. They would take their dirt bikes by trailer or truck up to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Since the accident, Mr. Graham said that the plaintiff walks differently. He is stooped over all the time. He cannot do repairs around his house anymore and doesn't try. For example, Mr. Graham said that the plaintiff has had a canopy over his motorhome for a number of years to protect it. The canopy would need to be re-stretched and have the snow knocked off it, which the plaintiff would do. This past year the snow built up to the point that the canopy collapsed as the plaintiff was unable to attend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Graham said that before the accident the plaintiff did chores by himself and took the initiative. Mr. Graham was his side kick, just lending a hand. Since the accident, the plaintiff directs Mr. Graham in relation to tasks that need to be done, and if possible, Mr. Graham will do them. Fairly close in time after the accident, Mr. Graham said he had dropped by the plaintiff's place at 2 p.m. and found the plaintiff just getting out of bed. He had to ring the doorbell and wait for the plaintiff to appear. Mr. Graham said it was very unlike the plaintiff to be lying around in bed, as he was very much a get-out-and-do-things kind of guy. Mr. Graham had also noticed that the plaintiff doesn't go out much anymore and seems to stay at home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when asked about the roof repairs that he was doing with the plaintiff just prior to the accident, Mr. Graham said they were patching the roof with plans to re-roof the entire house, which after the accident they did not do. While he agreed that it was his habit to help the plaintiff with yard work before the accident, after the accident, Mr. Graham said he did the physical work while the plaintiff directed him. He also indicated that the plaintiff has always repaired electronics, being very interested in why something doesn't work and trying to fix it, and that has continued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testimony of Mr. Graham corroborates the evidence of other witnesses as to how the plaintiff became unable to do household chores in the house and outside after the accident. Like Mr. Vollman, he noticed that since the accident he had observed the plaintiff to be getting out of bed at 2 p.m., which would not have happened prior to it. Also, like Mr. Vollman, Mr. Graham testified to having to do the tasks with directions from the plaintiff that prior to the accident he would have assisted the plaintiff to do. I accept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Shyam Lynn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Lynn is 41 years old. He works as a truck driver. He is also a friend of the plaintiff's. They worked together years ago and he has known the plaintiff for about 17 years. Prior to the accident Mr. Lynn worked with the plaintiff and spent time with him at his home. Mr. Lynn would help with chores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Lynn indicated that he noticed a really large change in the plaintiff, especially right after the accident. He found the plaintiff's personality to be completely different. Mr. Lynn observed that the plaintiff seemed scattered, disorganized and seemed to not quite know what was going on, all of which were very out of character. Since that time Mr. Lynn said that the plaintiff has calmed down, is "not as out of it," and more normal, but still is not as sharp as he used to be prior to the accident. Depending on the visit, Mr. Lynn said the plaintiff tires easily. In terms of doing things for the plaintiff, Mr. Lynn said that prior to the accident he would assist the plaintiff, but since the accident the plaintiff directs him regarding what needs to be done and Mr. Lynn does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Lynn also said that prior to the accident the plaintiff could "out work" him and was like a 20 year old in terms of being "go go go", whereas after the accident the plaintiff has neither the mobility nor strength that he had previously. They used to ride motorcycles together, visit and enjoy shooting pellet guns at a small range the plaintiff had set up at his place. Since the accident they have not gone motorcycle riding together, although Mr. Lynn said that the plaintiff had stopped motorcycle riding for a while prior to the motor vehicle accident but wanted to get back to it. He said that the plaintiff was an excellent rider, but had said fairly recently that he "just did not trust his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the evidence of Mr. Lynn as to how much energy the plaintiff had prior to the accident and how the plaintiff's personality changed after the accident. Like the previous witnesses, his testimony was that when things needed to be around the plaintiff's home before the accident he would assist the plaintiff, whereas since the accident he does the tasks under the plaintiff's direction. I do not interpret Mr. Lynn's evidence to be that the plaintiff had given up motorcycle riding prior to the accident for reasons due to his physical health. Overall, I accept Mr. Lynn's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 - Dr. Gerald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Roberts is an expert witness qualified to express opinions with regards to injuries arising from motor vehicle accidents. In addition to his medical training at McGill and two year residency at the University of Ottawa in intensive care, he has practiced family medicine for 30 years and emergency medicine for 25 years, splitting his time between his family practice in White Rock and emergency medicine at the Peace Arch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Roberts indicated that the plaintiff has been a patient of his since 2004. Dr. Roberts prepared a report (Exhibit 4), dated October 27, 2012, which contains a summary of his more recent dealings with the plaintiff and his opinion with regards to the accident and the plaintiff's injuries and continuing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report indicates that the plaintiff first was assessed at the medical clinic where Dr. Roberts works on January 31, 2011 (the accident having occurred on June 12, 2010). The initial examination revealed "tenderness of the neck on rotation to the right and left ... and normal range of motion of the hip and knee." The plaintiff was referred to massage therapy. When the plaintiff returned on February 15, 2011, he was bothered by neck pain and an X-ray revealed "changes of mild to moderate degenerative disc disease at C3-4 and C5-6 levels." The plaintiff was advised to take anti-inflammatory medications and to attend physiotherapy. Dr. Roberts reported that the plaintiff followed the recommended course of physiotherapy and anti-inflammatory medication throughout the spring and summer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When the plaintiff was assessed on June 27, 2011, he continued to have neck and shoulder pain as well as lower back pain; examination revealed "tenderness of the C3-4-5 levels as well as the L4-5-6 levels." The range of motion of his cervical and lumbar spine had decreased. Dr. Roberts noted that a report from physiotherapy in June 2011 "confirms a 30% decrease range of motion of the cervical spine and lumbar spine with respect to flexion and rotation." The physiotherapist recommended continuing strength and flexibility exercises as well as range of motion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next seen on July 6, 2011, the plaintiff continued to have pain in the cervical and lumbar regions and tenderness was noted on examination at C3-4-5 as well as L4-5. Flexion of the cervical spine was to 45 degrees and rotation to 30 degrees. In addition to physiotherapy, the plaintiff was prescribed muscle relaxants (Cyclobenzaprine) and anti-inflammatory medication (Voltaren). Dr. Roberts expressed the view that the plaintiff followed the recommended treatment regime but still continued to have symptoms. When assessed on October 14, 2011, the plaintiff stated that his neck "snapped" and he continued to have headaches with pain radiating to his left shoulder and also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further examination on October 28, 2011, revealed tenderness in the cervical region (C3-4-5-6) as well as the trapezius muscles and left biceps. An X-ray from October 14, 2011 demonstrated disc degeneration of the cervical spine. Lumbar spine X-rays showed compression fracture of the L2 vertebrae as well as a possible compression fracture of the T11-12 vertebral bodies. (Dr. Roberts explained that disc disease in older people is also called osteoarthritis and a compression fracture is the term applied to vertebrae that become crushed and lose some of their height, the vertebrae being the boney structures between the discs in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Roberts noted that the plaintiff's continuing recovery was complicated by an episode of left leg cellulitis in December 2011 that ended his ability to exercise for approximately six weeks. (He explained that cellulitis is an infection of the skin usually caused by "staph or strep.")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next assessed on March 26, 2012, Dr. Roberts noted that the plaintiff "continued to have discomfort related to his motor vehicle accident" and he complained of persistent shoulder pain as well as low back pain. He was advised to continue with physiotherapy and the use of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When next examined on June 12, 2012, it was noted that the plaintiff continued to have tenderness in the right anterior shoulder, his right lower back and sacroiliac joints with reduced flexion of the cervical and lumbar spine, but some response to therapy was noted with improved symptoms. When seen again on June 22, 2012, the plaintiff continued to have low back pain but shoulder and neck symptoms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More progress was noted on July 25, 2012 when it was noted that the plaintiff had "some residual pain" in the paravertebral lumbar muscles with "minimal tenderness of the cervical muscles." His range of motion had improved to 90% and he was advised to continue with physiotherapy, muscle relaxants and anti-inflammatory medications. When assessed again on September 21, 2012, the plaintiff advised that his neck and shoulder discomfort was improving and his range of motion on this visit was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was last assessed on October 23, 2012, at which time he reported "intermittent tenderness and occasional "snapping" of his neck." On examination tenderness was noted in his trapezius muscles and cervical muscles. He was advised to continue with his active exercise program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Roberts also reviewed the plaintiff's medical history in his report, which included a work-related injury to his right shoulder and right arm in 1994 and a work-related back injury in June 2001 that was treated with physiotherapy and manual therapy. Of particular significance is the following comment at p. 2 of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Dent underwent a complete physical exam in my office on September 16, 2008 at which time he had no musculoskeletal complaints or findings on physical examination. To my knowledge he had no symptoms of neck or back discomfort at the time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Roberts summarized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seventy-three year old male was involved in a motor vehicle accident on June 12, 2010 resulting in injuries to his neck, shoulders, upper arms and lower back. Since that time he has had persistent pain and loss of mobility requiring ongoing use of anti-inflammatory and muscle relaxant medications as well as physiotherapy. He has followed the recommended treatment program which has resulted in gradual improvement of his symptoms. At present he continues to have some mild residual symptoms and does require ongoing physiotherapy and use of medications. X-rays obtained during the course of treatment revealed evidence of degenerative disc disease in the spine and lower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in light of Mr. Dent's age and his existing disc disease it is unlikely he will achieve full recovery. He will probably continue to have residual discomfort requiring the use of anti-inflammatory medication as well as intermittent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cross-examination, Dr. Roberts indicated there are some patients whose subjective reports he is more likely to trust than others, and he was of the view that the plaintiff fell into "the trust category." Although he is the plaintiff's primary physician, Dr. Roberts indicated that on occasion when the plaintiff attended their clinic he would have been seen by other doctors. The clinic has an electronic system for medical records into which each doctor enters his or her notes. Dr. Roberts confirmed that he managed the referrals of the plaintiff to specialists for complaints relating to cancer of the bladder, urinary tract problems, intestinal issues and vision problems. He also confirmed that there was no complaint by the plaintiff of lower back pain until the appointment on June 27, 2011, although the plaintiff had been in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Roberts also indicated that he did not consider the plaintiff's bladder cancer and urinary problems to be relevant to his musculoskeletal complaints, and hence did not mention them in his report. The plaintiff's bladder cancer had been treated and even with the finding of further cancer it would not affect his health very much unless it spread. The swelling that the plaintiff experienced in his lower limbs in December 2011 and early 2012 was related to the cellulitis and would have been fairly disabling for him for about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regards to the degenerative disc disease in the plaintiff's cervical spine as shown in the February 2011 X-ray, Dr. Roberts agrees that it is a cause of pain in aging patients and can cause a decreased range of motion. He regarded the plaintiff's level to be consistent with the normal aging process. He also agreed that this condition is progressive and often does get worse over time. It also can be stable. Dr. Roberts said the degenerative disc disease in the plaintiff's cervical spine was not caused by the accident. Although the plaintiff did not have symptoms prior to the accident, the fact the degenerative disc disease showed on the X-ray means that it was present. He agreed that degenerative disc disease can certainly add to complaints of pain in the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regards to the plaintiff being diagnosed with osteopenia, Dr. Roberts said that is a radiological term that describes thinning of the bone and means that the patient should be checked for osteoporosis. He also confirmed that the plaintiff's compression fractures were present in 2001 and were caused by prior trauma or injury. They are unconnected to osteopenia. Dr. Roberts indicated that he did not include reference to the earlier compression fractures as the plaintiff did not complain about them prior to the accident and old compression fractures can be stable, such that the plaintiff could have ridden motorcycles and dirt bikes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Continuing in cross-examination Dr. Roberts confirmed that on June 27, 2011, he did a driver's medical examination of the plaintiff in order that the plaintiff was able to renew his driver's license. Dr. Roberts found the plaintiff fully capable of driving and on the required form (Exhibit 5) under the heading "musculoskeletal", he indicated no concerns. In cross-examination, he agreed that whether or not the plaintiff could shoulder check or use his side mirrors was a "good question," but then answered in the affirmative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Roberts recognized that the plaintiff had shown improvement to his range of motion to 90% as of his visit on September 21, 2012, and that his shoulder and neck discomfort was improving. He also agreed that he had seen improvement in the plaintiff's symptoms over the last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found Dr. Roberts to be a highly reliable and credible witness. He impressed the Court as a careful and accurate expert who, with other members of his clinic, maintained accurate records in relation to their patients, including the plaintiff. I found his opinion to be sound and based on the evidence to which he referred. He was not seriously challenged on his findings. Further, I note that based on his years of experience as a family physician and emergency medicine doctor he is extremely well qualified to opine on matters in relation to the plaintiff and his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Roberts concluded that the plaintiff suffered injuries to his neck, shoulders, upper arms and lower back, which based on the plaintiff's report to him, arose from the accident (June 12, 2010). There is ample evidence to support that conclusion. In Dr. Roberts' opinion since the time of the accident the plaintiff has suffered from "persistent pain and loss of mobility" that has required the ongoing use of anti-inflammatory and muscle relaxant medications and physiotherapy. By the July 25, 2012 visit, following the treatment regime recommended by Dr. Roberts, the plaintiff showed signs of significant improvement. At the time of Dr. Roberts' report (October 27, 2012) the plaintiff continued to have mild residual symptoms and required ongoing physiotherapy and medications. Dr. Roberts concluded that in light of the plaintiff's age and his existing disc disease it is unlikely that he will achieve full recovery and will probably continue to have "residual discomfort" requiring the use of anti-inflammatory medication as well as intermittent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Most noteworthy is that when Dr. Roberts examined the plaintiff in September 2008, just over two years before the accident, the plaintiff had no musculoskeletal problems. Dr. Roberts acknowledged that degenerative disc disease occurs with normal aging. The plaintiff's degenerative disc disease in his neck and the lumbar area of his back and the compression fractures (a compression fracture at L2 and a possible compression fracture at T11-12) were most likely present before the accident. He indicated that "old compression fractures" could be stable and not inhibit the plaintiff in pursuing such activities as motorcycle riding. According to Dr. Roberts, in the plaintiff's case neither the degenerative disc disease nor the compression fractures were symptomatic prior to the accident as the plaintiff had not indicated complaints in those regards. Therefore, while these conditions were pre-existing they were not causing the plaintiff problems or pain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also accept that the plaintiff's other health concerns including his bladder cancer and urinary issues were irrelevant to Dr. Roberts' opinion regarding the extent of the plaintiff's injuries from the accident. The cellulitis suffered by the plaintiff, primarily in his left leg, was unrelated to injuries sustained in the accident but likely slowed the plaintiff's recovery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Based on the evidence of Dr. Roberts, I find that as of September 2012, the plaintiff had substantially recovered from the injuries to his neck, shoulders, upper arms and back. He continued to have headaches and pain in his arms and legs upon occasion. It is also clear that the plaintiff will continue to experience pain and discomfort arising from these injuries into the future for an indeterminate time and that the physical activities he enjoyed prior to the accident may remain beyond his capabilities. Insofar as that is the case it is likely that his outlook and mood, and therefore his social interactions, will be negatively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following is a brief summary of key findings on the evidence:</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 active 70 year old, was involved in a motor vehicle accident on June 12, 2010. He was a passenger in a truck driven by his wife and was wearing a lap and shoulder seatbelt at the time.</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car drove into the rear of the stopped truck at a considerable rate of speed, given that he indicated he applied his brakes about one car length from the rear of the truck and had been travelling at about 60 km. per hour. It was a significant collision, and both the plaintiff and Ms. Dent testified that they felt considerable force in the cab of the truck upon impact. Both vehicles were written off.</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negligent in failing to see the stopped truck earlier and in failing to avoid the collision. The defendant is 100% liable for the accident.</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accident, the plaintiff sustained injuries to his neck, shoulders, upper arms and lower back. He suffered also debilitating and persistent pain to his legs and arms, and suffered from intermittent headaches for almost two years. The plaintiff, after treatment by medication and physiotherapy, began showing some improvement in his symptoms in June 2012 and then showed considerable improvement between June and October 2012. He is unlikely given his age and existing degenerative disc disease to achieve full recovery. He will probably continue to have residual discomfort and require the use of anti-inflammatory medication and intermittent physiotherapy.</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the plaintiff was an energetic, robust individual who enjoyed physical activity, including dancing, and motorcycle and dirt bike riding. He enjoyed gardening and doing physical tasks. He was a very social person with many friends.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the plaintiff had degenerative disc disease in his cervical and lumbar spine and one or possible two compression fractures in his vertebrae but they were not symptomatic.</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the plaintiff has been unable to resume the physical activities he previously enjoyed. It seems unlikely he will be able to resume his prior level of physical activity. Now 73 years old, the plaintiff has become reclusive and no longer enjoys social situations. His wife worries he is depressed, they are no longer able to do the activities together they enjoyed and they are no longer sexually intimate.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seeks an award in the range of $75,000 for non-pecuniary damages. The defendant argues that given the lesser nature of the plaintiff's injuries and his predisposition to pain and injury from pre-existing or unrelated medical problems, the appropriate award is between $25,000 and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succinctly summarized by Mr. Justice Johnston in </w:t>
      </w:r>
      <w:r>
        <w:rPr>
          <w:rFonts w:ascii="arial" w:eastAsia="arial" w:hAnsi="arial" w:cs="arial"/>
          <w:i/>
          <w:color w:val="000000"/>
          <w:sz w:val="20"/>
          <w:lang w:val="en-US" w:eastAsia="en-US" w:bidi="ar-SA"/>
        </w:rPr>
        <w:t>Stovel v. Paul</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2013 BCSC 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A defendant is only liable for injuries to another that he or she caused. The general principles for causation are discussed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recently re-affirmed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346 D.L.R. (4th) 577</w:t>
        </w:r>
      </w:hyperlink>
      <w:r>
        <w:rPr>
          <w:rFonts w:ascii="arial" w:eastAsia="arial" w:hAnsi="arial" w:cs="arial"/>
          <w:color w:val="000000"/>
          <w:sz w:val="20"/>
          <w:lang w:val="en-US" w:eastAsia="en-US" w:bidi="ar-SA"/>
        </w:rPr>
        <w:t xml:space="preserve">. The plaintiff must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his or her injuries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16). The test is whether the plaintiff's injuries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14). This test is not to be applied too rigidly. It is a practical question of fact, which may be answered by ordinary common sense and does not require scientific precision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It is not necessary for the plaintiff to show that the defendant's negligent conduct was the sole cause of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17). It is sufficient to show that the defendant was part of the cause. The Court held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the same case, Johnston J. also summarized the issue of divisible and indivisible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This case presents a combination of divisible and indivisible injuries. The Court of Appeal discussed the principles to be applied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and recently restated them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stated: "Divisible injuries are those capable of being separated out and having their damages assessed independently. Indivisible injuries are those that cannot be separated or have liability attributed to the constituent causes"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If injuries are divisible, then the defendant is liable only for the injury he or she caused. If an injury is indivisible, then the plaintiff is entitled to compensation for the losses resulting from that indivisible injury, regardless of whether it had multiple tortious or non-tortious causes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para. 43;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para. 24). In the case of multiple tortfeasors, liability for indivisible injuries is joint and several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para.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confirmed that the aggravation of a pre-existing injury creates an indivisible injury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Therefore, indivisible injuries include pre-existing conditions activated or aggravated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present case, to the extent the plaintiff's pre-existing condition of degenerative disc disease and compression fractures in his spine were aggravated by the accident and caused the plaintiff's injuries to be more severe, they are indivisible injuries and the plaintiff is entitled to the losses resulting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decision of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reviews the factors that inform an award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support of his claim for non-pecuniary damages the plaintiff relies on the following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Pingitore v. Luk,</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(1994) 49 A.C.W.S. (3d) 900</w:t>
        </w:r>
      </w:hyperlink>
      <w:r>
        <w:rPr>
          <w:rFonts w:ascii="arial" w:eastAsia="arial" w:hAnsi="arial" w:cs="arial"/>
          <w:color w:val="000000"/>
          <w:sz w:val="20"/>
          <w:lang w:val="en-US" w:eastAsia="en-US" w:bidi="ar-SA"/>
        </w:rPr>
        <w:t>: The 67 year old plaintiff was in good health prior to the motor vehicle accident when his vehicle was struck from behind. He was active, described as "robust" and was "substantially free of the ordinary complaints of advancing age." Since the accident, he experienced major chronic back pain and headaches and was unable to continue running his restaurant for which he was also compensated. He was awarded $45,000 in non-pecuniary damages, which, using the Inflation Calculator, amounts to $63,198 in 2012.</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Raponi v. Phagura et al,</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BCSC 567</w:t>
        </w:r>
      </w:hyperlink>
      <w:r>
        <w:rPr>
          <w:rFonts w:ascii="arial" w:eastAsia="arial" w:hAnsi="arial" w:cs="arial"/>
          <w:color w:val="000000"/>
          <w:sz w:val="20"/>
          <w:lang w:val="en-US" w:eastAsia="en-US" w:bidi="ar-SA"/>
        </w:rPr>
        <w:t>: The 45 year old plaintiff was in a motor vehicle accident and suffered soft tissue injuries to the back and neck, spinal compression and distortion, chronic pain syndrome and depression. Since the accident, four years earlier, his injuries had improved dramatically. He was involved in two subsequent motor vehicle accidents. Other factors unrelated to the subject accident were recognized to have prolonged his recovery period (a pre-existing condition of ankylosing spondylitis), and to have contributed to his pre-existing depression, namely the financial downturn and marital difficulties. After the accident he did less well in his law practice and could no longer participate in the sporting activities he had enjoyed. He was unable to participate to the same degree in his home life and interact with his wife and five children. In part as a result of the accident, he and his wife separated and became divorced. The plaintiff was awarded $60,000.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Ulfimzeff v. Brown,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2008 BCSC 1188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Ulfimzeff</w:t>
      </w:r>
      <w:r>
        <w:rPr>
          <w:rFonts w:ascii="arial" w:eastAsia="arial" w:hAnsi="arial" w:cs="arial"/>
          <w:color w:val="000000"/>
          <w:sz w:val="20"/>
          <w:lang w:val="en-US" w:eastAsia="en-US" w:bidi="ar-SA"/>
        </w:rPr>
        <w:t>): The 63 year old plaintiff was in a motor vehicle accident injuring her chest muscles significantly and her neck and back to mild to moderate severity. She and her husband ran a farm. Over the years she had worked off the farm doing night shifts dish washing or assembly line work. She cared for the couple's eight children, largely by herself because her husband's work as a carpenter occupied much of his time. On the farm she engaged in the raising of various fruits and vegetables and they kept a milk cow and sheep. About 10 years prior to the trial the plaintiff had given up other work and devoted her energies to working on the farm. Her husband was eight years her senior and had retired five years before trial. After the accident she was not able to do her household chores and eventually the couple had to sell the farm. She experienced ongoing pain, loss of sleep, inability to do activities and generally an impact on her independence and ability to enjoy life. The plaintiff was awarded $50,000.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Larlee v. Shier,</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2008 BCSC 1610</w:t>
        </w:r>
      </w:hyperlink>
      <w:r>
        <w:rPr>
          <w:rFonts w:ascii="arial" w:eastAsia="arial" w:hAnsi="arial" w:cs="arial"/>
          <w:color w:val="000000"/>
          <w:sz w:val="20"/>
          <w:lang w:val="en-US" w:eastAsia="en-US" w:bidi="ar-SA"/>
        </w:rPr>
        <w:t>: The 62 year old plaintiff suffered injuries to her neck, shoulders, wrists and knees as a result of a motor vehicle accident. She experienced significant pain and loss of enjoyment of life. The accident impacted her work and lifestyle including: day-to-day household activities, gardening, her ability to play piano and accordion, and caused difficulty for her at work. She suffered extreme anxiety while driving and was unable to pursue the wide range of physical and social activities she had enjoyed prior to the accident. Her intimate life with her husband had suffered. She had availed herself of all treatments and therapies. Her husband described how her fatigue, chronic neck pain and back pain debilitated her and how the accident "totally changed our lifestyle, upside down." The plaintiff was awarded $60,000.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Jacobsen v. Beaton,</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2009 BCSC 231</w:t>
        </w:r>
      </w:hyperlink>
      <w:r>
        <w:rPr>
          <w:rFonts w:ascii="arial" w:eastAsia="arial" w:hAnsi="arial" w:cs="arial"/>
          <w:color w:val="000000"/>
          <w:sz w:val="20"/>
          <w:lang w:val="en-US" w:eastAsia="en-US" w:bidi="ar-SA"/>
        </w:rPr>
        <w:t>: The plaintiff, a 69 year old semi-retired landscaper, was injured in a motor vehicle accident. He suffered significant neck pain, described as chronic but not constant, and tinnitus that had not resolved in the two-and-one-half years since the accident. The accident impacted his ability to sleep, partake in community activities and maintain his independent and healthy lifestyle. The plaintiff was awarded $50,000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Strazza v. Ryder,</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2012 BCSC 1693</w:t>
        </w:r>
      </w:hyperlink>
      <w:r>
        <w:rPr>
          <w:rFonts w:ascii="arial" w:eastAsia="arial" w:hAnsi="arial" w:cs="arial"/>
          <w:color w:val="000000"/>
          <w:sz w:val="20"/>
          <w:lang w:val="en-US" w:eastAsia="en-US" w:bidi="ar-SA"/>
        </w:rPr>
        <w:t>: The 29 year old plaintiff suffered injuries to his neck and back from a motor vehicle accident. Following the accident he experienced pain at his work as well as when engaging in other activities such as sports, outdoor activities and working on cars. His pain was described as chronic but not debilitating. The plaintiff was awarded $60,000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Stovel v. Paul,</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2013 BCSC 30</w:t>
        </w:r>
      </w:hyperlink>
      <w:r>
        <w:rPr>
          <w:rFonts w:ascii="arial" w:eastAsia="arial" w:hAnsi="arial" w:cs="arial"/>
          <w:color w:val="000000"/>
          <w:sz w:val="20"/>
          <w:lang w:val="en-US" w:eastAsia="en-US" w:bidi="ar-SA"/>
        </w:rPr>
        <w:t>: As a result of a motor vehicle accident the plaintiff, who was 61 year old at the time, suffered neck, shoulder and upper back soft tissue injuries, and an injury to a finger, as well as partial hearing loss, tinnitus and balance problems. She continued to suffer almost daily headaches, anxiety and muscle spasm problems. The plaintiff had prior injuries that were triggered by this accident. Since the accident she has had to reduce her recreational and leisure activities. The accidence has also impacted her involvement with Alcoholics Anonymous. The plaintiff was awarded $90,000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Counsel for the defendants rely on the following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Williamson v. Nakashimada</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2004 BCSC 1348</w:t>
        </w:r>
      </w:hyperlink>
      <w:r>
        <w:rPr>
          <w:rFonts w:ascii="arial" w:eastAsia="arial" w:hAnsi="arial" w:cs="arial"/>
          <w:color w:val="000000"/>
          <w:sz w:val="20"/>
          <w:lang w:val="en-US" w:eastAsia="en-US" w:bidi="ar-SA"/>
        </w:rPr>
        <w:t>: Prior to his accident, the 37 plaintiff had regular headaches and backache. Following the accident he was unable to work full-time, suffered neck and back pain as well as headaches. The court found his injuries to be mild to moderate with a protracted recovery. They affected his marital relationship and his recreational activities. However his protracted recovery was due, in part, to his pre-existing problems. The plaintiff was awarded $20,000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The 28 year old plaintiff suffered injuries to the neck, knee and back and also developed headaches from a motor vehicle accident. The soft tissue injuries resolved within three months, although he received massage therapy for six months for lingering discomfort. Five years post-accident the plaintiff still experienced what the Court described as "mild, intermittent pain or discomfort ... from the plaintiff's contusion to his tailbone and left ankle sprain." The Court held that the plaintiff was exaggerating his injuries. He received $20,000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Reichennek v. Archibald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2008 BCSC 1304</w:t>
        </w:r>
      </w:hyperlink>
      <w:r>
        <w:rPr>
          <w:rFonts w:ascii="arial" w:eastAsia="arial" w:hAnsi="arial" w:cs="arial"/>
          <w:color w:val="000000"/>
          <w:sz w:val="20"/>
          <w:lang w:val="en-US" w:eastAsia="en-US" w:bidi="ar-SA"/>
        </w:rPr>
        <w:t>: The plaintiff suffered injury to her neck and back and had a painful headache immediately following the motor vehicle accident. For several months after the accident, she found sitting and standing uncomfortable. The Court concluded she sustained a moderate soft tissue whiplash injury. The symptoms were initially acute causing her to miss three weeks of work, but then improved. Some lingering discomfort has affected her recreational activities, house work and sleep patterns. The plaintiff was awarded $22,000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Golam v. Fortier</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2005 BCSC 598</w:t>
        </w:r>
      </w:hyperlink>
      <w:r>
        <w:rPr>
          <w:rFonts w:ascii="arial" w:eastAsia="arial" w:hAnsi="arial" w:cs="arial"/>
          <w:color w:val="000000"/>
          <w:sz w:val="20"/>
          <w:lang w:val="en-US" w:eastAsia="en-US" w:bidi="ar-SA"/>
        </w:rPr>
        <w:t>: The plaintiff suffered mild to moderate soft tissue injury to his right shoulder, neck and mild soft tissue injury to his lower back from a motor vehicle accident. He continued to work as a cook in the restaurant that he and his wife operated because he had no choice. His symptoms did not resolve as quickly as had been expected. He continued to experience some pain and discomfort from his injuries. The Court found that the plaintiff had not suffered a permanent disability and that the pain should resolve. The Court also found that the plaintiff was not malingering or attempting to mislead his doctors or the Court for the purposes of obtaining compensation. He was awarded $25,000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Lopez v. VW Credit Canada Inc.</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2008 BCSC 320</w:t>
        </w:r>
      </w:hyperlink>
      <w:r>
        <w:rPr>
          <w:rFonts w:ascii="arial" w:eastAsia="arial" w:hAnsi="arial" w:cs="arial"/>
          <w:color w:val="000000"/>
          <w:sz w:val="20"/>
          <w:lang w:val="en-US" w:eastAsia="en-US" w:bidi="ar-SA"/>
        </w:rPr>
        <w:t>: Arising from a motor vehicle accident, the 37 year old plaintiff suffered injury in the area of his left shoulder blade, the left side of his back, and experienced some pains shooting down his left arm that resulted in moderate chronic pain, including bursitis and muscle problems not considered to be permanent. Before the accident the plaintiff was athletic and able to concentrate for long periods of time as a software architect. These aptitudes were negatively affected by the accident. The Court found the plaintiff to be credible. The plaintiff was awarded $25,000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Job v. Van Blankers</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The evidence in this case was "extremely generalized and vague" and at most could be used to conclude that the 29 year old plaintiff suffered mild to low moderate soft tissue injuries the neck, back and shoulder as well as tingling in her left arm, headaches and discomfort sitting. The plaintiff failed to follow the advice of her family physician to attend physiotherapy, chiropractic treatment, massage or other rehabilitation which aggravated her injuries. The injuries affected her ability to work as an architectural photographer and perform some housekeeping chores. Her injuries were still ongoing to some degree. The plaintiff was awarded $25,000 in non-pecuniary damages reduced by 10 percent due to her failure to mitigate.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Majewska v. Partyka</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2009 BCSC 175</w:t>
        </w:r>
      </w:hyperlink>
      <w:r>
        <w:rPr>
          <w:rFonts w:ascii="arial" w:eastAsia="arial" w:hAnsi="arial" w:cs="arial"/>
          <w:color w:val="000000"/>
          <w:sz w:val="20"/>
          <w:lang w:val="en-US" w:eastAsia="en-US" w:bidi="ar-SA"/>
        </w:rPr>
        <w:t>: In this case the middle-aged plaintiff, with a home cleaning business, suffered an acute neck and lower back sprain and a mild concussion in a motor vehicle accident. At trial, almost two years after the accident, her condition had improved but she had not made a full recovery. The Court concluded that these injuries had a significant impact on the plaintiff's life, especially on her social and recreational activities. She was awarded $30,000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Elgood v. Ellison</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2010 BCSC 442</w:t>
        </w:r>
      </w:hyperlink>
      <w:r>
        <w:rPr>
          <w:rFonts w:ascii="arial" w:eastAsia="arial" w:hAnsi="arial" w:cs="arial"/>
          <w:color w:val="000000"/>
          <w:sz w:val="20"/>
          <w:lang w:val="en-US" w:eastAsia="en-US" w:bidi="ar-SA"/>
        </w:rPr>
        <w:t>: The 65 year old plaintiff was struck by a motor vehicle as a pedestrian crossing in a marked crosswalk. He suffered injury to his shoulder and neck and had chronic lower back pain due to a soft tissue injury with a possible compression fracture. The plaintiff was able to continue to work as a "paymaster" in bingo hall after the accident despite his level of chronic pain, although his supervisor testified that he was somewhat more irritable at work and refused extra shifts. His leg and shoulder injuries resolved very quickly and his neck pain diminished gradually over time to the point that he experienced only occasional and non-debilitating pain. The plaintiff was awarded $35,000 for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Keeping in mind the findings on the evidence set out above and considering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 note that the plaintiff was almost 71 years old at the time of the accident and 73 years old at trial. While he had degenerative disc disease and one and possibly two compression fractures in his back prior to the accident, they were not causing him difficulties. By all accounts, the plaintiff was an active and vital man who witnesses, including his wife, said typically behaved with the energy of someone considerably younger. The injuries he received in the accident have eliminated his prior recreational activities such as gardening, driving his motorhome, riding his dirt bike and motorcycles, dancing, and socializing with friends and family. They have also negatively impacted his intimate relationship with his wife. His residual level of discomfort, likely contributed to by his aggravated degenerative disc disease and compression fractures in his vertebrae, is likely chronic. I find his injuries, prolonged period of pain and disability, and anticipated residual discomfort into the future to be generally more severe than those in cases relied upon by the defendant. It can fairly be said that the accident has robbed the plaintiff of considerable satisfaction and enjoyment that he otherwise may have experienced in his "golden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When an older person is injured and suffers these impairments to their mobility, the negative change in their physical abilities must be considered with all due seriousness. As stated by Lord Justice Sachs in </w:t>
      </w:r>
      <w:r>
        <w:rPr>
          <w:rFonts w:ascii="arial" w:eastAsia="arial" w:hAnsi="arial" w:cs="arial"/>
          <w:i/>
          <w:color w:val="000000"/>
          <w:sz w:val="20"/>
          <w:lang w:val="en-US" w:eastAsia="en-US" w:bidi="ar-SA"/>
        </w:rPr>
        <w:t>Frank v. Cox</w:t>
      </w:r>
      <w:r>
        <w:rPr>
          <w:rFonts w:ascii="arial" w:eastAsia="arial" w:hAnsi="arial" w:cs="arial"/>
          <w:color w:val="000000"/>
          <w:sz w:val="20"/>
          <w:lang w:val="en-US" w:eastAsia="en-US" w:bidi="ar-SA"/>
        </w:rPr>
        <w:t xml:space="preserve"> (1967), 111 Sol. Jo. 670 (C.A.), which was adopted by Fraser J. in </w:t>
      </w:r>
      <w:r>
        <w:rPr>
          <w:rFonts w:ascii="arial" w:eastAsia="arial" w:hAnsi="arial" w:cs="arial"/>
          <w:i/>
          <w:color w:val="000000"/>
          <w:sz w:val="20"/>
          <w:lang w:val="en-US" w:eastAsia="en-US" w:bidi="ar-SA"/>
        </w:rPr>
        <w:t>Moody v. Windsor</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(1992), 64 B.C.L.R. (2d) 83</w:t>
        </w:r>
      </w:hyperlink>
      <w:r>
        <w:rPr>
          <w:rFonts w:ascii="arial" w:eastAsia="arial" w:hAnsi="arial" w:cs="arial"/>
          <w:color w:val="000000"/>
          <w:sz w:val="20"/>
          <w:lang w:val="en-US" w:eastAsia="en-US" w:bidi="ar-SA"/>
        </w:rPr>
        <w:t xml:space="preserve"> at 93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take the view myself that when one has a person in advancing years, in some respects an impairment of movement may perhaps be more serious than it is with a younger person. It is true, as Mr. Chedlow has stressed that he has not got as many years before him through which he has to live with this discomfort, pain and impairment of movement. But it is important to bear in mind that as one advances in life, one's pleasures and activities particularly do become more limited, and any substantial impairment in the limited amounts of activity and movement which a person can undertake, in my view, becomes all the more serious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While assessing non-pecuniary damages is very case specific, I find the facts here are most akin to those cases in which older plaintiffs have suffered significant negative changes to their lifestyle and independence due to their injuries. Of the cases referred to I find the cases of </w:t>
      </w:r>
      <w:r>
        <w:rPr>
          <w:rFonts w:ascii="arial" w:eastAsia="arial" w:hAnsi="arial" w:cs="arial"/>
          <w:i/>
          <w:color w:val="000000"/>
          <w:sz w:val="20"/>
          <w:lang w:val="en-US" w:eastAsia="en-US" w:bidi="ar-SA"/>
        </w:rPr>
        <w:t>Pingitore v. Luk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Larlee v. Shier</w:t>
      </w:r>
      <w:r>
        <w:rPr>
          <w:rFonts w:ascii="arial" w:eastAsia="arial" w:hAnsi="arial" w:cs="arial"/>
          <w:color w:val="000000"/>
          <w:sz w:val="20"/>
          <w:lang w:val="en-US" w:eastAsia="en-US" w:bidi="ar-SA"/>
        </w:rPr>
        <w:t xml:space="preserve"> to be most similar to the case at bar. In both those cases, older plaintiffs suffered significant injuries that impaired their post-accident lives to a substantial degree, depriving them of their prior levels of physical activity, productivity and enjoyment. I look to those cases in assessing a fair and reasonable amount in non-pecuniary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present case, I find that an award $65,000 in non-pecuniary damages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seeks $5,783 in special damages, which includes the supplementary list of special damages up to and including physiotherapy charges incurred on January 17, 2013. On the evidence I am satisfied that it is proper for the plaintiff to be reimbursed for special expenses up to this date as he continues, based on the evidence of Dr. Roberts, to need physiotherapy and medications for pain arising from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Apart from the amount of $1,590 attributed to Pam's Yard Clean-up and Maintenance, which is disputed on behalf of the defendant, the other expenses claimed as special damages are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Although I have found the plaintiff and Ms. Dent overall to be reliable and credible witnesses, I find that I am not satisfied as to the legitimacy of the claim for amounts attributed to Pam's Yard Clean-up and Maintenance. The invoices that were "rewritten" in sequence are unusual. Although the evidence indicates that after the accident the plaintiff was unable to perform the garden and yard work he did before, Ms. Dent testified that she enlisted the help of her brother, Mr. Vollman to assist with yard tasks including lawn mowing, which is also the main service provided by Pam's Yard Clean-up and Maintenance on the invoices. The plaintiff in particular testified as to his frustration in relation to the unkempt state of their garden and yard, which to some extent is contradictory with the provision of regular services by an independent service. I find it is not proved that the charges to Pam's Yard Clean-up and Maintenance were incurred during the relevant time period and I decline to permit the $1,590 claimed for this service as a special expense. I find the balance of the special expenses claimed by the plaintiff in the amount of $4,193.68 to be proven and award that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seeks $3,000 in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affd' in </w:t>
      </w:r>
      <w:hyperlink r:id="rId449"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McLachlin J. (as she then was) sets out the test to be applied in awarding the cost of future care as follows at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award for cost of care should reflect what the evidence establishes is reasonably necessary to preserve the plaintiff's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at para. 182: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[182] There must be a medical justification for claims for cost of future care, and those claims must be reasonable and fair to both parties. The court must determine the services, medications and aids that are reasonably necessary to promote the health of the plaintiff and assess the likelihood that he will use them in the future. See: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41-42; and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the present case, the evidence of Dr. Roberts, particularly the summary from his report as quoted above, makes it quite clear that the plaintiff will continue in the future to require physiotherapy and anti-inflammatory medications to assist him in further recovery and pain management for mild residual symptoms arising from injuries sustained in the accident. It is not possible to assess an exact amount, but the amount of $3,000 sought by the plaintiff seems imminently reasonable given the amount and frequency of costs incurred for medications and physiotherapy up to trial. I assess the cost of future care in this case to be $3,000.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claims an amount of $10,000 for loss of housekeeping capacity. The defendant submits that the plaintiff lacks the necessary evidence to prove this aspect of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Huddart J.A. sets out how to assess loss of housekeeping capacity. In this case the Court of Appeal upheld the trial judge's award for loss of household services based on a cost of replacement of services formula under a separate head of damages. The trial judge awarded both past and future lost capacity. Future losses were estimated to the age of 60 when the plaintiff presumably would no longer have been able to perform housekeeping services without assistance. It was not relevant that a housekeeper was not actually hired and family members took over these tasks; loss of housekeeping capacity is not analogous to future care costs where expenses must be proven. As to estimating both pretrial and future losses, Huddart J.A.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This approach to valuation of the plaintiff's loss has the advantage of encouraging family benevolence, without providing a windfall to the wrongdoer. It discourages the hiring of less satisfactory and perhaps more expensive substitute services. It allows a court to determine what services are reasonably necessary by reference to what services family members were prepared to provide. Two Australian authorities not among those provided by counsel contain an interesting discussion of those and other policy considerations. </w:t>
      </w:r>
      <w:r>
        <w:rPr>
          <w:rFonts w:ascii="arial" w:eastAsia="arial" w:hAnsi="arial" w:cs="arial"/>
          <w:i/>
          <w:color w:val="000000"/>
          <w:sz w:val="20"/>
          <w:lang w:val="en-US" w:eastAsia="en-US" w:bidi="ar-SA"/>
        </w:rPr>
        <w:t>Griffiths v. Kerkemeyer</w:t>
      </w:r>
      <w:r>
        <w:rPr>
          <w:rFonts w:ascii="arial" w:eastAsia="arial" w:hAnsi="arial" w:cs="arial"/>
          <w:color w:val="000000"/>
          <w:sz w:val="20"/>
          <w:lang w:val="en-US" w:eastAsia="en-US" w:bidi="ar-SA"/>
        </w:rPr>
        <w:t xml:space="preserve"> (1977-78), 139 C.L.R. 161 (Aust.H.C.) and </w:t>
      </w:r>
      <w:r>
        <w:rPr>
          <w:rFonts w:ascii="arial" w:eastAsia="arial" w:hAnsi="arial" w:cs="arial"/>
          <w:i/>
          <w:color w:val="000000"/>
          <w:sz w:val="20"/>
          <w:lang w:val="en-US" w:eastAsia="en-US" w:bidi="ar-SA"/>
        </w:rPr>
        <w:t>Hodges v. Frost</w:t>
      </w:r>
      <w:r>
        <w:rPr>
          <w:rFonts w:ascii="arial" w:eastAsia="arial" w:hAnsi="arial" w:cs="arial"/>
          <w:color w:val="000000"/>
          <w:sz w:val="20"/>
          <w:lang w:val="en-US" w:eastAsia="en-US" w:bidi="ar-SA"/>
        </w:rPr>
        <w:t xml:space="preserve"> (1984), 53 A.L.R. 373 (F.C.A.) both concern household services gratuitously provided for a plaintiff in the pre-trial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The appellants recognize that it would be somewhat of a legal fiction to characterize pre-trial or past loss of housekeeping capacity as intangible "pain and suffering," under the non-pecuniary general head of damages, and then to place an economic market value on these same household services when compensating a victim for future loss of housekeeping services that might not be incurred. They would avoid that fiction by ensuring a plaintiff is compensated by pecuniary damages only for money spent or likely to be spent on replacement services. Otherwise, in their view, a plaintiff will be overcompensated; that is, she will gain from the award. Moreover, the principle of restraint will not have been respected. They would compensate intangible losses consequent on a decision not to replace needed services by a modest non-pecuniary conventional award determined globally by comparison with like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In my view, this suggested approach is inconsistent with the authorities. Moreover, as the Australian legal scholar, Regina Graycar, suggests, reliance on this approach tends to equate "hoovering" with a hobby as a loss of amenity.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This characterization undervalues or devalues housework, and comes into direct conflict with the well-established recognition of the economic value of housework at common law. Hoovering in Canada has never been seen as a hobby. It is work of economic value, although the person who "hoovers" may not be remunerated directly in money for what he or, more frequently she, does. It is well to keep the distinction between unpaid work of economic value and hobby in mind. The loss of a hobby requires compensation by an award for a functional replacement. The loss of the ability to perform household tasks requires compensation by an award measured by the value of replacement services where evidence of that value is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In my view, when housekeeping capacity is lost, it is to be remunerated. When family members by their gratuitous labour replace costs that would otherwise be incurred or themselves incur costs, their work can be valued by a replacement cost or opportunity cost approach as the case may be. That value provides a measure of the plaintiff's loss. Like the trial judge I would prefer to characterize such compensation as general damages assessed in pecuniary terms, reserving special damages for those circumstances where the plaintiff actually spent money or incurred a monetary liability, although I do not wish to state a settled view on that question in the absence of full submissions as to the consequences of the distinction,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McIntyre v. Docherty,</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2009 ONCA 448</w:t>
        </w:r>
      </w:hyperlink>
      <w:r>
        <w:rPr>
          <w:rFonts w:ascii="arial" w:eastAsia="arial" w:hAnsi="arial" w:cs="arial"/>
          <w:color w:val="000000"/>
          <w:sz w:val="20"/>
          <w:lang w:val="en-US" w:eastAsia="en-US" w:bidi="ar-SA"/>
        </w:rPr>
        <w:t xml:space="preserve"> reviews the introduction of a separate head of damages for loss of housekeeping services. The analysis of past housekeeping services is broken down into the following categories: work left undone; work done by the plaintiff with difficulty and; work done by third parties. As discussed below, each aspect of loss of housekeeping capacity is compensable and should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 current approach denying a separate pecuniary award for housekeeping may mean that unpaid work is unjustifiably treated differently than paid work. In the case of paid work, the plaintiff will make a claim for the pre-trial income she or he would have earned but for the accident. Such a claim is one for a pecuniary loss, or special damages, since it is calculable with a reasonable degree of certainty based on the available evidence. As I have observed, in contrast, unpaid housekeeping left undone is often recognized only as a non-pecuniary loss on the basis that the only loss is the intangible one arising from the loss of the amenity of an orderly household and a loss of a sense of contribution.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However, an argument can be made to support a pecuniary award on the basis that it is consistent and fair to compensate the loss of "unpaid" work on the same basis as "paid" employment and that it is unfair to relegate "unpaid" undone housekeeping, in this case past lost housekeeping, to the homogeneous basket of non-pecuniary damages. Non-pecuniary damages are restricted both by the cap imposed on them by the Supreme Court of Canada and by the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admonition that such awards must be modest.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It can also be argued that a pecuniary award would achieve a measure of recognition for the economic value of unpaid housekeeping. The denial of such an award may be seen to unfairly diminish the contribution of those responsible for the bulk of housekeeping, still largely women, and to perpetuate inequalities that society has worked hard to overcome.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On the other hand, treating undone housekeeping on the same basis as lost wages arguably does not conform to the traditional view or current Canadian case law regarding the nature of a "pecuniary" loss during the pre-trial period: see </w:t>
      </w:r>
      <w:r>
        <w:rPr>
          <w:rFonts w:ascii="arial" w:eastAsia="arial" w:hAnsi="arial" w:cs="arial"/>
          <w:i/>
          <w:color w:val="000000"/>
          <w:sz w:val="20"/>
          <w:lang w:val="en-US" w:eastAsia="en-US" w:bidi="ar-SA"/>
        </w:rPr>
        <w:t>MacLean v. MacDonald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201 N.S.R. (2d) 237</w:t>
      </w:r>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British Transport Commission v. Gourley</w:t>
      </w:r>
      <w:r>
        <w:rPr>
          <w:rFonts w:ascii="arial" w:eastAsia="arial" w:hAnsi="arial" w:cs="arial"/>
          <w:color w:val="000000"/>
          <w:sz w:val="20"/>
          <w:lang w:val="en-US" w:eastAsia="en-US" w:bidi="ar-SA"/>
        </w:rPr>
        <w:t>, [1956] A.C. 185 (H.L.). This is because lost wages are clearly a pecuniary loss that is ascertainable at the time of trial. However, an unpaid homemaker does not suffer a loss of wages, but rather the loss of the benefit of having done the housekeeping, including the personal intangibles such as the sense of purpose and contribution referred to earlier, as well as the loss of the amenity of an organized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[Endnote omitted]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testified that prior to the accident he did a variety of chores in and outside of the couple's home. In relation to the home, he helped with grocery shopping, meal preparation, laundry, window washing and other chores. Outside, he cut the lawn, weeded the garden and trimmed trees. To my mind, other tasks he described, for example the spreading of manure and the needed repair to the canopy over the motorhome, are more in the realm of hobby (versus "hoovering" as discussed above) and therefore do not fall into the category of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clear that while suffering the effects of the accident the plaintiff struggled to perform some very basic household tasks (like taking out the garbage) and did not perform others, which then his wife performed. Both the plaintiff and his wife relied on friends and relatives to help out with other household and home maintenance tasks (that the plaintiff otherwise would have attended to) over the period when he was physically debilitated from injuries sustained in the accident - a period just over two years. Mr. Vollman attended to lawn mowing and other chores. Some tasks remained undone.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of September 2012, I have found the plaintiff to be substantially recovered but likely to experience pain and limitations on his physical ability and strength going forward. He is also advancing in age and in any event is likely to experience some decline in his ability to perform household chores unrelated to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Drawing on the evidence, I assess $2,500 for the plaintiff's past loss of housekeeping capacity for chores he would have performed inside and outside the home but was unable to perform due to the accident; and an additional $2,500 in relation to household tasks he would have performed but which were performed by his wife and other friends and family, including Mr. Vollman. However, I find there is insufficient evidence with regards to the plaintiff's loss of housekeeping capacity in the future and decline to award an amount in that regard. Therefore, the total award for loss of housekeeping capacity is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For these reasons I find that the plaintiff is entitled to the following relief and so order:</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amount of $65,000;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amount of $4,193.68;</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in the amount of $3,000;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in the amount of $5,000;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Pre-judgment interest at the prevailing rate from the date of the accident to the date of judgment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With regards to costs, unless there are offers which have been exchanged which affect the matter of costs, I find that the plaintiff as the successful party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If parties still wish to make submissions based upon offers that have been made, then arrangements may be made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Dhillon v. Ashton, [2009] B.C.J. No. 1630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 9 and May 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M065055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273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Amrik Singh Dhillon, Plaintiff, and Erwin Wade Ashton and Jeffrey Sullivan Perkins,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4" w:name="Keywords_18"/>
      <w:bookmarkEnd w:id="124"/>
      <w:r>
        <w:rPr>
          <w:rFonts w:ascii="arial" w:eastAsia="arial" w:hAnsi="arial" w:cs="arial"/>
          <w:b/>
          <w:color w:val="000000"/>
          <w:sz w:val="20"/>
          <w:lang w:val="en-US" w:eastAsia="en-US" w:bidi="ar-SA"/>
        </w:rPr>
        <w:t>Damages — Physical and psychological injuries — Physical injuries — Body injuries — Back and spine — Neck — Considerations impacting on award — Pre-existing injury — Action by plaintiff for injuries caused by two motor vehicle accidents allowed — Plaintiff suffered soft tissue injuries to his neck, shoulder and back from first accident which could not be completely separated from his original back problems — Second accident played minimal role — Damages awarded for non-pecuniary loss of $15,000 and $10,000 for first and second accidents — Plaintiff entitled to past wage loss of $10,488 and $11,222 — Plaintiff entitled to $3,128 in special damages — Awarded $15,000 for loss of earning capacity as plaintiff required accommodation to perform job functions and if lost position would be disadvantaged in obtaining new employment.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Past loss of income — Employment income — Expenses and expenditures — Non-pecuniary loss — Action by plaintiff for injuries caused by two motor vehicle accidents allowed — Plaintiff suffered soft tissue injuries to his neck, shoulder and back from first accident which could not be completely separated from his original back problems — Second accident played minimal role — Damages awarded for non-pecuniary loss of $15,000 and $10,000 for first and second accidents — Plaintiff entitled to past wage loss of $10,488 and $11,222 — Plaintiff entitled to $3,128 in special damages — Awarded $15,000 for loss of earning capacity as plaintiff required accommodation to perform job functions and if lost position would be disadvantaged in obtaining new employment.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Action by plaintiff for injuries caused by two motor vehicle accidents allowed — Plaintiff suffered soft tissue injuries to his neck, shoulder and back from first accident which could not be completely separated from his original back problems — Second accident played minimal role — Damages awarded for non-pecuniary loss of $15,000 and $10,000 for first and second accidents — Plaintiff entitled to past wage loss of $10,488 and $11,222 — Plaintiff entitled to $3,128 in special damages — Awarded $15,000 for loss of earning capacity as plaintiff required accommodation to perform job functions and if lost position would be disadvantaged in obtaining new employment.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5" w:name="Case Summary_18"/>
            <w:bookmarkEnd w:id="1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injuries caused by two motor vehicle accidents. The plaintiff was involved in two motor vehicle accidents in which his vehicle was rear-ended, in March 2005 and September 2006. As a result of the accidents, the plaintiff alleged that he suffered soft tissue injuries to his neck, shoulder and back and that his injuries were permanent and disabling. After the first motor vehicle accident, the plaintiff took some time off work, attended physiotherapy and was prescribed medication to recover from his injuries. Approximately six weeks after the accident, the plaintiff returned to work with reduced hours and gradually increased his hours over the next two months when he returned to full-time hours and full duties. Following the second motor vehicle accident, the plaintiff suffered increased neck and back pain and frequent severe headaches. He was treated with physiotherapy, massage therapy and pain medication. He was off work following the second accident for approximately five or six weeks, then returned to work full-time but not on full duties. Shortly after he returned to work, the plaintiff was promoted to a supervisory position which did not include heavy labour. From January 2007 up to the time of trial, the plaintiff experienced little improvement in his condition. He continued to experience problems with his neck, to a lesser extent, and continuing back pain, but his problems with his shoulder were no longer present. In addition to the two motor vehicle accidents that were the subject of this action, the plaintiff had a pre-existing back condition, was involved in a prior motor vehicle accident and two workplace injuries that occurred in between the first and second motor vehicle accidents at issue. Prior to the motor vehicle accidents, the plaintiff enjoyed leisure activities such as walking and going to the gym, but was unable to participate in those activities to the same extent after the accident. In addition, the plaintiff indicated he could no longer go to the temple to pray daily, his ability to play with his two children was limited and that his injuries impeded his efforts to have his father immigrate to Canada because his income was restricted.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6" w:name="Holdings of Court_15"/>
            <w:bookmarkEnd w:id="12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first motor vehicle accident, the plaintiff suffered mild to moderate soft tissue injuries to his neck, right shoulder and lower back, which could not be completely separated from his original back problems. The second motor vehicle accident played a minimal role in the plaintiff's continuing symptoms, the other more significant contributors being his original back condition, and the two workplace injuries. The plaintiff was awarded damages for non-pecuniary loss of $15,000 for the first motor vehicle accident and $10,000 for the second motor vehicle accident. Because the plaintiff was able to work prior to both accidents, he was entitled to past wage loss of $10,488 for the first motor vehicle accident and $11,222 in relation to the second accident. In addition, the plaintiff was entitled to $3,128 in special damages. The plaintiff required accommodation in the workplace to carry on his job functions and were he to lose that position he would be disadvantaged in obtaining new employment. Consequently, the plaintiff was entitled to $15,000 for loss of future earning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Counsel_18"/>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R.C. Marcoux.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C.L. Thiessen.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18"/>
      <w:bookmarkEnd w:id="128"/>
      <w:r>
        <w:pict>
          <v:line id="_x0000_s1123"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C.J. ROSS J."/>
            <w:bookmarkEnd w:id="129"/>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brought pursuant to Rule 66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plaintiff, Amrik Singh Dhillon, seeks damages for injuries caused by two motor vehicle accidents, the first which occurred on March 1, 2005 and the second which occurred on September 20, 2006. Liability is not at issue with respect to either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Dhillon alleges that he suffered soft tissue injury to his neck, shoulder, and back in the accidents, and that his injuries are permanent and disabling. The assessment of damages is rendered more complex in this case because of a pre-existing back condition, a prior motor vehicle accident, and two workplace accidents that occurred in between the first and second motor vehicle accidents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Dhillon was born in India in 1972. He grew up on a farm and completed Grade 10. He then completed one year of a two-year program related to the operation and repair of tractors. He subsequently worked in that field until he immigrated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Dhillon immigrated to Canada as a refugee in November 2000. He settled in Kelowna where he obtained work in an orchard as a general labourer. This work involved heavy lifting, frequent bending and maintaining awkward positions. Mr. Dhillon testified that he was able to do this work without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Dhillon stated that he did suffer from back pain for about a year and half while in Kelowna. He described that pain as extending from the base of his spine down his right leg. He stated that the pain was not severe and that it was a different pain from that which he experienced after the motor vehicle accidents at issue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moved to Keremeos in 2003 where he continued work in an orchard. This was also labouring work involving heavy lifting and digging. It was his evidence that he did not have any limitations doing this work. The orchard work in both Kelowna and Keremeos was seasonal and Mr. Dhillon collected unemployment insurance benefits during part of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2004, Mr. Dhillon moved to Surrey in part to assist with his immigration and in part to obtain work that was not seasonal. In July of that year, he obtained employment as a labourer with PKM Dhaliwal Ltd. ("Dhaliwal"), working in a greenhouse. The greenhouse was owned and operated by Origin Organics Ltd. and Dhaliwal supplied the labour. This employment also entailed heavy lifting. Mr. Dhillon stated that prior to the two motor vehicle accidents at issue in the litigation, he was able to perform his tasks without any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October 2004, Mr. Dhillon started a second job performing cleaning services at Kwantlen College on a part-time basis through Dynamic Maintenance ("Dynamic"). He worked 2-3 hours in the evening until his hours declined in 2005. He did not return to this work after the motor vehicle accident in 2005 because he was told that the company did not have work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period before the first motor vehicle accident at issue in the litigation, Mr. Dhillon performed 17-25 hours a week at Dynamic in addition to his full-time employment with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Dhillon was involved in a motor vehicle accident on February 1, 2005 (the "February 2005 MVA") when the truck that he was driving struck a car when he was attempting to change lanes. Mr. Dhillon testified that he did not miss work, but did attend at his doctor on February 13, 2005, stating that he was suffering from pain in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accident at issue in these proceedings occurred on March 1, 2005 ("First MVA"). Mr. Dhillon was driving a 1991 GMC Safari. He had been travelling on King George Highway and was stopped at a light at the intersection of King George Highway and 152 Street in Surrey when his vehicle was hit from behind. The back bumper was dented. His vehicle did not strike the vehicle in front of him. Mr. Dhillon testified that he was wearing his seat belt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Dhillon testified at trial that his vehicle was pushed forward as a result of the First MVA. However, in a statement he provided one day after the First MVA, he stated that he did not know if the vehicle was pushed forward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Dalip Sandhu has been Mr. Dhillon's family doctor since Mr. Dhillon moved to Surrey in 2004. Mr. Dhillon attended at Dr. Sandhu after the accident. Dr. Sandhu advised Mr. Dhillon to take some time off work and attend physiotherapy, and prescribed Tylenol 3. Mr. Dhillon testified that he was sure that he told his doctor about all of his accident related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Dhillon attended physiotherapy with Shivraj Sandhu at Scottsdale Physiotherapy 46 times between March 7, 2005 and June 19, 2005. At the time of the intake assessment Mr. Dhillon did not mention the February 2005 MVA. He did advise that he had suffered low back pain about one year earlier. He did not mention headaches or difficulties with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Dhillon testified that he injured his back, neck and right shoulder in the accident and that in the aftermath of the accident he suffered from headaches and difficulties with his sleep. He reported headaches to his doctor on the day of the First MVA and again about two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Dhillon stated that he was off work from the date of the First MVA until mid-May when he started a graduated return to work. During this period he stated that he was in constant pain, with his neck and back pain being the worst.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Dhillon stated that by the time he started back to work his shoulder had improved. He was continuing to experience pain in his back and neck. He stated that he started with easy jobs and reduced hours when he was first back at work. He gradually increased his hours and gradually returned to his full duties until mid-July, by which time he was back to full hours and full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stated that by July he was able to do his work without limitation, including the heavy work, but experienced pain when he did so. Mr. Dhillon stated that his neck and back remained painful every day. Mr. Dhillon stated that he still had pain for which he continued to take Tylenol 3 medication and used a heating pad at home. He continued to have headaches, but these were more infrequent. He continued to suffer from difficulties with sleep. He had no pain in his shoulder. His doctor suggested he go to the pool to swim and exercise. Mr. Dhillon tried this, but found that it increased his pain so 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Dhillon was married in late 2005 and went to Thailand for a two-month honeymoon in November and December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Sandhu went on medical leave at the end of 2005 and Mr. Dhillon followed up with Dr. Sandhu's locum.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June 2006, Mr. Dhillon suffered an injury to his left shoulder and thumb at work when he fell while placing plants on a cart ("First Workplace Accident"). It was Mr. Dhillon's testimony that he did not injure his neck or back in the Accident, however, Dr. Sandhu testified that it is possible that Mr. Dhillon aggravated his previous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the accident, Mr. Dhillon attended the locum doctor who prescribed Tylenol 3 and physiotherapy. Mr. Dhillon's doctor recommended that he participate in a work and exercise conditioning program, however, Mr. Dhillon did not do so. He stated that the reason was that he didn't know where the program was located. Mr. Dhillon did receive physiotherapy from Shivraj Sandhu following this First Workplace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Dhillon was off work from this injury until mid-August when he commenced a gradual return to work program that was funded by Worksafe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Keith Hammonds is now the Director of Production of Origin Organics (the owner of the greenhouse at which Mr. Dhillon is employed). Mr. Hammonds first met Mr. Dhillon in August 2006. Mr. Hammonds changed Origin Organic's method of calculating compensation when he took over the management and Mr. Dhillon complained that he wanted the old system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Dhillon had returned to full-time employment on August 21, 2006. Shortly after his return, on August 30, 2006, he suffered another workplace injury when some water on the ground caused him to slip and fall into a gutter, injuring his right shoulder ("Second Workplace Accident"). Mr. Dhillon attended at his doctor and was referred to physiotherapy. Dr. Sandhu had now returned. On September 16, 2006, Dr. Sandhu noted that Mr. Dhillon had a right shoulder injury for which he had missed three days of work, and that Mr. Dhillon had recovered from the injury to his left shoulder. He also noted that Mr. Dhillon complained of ongoing pain in the low back and neck relating to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Dhillon was off work from this injury from the Second Workplace Accident until shortly before September 20, 2006. Mr. Dhillon received physiotherapy for this injury from Shivraj Sandhu, with funding from Worksafe BC. Mr. Dhillon testified that he returned to work following this accident with no physical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trial it was Mr. Dhillon's evidence that he did not injure his neck or back in either of the workplace accidents. On his examination for discovery his evidence was that he couldn't say whether or not he did so. Mr. Dhillon's explanation for this inconsistency was that he was taking pain medication to keep the pain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second accident at issue in these proceedings occurred on September 20, 2006, shortly after Mr. Dhillon's return to work from the Second Workplace Accident. Mr. Dhillon was travelling along 76 Avenue in Surrey, and was stopped at the yield sign to make a right hand turn onto King George Highway when his vehicle was struck from behind ("Second MVA"). Mr. Dhillon could not say if the vehicle was pushed forward or if he felt his seatbelt restrained him. No emergency vehicles were called. His vehicle did not require any repairs and the defendant's vehicle did not sustain any visible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Dhillon stated that he felt an electric shock like pain radiating down his spine at the time of the accident. He stated that following this accident he suffered increased neck and back pain and frequent and severe headaches. He attended Dr. Sandhu on September 21, 2006 who referred him to physiotherapy and massage therapy for his neck and back. Dr. Sandhu's notes indicate that Mr. Dhillon reported that his neck and shoulder were "ok", but he complained of pain in his low back. Examination showed areas of tenderness in the low back with reduced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Dhillon stated that he continued to take Tylenol 3 for pain. He testified that the pain he had experienced in his neck and back from the First MVA was now much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Dhillon attended Back and Body Basics Chiropractic Inc. for treatment for his injuries following the Second MVA. He attended 41 sessions in the period between September 21, 2006 and April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Dhillon stated that he was off work following the Second MVA until November 2006. He returned to work full-time, but not to full duties, in January 2007. At that time he was continuing to attend physiotherapy for the injury to his right shoulder in relation to the Second Workplace Accident. Mr. Dhillon could not say if he aggravated the injury to his right shoulder in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Hammonds testified that he observed that Mr. Dhillon was a hard worker and he had the opinion that Mr. Dhillon was very capable. Shortly after Mr. Dhillon returned to work in January 2007, he promoted Mr. Dhillon to the position of Irrigation Supervisor, first on a temporary and then permanent basis. Mr. Dhillon has occupied this position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Hammonds said that starting in about 2007 he started having day-to-day dealings with Mr. Dhillon. At some point Mr. Hammonds became aware that Mr. Dhillon had difficulties with heavy work and instructed him to get someone else to do that work. Mr. Hammonds testified that heavy labour is not part of Mr. Dhillon's present work as a supervisor. It was his impression that Mr. Dhillon is not capable of maintaining work such as heavy lifting. Mr. Hammonds stated that he has a good professional relationship with Mr. Dhillon characterized by a high level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2006, Mr. Dhillon incorporated a company, A.K. Dhillon. His company took over the contract to supply labour to the greenhouse owned by Origin Organics. He received compensation for supplying the labour, and wages for his work at the greenhouse. He continues to fill the position of Irrigation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was Mr. Dhillon's testimony that there has been little improvement in his condition from January 2007 up until today. He stated that the problems with his neck are today somewhat less, but they bother him when he must spend long periods sitting or driving. At his examination for discovery Mr. Dhillon gave evidence that he was continuing to suffer from neck pain as a result of the First MVA at the time the Second MVA occurred. On cross-examination he was unable to say whether that was accurate. At his first visit to Dr. Sandhu after the Second MVA he advised that his neck felt "ok". While he said that there has been little improvement in his neck since the beginning of 2007, there are no specific reports of neck pain to Dr. Sandhu after September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Dhillon testified that his problems with his right shoulder are no longer present. Mr. Dhillon testified that he was continuing to have back pain from the First MVA prior to the Second MVA. However, on his examination for discovery, he stated that he was not still having back pain prior to the Second MVA. He explained that what he had meant was that he was taking pain medication so he didn't feel the pain. He also stated that his back problems still persist. He described the back complaints as being in the center of his back in the area around his navel. These problems continue to the present. He stated that as a result he has limitations at work in that he is no longer able to do heavy lifting or to operate a forklift. He continues to take Tylenol 3 for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Dhillon said he was still getting occasional pain in his lower back just before the Second MVA. However, at his examination for discovery he gave evidence that his back pains only lasted three or four months following the First MVA. Although he could not recall any specific problems as a result of the Second MVA other than a "shock" down his spine, he gave evidence that there has been no improvement to his lower back since the beginning of 2007. However, at his second visit to Dr. Sandhu after the Second MVA Mr. Dhillon did not mention lower back pain as a problem. In addition, the clinical records of Body and Basics Chiropractic show numerous instances where Mr. Dhillon advised that he feels better and is having improvement which is inconsistent with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Furthermore, Mr. Dhillon stated his previous back pain, in 2000 and 2001, was to his right lower back and hip area whereas the pain following the First and Second MVAs was along the midline in his back directly behind his belly button. The clinical records of Dr. Madhu Brar-Hayer of Back and Basics Chiropractic shows that a majority of Mr. Dhillon's complaints are for the work-related right shoulder injury and that the lower back complaints are mainly right sided, not in the middle. There are also complaints of numbness in the right leg which is exactly the same pain he complained of in 2000 and 2001, which Mr. Dhillon states was different from the pains he suffered as a result of either the First or Second MVAs. In addition, the form that Mr. Dhillon completed on intake to Back and Basics Chiropractic makes no mention of headaches or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Dhillon stated that he still has problems sleeping and still suffers from headaches, but to a lesser degree. However, he has never mentioned difficulty sleeping to any doctor. With respect to headaches, at the examination for discovery in October 2008, he could not say when he last had a headache before the Second MVA. He could not say if he had had even one headache since the Second MVA, from the date of the First MVA, and he stated that he could not recall when his last headache had occurred. At trial he stated that was because every time his head hurts, he takes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Dhillon testified that he was involved in another motor vehicle accident after the Second MVA. The accident occurred when he was backing his vehicle out and struck another vehicle. It was his testimony that he suffered no injury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Dhillon stated that before the First and Second MVAs he enjoyed normal leisure activities such as walking, playing games and going to the gym. Now such activities are curtailed. He is no longer able to go to the temple for prayers as he used to do daily because he cannot sit cross-legged on the floor. His ability to play with his young children, who are aged one and three, is limited. He testified that the injuries served as an impediment in his efforts to secure permission for his father to immigrate to Canada because his income was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Sandhu provided an opinion dated February 9, 2009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MVA accident: March 1,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Dhillon suffered a MVA on March 1, 2005. He suffered acute sprain of his right shoulder, neck and low back. He was treated appropriately. Dr. C. Caines was consulted, an Orthopaedic surgeon.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TOTAL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1, 2005 - May 12,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PARTIAL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12, 2005 - October 1,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MVA: September 20,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Dhillon suffered re-injury to his neck, shoulders, and low back, acute neck, shoulder and low back sprain. He was treated appropriately. Dr' Shahid consulted.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TOTAL DISABILITY:</w:t>
      </w:r>
      <w:r>
        <w:rPr>
          <w:rFonts w:ascii="arial" w:eastAsia="arial" w:hAnsi="arial" w:cs="arial"/>
          <w:color w:val="000000"/>
          <w:sz w:val="20"/>
          <w:lang w:val="en-US" w:eastAsia="en-US" w:bidi="ar-SA"/>
        </w:rPr>
        <w:t xml:space="preserve"> September 22, 2006 - November 13,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PARTIAL DISABILITY:</w:t>
      </w:r>
      <w:r>
        <w:rPr>
          <w:rFonts w:ascii="arial" w:eastAsia="arial" w:hAnsi="arial" w:cs="arial"/>
          <w:color w:val="000000"/>
          <w:sz w:val="20"/>
          <w:lang w:val="en-US" w:eastAsia="en-US" w:bidi="ar-SA"/>
        </w:rPr>
        <w:t xml:space="preserve"> November 13, 2006 - January 31,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PERMANENT DISABILITY:</w:t>
      </w:r>
      <w:r>
        <w:rPr>
          <w:rFonts w:ascii="arial" w:eastAsia="arial" w:hAnsi="arial" w:cs="arial"/>
          <w:color w:val="000000"/>
          <w:sz w:val="20"/>
          <w:lang w:val="en-US" w:eastAsia="en-US" w:bidi="ar-SA"/>
        </w:rPr>
        <w:t xml:space="preserve"> Mr. Dhillon has suffered motor vehicle accidents resulting in pain and for which he has had to take painkillers and anti-inflammatory drugs. He has continued to take Tylenol number 3 on a regular basis for the past year since returning to work and I think he will always require painkillers on a regular basis to continue working. These low back pains may well become worse as he ages. The low back pains that he has are more severe than the pains he suffered prior to the accidents and require more painkillers.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Dr. Sandhu's report, counsel for the defendants noted that although that report acknowledges Mr. Dhillon's previous history of back pains in 2000 and 2001, it does not mention that the plaintiff complained of back pain at a visit on December 23, 2003, or of headaches on February 29, 2004. In addition, the report fails to mention the February 2005 MVA, although the plaintiff went in to see Dr. Sandhu with complaints of back pain on February 13, 2005, just two weeks before the First MVA. In cross-examination, Dr. Sandhu admitted that the February 2005 MVA was relevant and the injuries arising from it would have still been ongoing at the time of Mr. Dhillon's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defendants also notes that the only complaints Mr. Dhillon ever mentioned to Dr. Sandhu following the First Accident, with the exception of the two previously noted reports of headaches, were pain to the neck, right shoulder, and lower back. There were never reports of difficulties with sleep with the exception of once in June 2006 following the First Workplace Accident injury to the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last mention of any lower back pain made by Mr. Dhillon to Dr. Sandhu following the First MVA was on May 18, 2005, around the same time Mr. Dhillon gave evidence that the difficulties with his right shoulder had resolved. There is one further notation in Dr. Sandhu's records in October 2005. Mr. Dhillon reported that his back was better. Counsel for the defendants notes that given Mr. Dhillon's evidence and suggestion that he cannot do heavy lifting due to his lower back pain, there are absolutely no mentions of any pain in that area from two and half months after the First MVA until following the Second Workplace Accident in September 2006, before the Second MVA. Counsel notes that Dr. Sandhu also acknowledged that either of the work incidents could have injured Mr. Dhillon's back and Mr. Dhillon did in fact complain of neck and lower back pain at a visit just four days before the Second MVA. Although he saw Dr. Sandhu on seven occasions between September 29 and December 17, 2006, there was no mention of lower back pain despite the fact it is Mr. Dhillon's biggest ongoing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John Arthur, an orthopaedic surgeon, provided a report dated August 23, 2007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Dhillon is a 35-year-old gentleman who has been involved in two motor vehicle accidents, the first occurring March 1, 2005, following which he had neck and back complaints, and the second motor vehicle accident occurring September 20, 2006, which resulted in aggravation of his lower back complaint and neck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had two falls at work in which he sustained injury, the first occurring in June of 2006, following which he had injury to the left wrist and left shoulder according to the Scottsdale Physiotherapy records and was off work for several weeks. The second work-related insult occurred August 30, 2006, following which he had right shoulder complaint and I gather was off work for a few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today, there were really no objective findings. His complaints are compatible with a degree of soft tissue insult and reasonably related to the motor vehicle accidents in question. I do not believe these complaints require further investigation nor do I believe surgery plays a role in their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in my opinion, is not disabled by these complaints nor is he likely to become disabled by these complaints in the future. He is quite capable of carrying on with his greenhouse work. He may have some difficulty with his neck and back if he was placed in a heavier, more physically demanding employment opportunity, but I believe this restriction to be simply temporary.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his prognosis is good and I would expect full recovery. He needs reassurance and directions towards maintaining an appropriate exercise program, which should allow further improvement in his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minimal complaint on examination with respect to the right shoulder with possibly a slightly positive impingement test, which may relate to a very mild degree of tendinitis. This, on my opinion, is not related to the motor vehicle accident and is related more to the fall, which occurred in August of 2006. Presently, he does not require treatment for this,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Dr. Arthur's report, counsel for the defendants notes that Mr. Dhillon never told Dr. Arthur about his previous back pain in 2000 and 2001 or the February 2005 MVA, which occurred just one month before the First MVA. In fact, according to Dr. Arthur's medical report, Mr. Dhillon specifically denied being involved in any other motor vehicle accidents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Dhillon submitted that he has suffered injuries that now appear to be permanent. The injuries have affected every aspect of his life. The injuries interfere with his employment, his ability to participate as he did before the accidents as a husband and father, his participation in recreational activities, and his ability to worship in accordance with his faith. Counsel for Mr. Dhillon cites the following cases: </w:t>
      </w:r>
      <w:r>
        <w:rPr>
          <w:rFonts w:ascii="arial" w:eastAsia="arial" w:hAnsi="arial" w:cs="arial"/>
          <w:i/>
          <w:color w:val="000000"/>
          <w:sz w:val="20"/>
          <w:lang w:val="en-US" w:eastAsia="en-US" w:bidi="ar-SA"/>
        </w:rPr>
        <w:t>Fazio v. Catchpoole,</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2007 BCSC 776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Larlee v. Shier</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2008 BCSC 1610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Demedeiros v. Heinrichs and Wu</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2001 BCSC 1475</w:t>
        </w:r>
      </w:hyperlink>
      <w:r>
        <w:rPr>
          <w:rFonts w:ascii="arial" w:eastAsia="arial" w:hAnsi="arial" w:cs="arial"/>
          <w:color w:val="000000"/>
          <w:sz w:val="20"/>
          <w:lang w:val="en-US" w:eastAsia="en-US" w:bidi="ar-SA"/>
        </w:rPr>
        <w:t xml:space="preserve">. Counsel submits that the present case is most similar to </w:t>
      </w:r>
      <w:r>
        <w:rPr>
          <w:rFonts w:ascii="arial" w:eastAsia="arial" w:hAnsi="arial" w:cs="arial"/>
          <w:i/>
          <w:color w:val="000000"/>
          <w:sz w:val="20"/>
          <w:lang w:val="en-US" w:eastAsia="en-US" w:bidi="ar-SA"/>
        </w:rPr>
        <w:t>Demedeiros</w:t>
      </w:r>
      <w:r>
        <w:rPr>
          <w:rFonts w:ascii="arial" w:eastAsia="arial" w:hAnsi="arial" w:cs="arial"/>
          <w:color w:val="000000"/>
          <w:sz w:val="20"/>
          <w:lang w:val="en-US" w:eastAsia="en-US" w:bidi="ar-SA"/>
        </w:rPr>
        <w:t xml:space="preserve"> and seeks an award of $70,000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submit Mr. Dhillon suffered a mild strain to the soft tissues of his right shoulder and lower back as a result of the First MVA which had substantially resolved by the end of June 2005. Mr. Dhillon's neck complaints may have lasted a little longer, but were essentially resolved by the time he took a two month trip to Thailand in November 2005. The defendants submit that the Second MVA was minor. There appear to be two contemporaneous visits to Dr. Sandhu within the first week and nothing further for months. Counsel submits that the Second MVA is either non-compensable or should attract only nominal damages. The defendants submit that the proper range of damages for the injuries suffered by Mr. Dhillon in the First and Second MVA should be between $10,000.00 and $15,000.00. Counsel for the defendants cite: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Biggar v. Dadswell</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[1998] B.C.J. No. 718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Dymond v. Wilson</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2001 BCSC 244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Tuchscherer v. McMaster</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2001 BCSC 1340</w:t>
        </w:r>
      </w:hyperlink>
      <w:r>
        <w:rPr>
          <w:rFonts w:ascii="arial" w:eastAsia="arial" w:hAnsi="arial" w:cs="arial"/>
          <w:color w:val="000000"/>
          <w:sz w:val="20"/>
          <w:lang w:val="en-US" w:eastAsia="en-US" w:bidi="ar-SA"/>
        </w:rPr>
        <w:t xml:space="preserve"> [Chambers]; </w:t>
      </w:r>
      <w:r>
        <w:rPr>
          <w:rFonts w:ascii="arial" w:eastAsia="arial" w:hAnsi="arial" w:cs="arial"/>
          <w:i/>
          <w:color w:val="000000"/>
          <w:sz w:val="20"/>
          <w:lang w:val="en-US" w:eastAsia="en-US" w:bidi="ar-SA"/>
        </w:rPr>
        <w:t>Kamerbeek v. Jones</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2001 BCSC 1810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Lopez v. VW Credit Canada Inc.</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2008 BCSC 320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Dhillon submits that his wage loss for the First MVA is for the period from March 1, 2005 to July 9, 2005 18.5 weeks. The calculation provided by counsel totals the hours between these dates, less wages for hours earned during the period, adds a component for vacation pay and wage benefits for a total of $10,488.00. Mr. Dhillon submits that the wages lost with respect to the loss from the Second MVA are for the period from September 20, 2006 to January 7, 2007. Counsel calculates that loss to amount to $11,222.40. The total loss for both MVAs is therefore $21,710.00 from which must be deducted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position of the defendants is that past wage loss should be limited to recovery for the First MVA, submitting that Mr. Dhillon has failed to establish on a balance of probabilities that the time off work following the Second MVA was the result of that accident as opposed to the two workplace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Dhillon submits that his injuries prevent him from performing a second job and limit the labouring activities that he can carry out. As a result, he is less employable due to the injuries he suffered in the two MVAs. Mr. Dhillon seeks an award of $125,000.00 for this head of damages. The position of the defendants is that the evidence does not support any claim for loss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Dhillon submits receipts for expenditures in the amount of $3,167.39 of which he acknowledges $38.82 were not attributable to either MVA for a claim totalling $3,128.57.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submit that the claim for special damages should be limited to the cost of physiotherapy and prescriptions following the First MVA, but before the Second MVA, with a deduction for overlap in treatment from the February 2005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Dhillon seeks $2,500.00 for funds for an active rehabilitation program based upon Dr. Arthur's recommendation that Mr. Dhillon would benefit from such a program. The defendants' position with respect to this head of damages is that the evidence is insufficient to support a future cost of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determination of causation in this case is rendered complex by both the pre-existing condition, and previous and subsequent accidents from which the plaintiff suffered, each of which injured the plaintiff. The principles to be applied were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466-468, </w:t>
      </w:r>
      <w:hyperlink r:id="rId260"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I summarize those principles as follows:</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the general test for causation. Where this test is unworkable,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injury; so long as it is a material cause, the defendant will be liable. There is no apportionment between tortious and non-tortious causes; and</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to be restored to the position 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Therefore, the defendant need not compensate the plaintiff for the debilitating effects of pre-existing conditions, nor for subsequent events which are completely unrelated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Justice Major, speaking for the court, stated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w:t>
      </w:r>
      <w:r>
        <w:rPr>
          <w:rFonts w:ascii="arial" w:eastAsia="arial" w:hAnsi="arial" w:cs="arial"/>
          <w:i/>
          <w:color w:val="000000"/>
          <w:sz w:val="20"/>
          <w:lang w:val="en-US" w:eastAsia="en-US" w:bidi="ar-SA"/>
        </w:rPr>
        <w:t>Cooper-Stephenson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169 C.L.R. 638; </w:t>
      </w:r>
      <w:r>
        <w:rPr>
          <w:rFonts w:ascii="arial" w:eastAsia="arial" w:hAnsi="arial" w:cs="arial"/>
          <w:i/>
          <w:color w:val="000000"/>
          <w:sz w:val="20"/>
          <w:lang w:val="en-US" w:eastAsia="en-US" w:bidi="ar-SA"/>
        </w:rPr>
        <w:t>Cooper-Stephenson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found Mr. Dhillon to be essentially a credible witness who is a relatively poor historian with respect to his injuries. This is understandable given the number of injuries and the passage of time. In considering all of the evidence, including what Mr. Dhillon reported to his treatment professionals, I have concluded that Mr. Dhillon's complaints of back pain caused by the First and Second MVA cannot be completely separated from the original complaints of lower back problems Mr. Dhillon first reported in around 2000. I note that the records from the Back &amp; Body Basics Chiropractic in 2007 make frequent reference to right side lower back complaints, complaints similar to those Mr. Dhillon described in 2000 and 2001, and different from those he attributes to the two MVAs at issue. I have concluded that at the time of the First MVA Mr. Dhillon was still suffering from the effects of the February 2005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Mr. Dhillon suffered soft tissue injury to his neck, right shoulder and low back in the First MVA. He suffered from headaches arising from this injury, but these resolved in a relatively short period of time. The injury to the right shoulder had essentially resolved by mid-May 2005. I find, consistent with Dr. Sandhu's report that Mr. Dhillon was unable to work as a result of his injuries from the time of the First MVA to mid-May 2005 and then continued to suffer partial disability at work until July 2005. By July 2005 he was able to return to work without limitation. I find that his injuries from the First MVA were essentially resolved by October 2005, except for intermittent pain, consistent with Dr. Sandhu's report. From October 2005 until the time of the First Workplace Accident, Mr. Dhillon required the use of pain medication for low back pain that was the consequence of both his prior condition and lingering consequences of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result, I find that Mr. Dhillon suffered mild to moderate soft tissue injury from the First MVA with the symptoms most significant in the first three months following the injury; with some ongoing problems for the next five months and intermittent pain thereafter. I find the appropriate amount for non-pecuniary damages for the First MVA to be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I conclude that Mr. Dhillon was suffering from the effects of the February accident at the time of the First MVA, he was able to work before that accident but not after. Accordingly, I allow the claim for past wage loss for the First MVA in the amount of $10,488.00 as calculated by counsel. This amount is a gross amount without deduction for income tax and the plaintiff is entitled to recover a net amount. I will leave that calculation to counsel with liberty to apply in the event that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the First and Second Workplace Accidents resulted in injuries to Mr. Dhillon's shoulders, neck, and back. These injuries required Mr. Dhillon to take time off work, attend physiotherapy and take medication for pain. Their effects were continuing at the time of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Mr. Dhillon suffered soft tissue injuries in the Second MVA that resulted in an exacerbation of his injuries to his neck, shoulder, and low back. He had returned to work following the Second Workplace Accident before the Second MVA, but was not able to work after this accident. He required physiotherapy, chiropractic treatment and pain medication for both the continuing injuries from the Workplace Accidents, an apparent recurrence or continuation of the right side back problem first noted in 2000, and the Second MVA. Mr. Dhillon was able to return to work part-time in November 2006 and full-time in January 2007. He requires some accommodation from his employer in terms of his duties. He continues to experience pain and requires medication to control his pain. I find that the Second MVA plays some role, albeit a minimal one, in Mr. Dhillon's continuing symptoms, the other more significant contributors being the original complaint of low back pain, and the two Workplace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circumstances, I find that $10,000.00 is an appropriate award for non-pecuniary loss for the Second MVA. Although Mr. Dhillon was continuing to suffer from the effects of the two Workplace Accidents at the time of the Second MVA, he was able to work before the Second MVA, but not after. Accordingly, I award $11,222.40 as past wage loss in relation to the Second MVA as calculated by counsel. Again, that is the gross wage loss figure from which an amount to represent income tax must be deducted. Again I will leave that calculation to counsel with liberty to apply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allow Mr. Dhillon's claim for special damages in the amount of $3,128.57.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the claim for loss of future earning capacity, it is important to note that Mr. Dhillon's salary has increased substantially since the Second MVA as a result of his promotion to a supervisor's position. The loss of future earning claim is predicated upon the proposition that Mr. Dhillon is no longer able to perform all of the activities required of a general labourer in the agricultural industry, thus he would be in jeopardy if he were to lose his supervisor's position. The second element of the claim is that it is submitted that because of his injuries, Mr. Dhillon is no longer able to work at a second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that the reason Mr. Dhillon did not return to his second job after the First MVA was that there was no work for him in that position. In addition, he now has a young family. I conclude that the MVAs at issue are not the reason Mr. Dhillon has not taken on a second position. However, Mr. Dhillon requires accommodations in the workplace to carry out his present job functions. I am satisfied that if he were to lose his present position, he would be at a disadvantage in the workplace in obtaining new employment. The MVAs at issue have contributed to his present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claim advanced by Mr. Dhillon in this regard does not properly reflect either the magnitude of his loss or the contribution of the pre-existing condition and workplace accidents to his present state. Accordingly, I have concluded that a claim for loss of future earning capacity has been made out on the evidence. I also conclude that it is likely that the pre-existing condition and Workplace Accidents could have resulted in the present condition even without the motor vehicle accidents. In my view, the appropriate award under this head of damages is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with respect to the cost of future care, while Dr. Arthur did state that Mr. Dhillon would benefit from a program of active rehabilitation, the evidence does not support a conclusion that Mr. Dhillon would participate in such a program. In the result, I do not allow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Dhillon is entitled to pre-judgment interest with respect to the claim for special damages and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Facilities Subsector Bargaining Assn. v. British Columbia Nurses' Union, [2009] B.C.J. No. 2267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S094972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2267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1562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3075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743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Facilities Subsector Bargaining Association and Hospital Employee's Union, Plaintiffs, and British Columbia Nurses' Union, Gary Fane and Doreen Plouffe,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0" w:name="Keywords_19"/>
      <w:bookmarkEnd w:id="130"/>
      <w:r>
        <w:rPr>
          <w:rFonts w:ascii="arial" w:eastAsia="arial" w:hAnsi="arial" w:cs="arial"/>
          <w:b/>
          <w:color w:val="000000"/>
          <w:sz w:val="20"/>
          <w:lang w:val="en-US" w:eastAsia="en-US" w:bidi="ar-SA"/>
        </w:rPr>
        <w:t>Civil litigation — Civil procedure — Capacity to sue or be sued — Party types — Trade unions — Standing — Necessary interest — Pleadings — Striking out pleadings or allegations — Grounds — Failure to disclose a cause of action or defence — Application by defendants to strike portions of statement of claim on grounds of disclosing no reasonable claims allowed —  — Plaintiff union alleged defendant union's executive made fraudulent representations to plaintiff's members inducing members to join defendant and that defendants used personal information obtained members contrary to members' privacy rights — Claims for fraudulent misrepresentation and invasion of privacy were personal to the members — Plaintiffs were asserting cause of action to which they had no connection — Those portions of pleadings were struck as they did not assert that plaintiffs' rights had been violated.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Invasion of privacy — Personal information — Application by defendants to strike pleadings respecting fraudulent misrepresentation and violation of privacy rights as disclosing no reasonable claims allowed — Plaintiff union alleged executive of defendant union used personal information obtained from nurses who were members of plaintiff contrary to the privacy rights of the nurses — Union had no right to advance a claim in tort for the breach of privacy allegedly suffered by its members — Privacy Act established a statutory tort of breach of privacy that was an in personam right to privacy.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Pleadings — Pleadings fraud or fraudulent misrepresentation — Sufficiency — Application by defendants to strike pleadings respecting fraudulent misrepresentation and violation of privacy rights as disclosing no reasonable claims allowed — Plaintiff union alleged executive of defendant union made fraudulent representations to members of plaintiff union inducing the nurses to join defendant union -- plaintiffs had not pleaded that the representation was made to them or that they relied on it — Plaintiffs were officious bystanders who were seeking to enforce rights that, if they existed, properly belonged to union members.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1" w:name="Case Summary_19"/>
            <w:bookmarkEnd w:id="1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portions of the statement of claim on the ground that the pleadings respecting fraudulent misrepresentation and violation of privacy rights disclosed no reasonable claim and contained a radical defect. The plaintiff union alleged that the defendant Fane, the Executive Director of Negotiations and Strategic Development for the defendant union made false statements to the members of the plaintiff union that induced some of the nurses to join the defendant union, thereby causing loss and damage to the plaintiff union and its members. The plaintiffs further alleged that the extensive personal information obtained by the defendants from the nurses who were members of the plaintiff union, such as addresses, telephone numbers and other personal information, was being used by the defendants contrary to the privacy rights of the nurses. The plaintiffs argued that since they were the ultimate object of the deceit and the party suffering the damage, they had standing to sue. The defendants submitted that the union could not sue on behalf of its members for fraudulent misrepresentation and violation of privacy rights.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2" w:name="Holdings of Court_16"/>
            <w:bookmarkEnd w:id="13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material facts in the statement of claim failed to engage the elements of fraudulent misrepresentation. Specifically, the plaintiffs had not pleaded that the representation was made to them or that they relied on it. This amounted to a radical defect. The plaintiffs were asserting a cause of action with which they had no connection. The plaintiff unions were officious bystanders who were seeking to enforce rights that, if they existed, properly belonged to union members who had the right to join the union of their choice. Although unions had the right to represent members' rights generally in such matters as right to information applications and collective bargaining, the union had no right to advance a claim in tort for the breach of privacy allegedly suffered by its members. The Privacy Act established a statutory tort of breach of privacy that was an in personam right to privacy. The pleadings did not assert that the rights of the union plaintiffs had been violated. The plaintiffs had no entitlement to bring an action based on a violation of another person's privacy.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3" w:name="Legislation Cited_12"/>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6"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Authorities Act, </w:t>
      </w:r>
      <w:hyperlink r:id="rId475" w:history="1">
        <w:r>
          <w:rPr>
            <w:rFonts w:ascii="arial" w:eastAsia="arial" w:hAnsi="arial" w:cs="arial"/>
            <w:i/>
            <w:color w:val="0077CC"/>
            <w:sz w:val="20"/>
            <w:u w:val="single"/>
            <w:shd w:val="clear" w:color="auto" w:fill="FFFFFF"/>
            <w:lang w:val="en-US" w:eastAsia="en-US" w:bidi="ar-SA"/>
          </w:rPr>
          <w:t>RSBC 1996, CHAPTER 180, s. 19.9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CHAPTER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Personal Information Protection Act, </w:t>
      </w:r>
      <w:hyperlink r:id="rId476" w:history="1">
        <w:r>
          <w:rPr>
            <w:rFonts w:ascii="arial" w:eastAsia="arial" w:hAnsi="arial" w:cs="arial"/>
            <w:i/>
            <w:color w:val="0077CC"/>
            <w:sz w:val="20"/>
            <w:u w:val="single"/>
            <w:shd w:val="clear" w:color="auto" w:fill="FFFFFF"/>
            <w:lang w:val="en-US" w:eastAsia="en-US" w:bidi="ar-SA"/>
          </w:rPr>
          <w:t>SBC 2003, CHAPTER 63, s. 2</w:t>
        </w:r>
      </w:hyperlink>
      <w:r>
        <w:rPr>
          <w:rFonts w:ascii="arial" w:eastAsia="arial" w:hAnsi="arial" w:cs="arial"/>
          <w:color w:val="000000"/>
          <w:sz w:val="20"/>
          <w:lang w:val="en-US" w:eastAsia="en-US" w:bidi="ar-SA"/>
        </w:rPr>
        <w:t>, s. 36(2), s. 47, s. 52, s. 52(3)(e), s.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477" w:history="1">
        <w:r>
          <w:rPr>
            <w:rFonts w:ascii="arial" w:eastAsia="arial" w:hAnsi="arial" w:cs="arial"/>
            <w:i/>
            <w:color w:val="0077CC"/>
            <w:sz w:val="20"/>
            <w:u w:val="single"/>
            <w:shd w:val="clear" w:color="auto" w:fill="FFFFFF"/>
            <w:lang w:val="en-US" w:eastAsia="en-US" w:bidi="ar-SA"/>
          </w:rPr>
          <w:t>RSBC 1996, CHAPTER 373,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19(24), Rule 19(27)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4" w:name="Counsel_19"/>
      <w:bookmarkEnd w:id="1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Leo McGrady,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Bruce Laughton,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5" w:name="Judgment_19"/>
      <w:bookmarkEnd w:id="135"/>
      <w:r>
        <w:pict>
          <v:line id="_x0000_s1128"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6" w:name="R.D. PUNNETT J._0"/>
            <w:bookmarkEnd w:id="136"/>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an order striking certain portions of the statement of claim pursuant to Rule 19(24)(a)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on the basis that the pleadings in the statement of claim respecting fraudulent misrepresentation and violation of privacy rights disclose no reasonable claim and contain a radical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19(24)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Rule 19(27)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the Court, after noting that the Ontario rule is similar in wording to the British Columbia rule,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An excellent statement of the test for striking out a claim under such provisions is that set out by Wilson J.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 should the relevant portions of a plaintiff's statement of claim be struck out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is a stringent one. The facts are to be taken as pleaded. When so taken, the question that must then be determined is whether there [sic] it is "plain and obvious" that the action must fail. It is only if the statement of claim is certain to fail because it contains a "radical defect" that the plaintiff should be driven from the judgment.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"Radical" is defined as "relating to or affecting the fundamental nature of something" and "defect" as "a shortcoming, imperfection, or lack" (</w:t>
      </w:r>
      <w:r>
        <w:rPr>
          <w:rFonts w:ascii="arial" w:eastAsia="arial" w:hAnsi="arial" w:cs="arial"/>
          <w:i/>
          <w:color w:val="000000"/>
          <w:sz w:val="20"/>
          <w:lang w:val="en-US" w:eastAsia="en-US" w:bidi="ar-SA"/>
        </w:rPr>
        <w:t>Concise Oxford English Dictionary</w:t>
      </w:r>
      <w:r>
        <w:rPr>
          <w:rFonts w:ascii="arial" w:eastAsia="arial" w:hAnsi="arial" w:cs="arial"/>
          <w:color w:val="000000"/>
          <w:sz w:val="20"/>
          <w:lang w:val="en-US" w:eastAsia="en-US" w:bidi="ar-SA"/>
        </w:rPr>
        <w:t>, 11th 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Facilities Subsection Bargaining Association ("FSBA") is an association of bargaining agents within the meaning of the </w:t>
      </w:r>
      <w:r>
        <w:rPr>
          <w:rFonts w:ascii="arial" w:eastAsia="arial" w:hAnsi="arial" w:cs="arial"/>
          <w:i/>
          <w:color w:val="000000"/>
          <w:sz w:val="20"/>
          <w:lang w:val="en-US" w:eastAsia="en-US" w:bidi="ar-SA"/>
        </w:rPr>
        <w:t>Health Authorities Act</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R.S.B.C. 1996, c. 180, s. 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Hospital Employees' Union ("HEU") is a certified trade union under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 British Columbia Nurses' Union ("BCNU") is a certified trade union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Gary Fane is the Executive Director of Negotiations and Strategic Development for BCNU, and the defendant Doreen Plouffe is an organizer employed by BCNU.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action is a tort action claiming: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contractual and economic relations of the plaintiffs,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 and deceit,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violation of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acknowledge that the pleading of interference with contractual and economic relations discloses a claim and they do not challenge that pleading. Their challenge relates solely to the allegations of fraudulent misrepresentation and deceit, and violation of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FRAUDULENT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seek to strike paragraphs 26 to 30 from the amended statement of claim. The reference to LPNs refers to Licensed Practical Nurses. The impugned paragraphs read: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meetings held by the Defendants around the Province, including in Chilliwack and Kelowna during the months of June and July 2009, to organize the Plaintiff HEU, members into the Defendant BCNU as associate members, the Defendant Fane told the LPNs that he had taken the necessary steps to ensure that by joining the Defendant BCNU, the LPNs would achieve their own separate bargaining unit and would be able to negotiate their own separate collective agreement. He delivered the same message verbally to the Plaintiff HEU's LPN members in one-on-one situations. On all of these occasions, he was speaking on his own behalf and on behalf of the Defendant BCNU, with its knowledge and agreement.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one of these meetings held in the month of June 2009 in Victoria B.C. by the Defendant BCNU, the Defendant Fane also asserted that the Secretary-Business Agent of the Plaintiff HEU, Judy Darcy, also supported the move of the HEU LPNs to the Defendant BCNU. He also stated that the employer of the LPNs supported the move.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Fane knew at the time these statements (referred to in paragraphs 26 and 27), were false. In the alternative, the Defendant Fane was so reckless of the truth that he did not care whether or not they were true or false. He intended to deceive the persons to whom he was speaking.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Fane intended that the LPNs in attendance at these meetings would communicate this information to other LPNs, who would then act in reliance on this information.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LPNs who are members of the Plaintiff HEU, who heard these statements, relied on them and some joined the Defendant BCNU as associate members as a result. The Plaintiff HEU and its LPNs, have suffered damage and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submit that a false representation must be made with the intent that the party to whom it is made will act upon it. The victim must be shown, as a matter of fact, to have relied on the representation to his or her detriment before a defendant can be liable for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They state that fraudulent misrepresentation consists of four elements: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make a representation to the victim;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at the time, either known the representation was false or made it recklessly without knowing whether it was true or false;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5th ed. (Toronto: Thomson Canada, 2006) at 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trade unions must plead that the defendants Fane and Plouffe made a representation to them and that they relied on the representation to their detriment. In essence, the defendants submit that paragraphs 26 to 30 of the amended statement of claim contain a radical defect on the basis that the union plaintiffs have no connection to the fraudulent misrepresentation alleged. The pleadings in paragraphs 26 to 29 do not state that any representation was made to the plaintiffs, only to the individual LPNs. In paragraph 30 there is no statement that the plaintiff unions relied on the alleged representations or did anything to their detriment as a result of that reliance.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say that it is a complete answer to the defendants' motion that the facts of this case engage what they refer to as "a three-party scenario involving deceit." They submit that this variant of the traditional tort of deceit involves the defendants making fraudulent misrepresentations to third parties in order to gain an advantage at the expense of the plaintiff unions.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accept the four elements of fraudulent misrepresentation referred to above but state that those elements are not a rigid formula that must be satisfied in every case. They also state that tort law changes and adapts to different societal needs, referring to Professor Lewis N. Klar, in his text,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3rd ed. (Toronto: Thomson Canada, 2003) at 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tort law is principally judge-made law, notwithstanding the growing encroachment of statutory modifications. ... One of the strengths of tort law, as with other common law subjects, is its ability to be flexible and fluid, to represent societal concerns and values as they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National Phonograph Company, Limited v. Edison-Bell Consolidated Phonograph Company, Limited,</w:t>
      </w:r>
      <w:r>
        <w:rPr>
          <w:rFonts w:ascii="arial" w:eastAsia="arial" w:hAnsi="arial" w:cs="arial"/>
          <w:color w:val="000000"/>
          <w:sz w:val="20"/>
          <w:lang w:val="en-US" w:eastAsia="en-US" w:bidi="ar-SA"/>
        </w:rPr>
        <w:t xml:space="preserve"> [1908] 1 Ch. 335 [</w:t>
      </w:r>
      <w:r>
        <w:rPr>
          <w:rFonts w:ascii="arial" w:eastAsia="arial" w:hAnsi="arial" w:cs="arial"/>
          <w:i/>
          <w:color w:val="000000"/>
          <w:sz w:val="20"/>
          <w:lang w:val="en-US" w:eastAsia="en-US" w:bidi="ar-SA"/>
        </w:rPr>
        <w:t>National Phonograph</w:t>
      </w:r>
      <w:r>
        <w:rPr>
          <w:rFonts w:ascii="arial" w:eastAsia="arial" w:hAnsi="arial" w:cs="arial"/>
          <w:color w:val="000000"/>
          <w:sz w:val="20"/>
          <w:lang w:val="en-US" w:eastAsia="en-US" w:bidi="ar-SA"/>
        </w:rPr>
        <w:t xml:space="preserve">], as evidencing one of the earliest cases finding liability in a three-party version of the tort of deceit. In </w:t>
      </w:r>
      <w:r>
        <w:rPr>
          <w:rFonts w:ascii="arial" w:eastAsia="arial" w:hAnsi="arial" w:cs="arial"/>
          <w:i/>
          <w:color w:val="000000"/>
          <w:sz w:val="20"/>
          <w:lang w:val="en-US" w:eastAsia="en-US" w:bidi="ar-SA"/>
        </w:rPr>
        <w:t>National Phonograph,</w:t>
      </w:r>
      <w:r>
        <w:rPr>
          <w:rFonts w:ascii="arial" w:eastAsia="arial" w:hAnsi="arial" w:cs="arial"/>
          <w:color w:val="000000"/>
          <w:sz w:val="20"/>
          <w:lang w:val="en-US" w:eastAsia="en-US" w:bidi="ar-SA"/>
        </w:rPr>
        <w:t xml:space="preserve"> the plaintiff manufacturers sold their product wholesale to factors who would then, in turn, sell the product to dealers. The agreement between the plaintiffs and the factors specified that the factors would only sell to dealers who signed a retailer's agreement in a form provided by the plaintiffs. Both agreements also provided that the goods were not to be sold at less than a specified price or to dealers who were on the plaintiffs' suspended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company was on the plaintiffs' suspended list. Two of its employees, also defendants, obtained the product by falsely representing themselves to the factors. No representations were made directly to the plaintiffs, but they proved that they had suffered damages as a result of the defendants'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Lord Justice Buckley stated at 358-59: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to be determined is whether it is an actionable wrong that the defendants have, by deceit, induced the factor, who had contracted with the plaintiffs, to act contrary to the duty which he contractually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continued at 360-61: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defendants knowingly, and for their own ends, induced the factor to sell to them contrary to the duty which the factor owed to the plaintiffs. The factor was deceived, and, for that reason, an action for breach of contract may not lie against him. He acted innocently, and did not voluntarily commit any breach of his contract. ... The defendant company is in no better case because the wrong to the plaintiffs which, in fact, was done was, by reason of the defendants' deceit, done innocently so far as the factor was concerned. ... The act which the defendants did was, I think, a violation of a legal right of the plaintiffs, because it interfered with the contractual relations subsisting between the plaintiffs and the factors, and there was no sufficient justification for such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National Phonograph</w:t>
      </w:r>
      <w:r>
        <w:rPr>
          <w:rFonts w:ascii="arial" w:eastAsia="arial" w:hAnsi="arial" w:cs="arial"/>
          <w:color w:val="000000"/>
          <w:sz w:val="20"/>
          <w:lang w:val="en-US" w:eastAsia="en-US" w:bidi="ar-SA"/>
        </w:rPr>
        <w:t xml:space="preserve"> case was applied by the English Court of Appeal in </w:t>
      </w:r>
      <w:r>
        <w:rPr>
          <w:rFonts w:ascii="arial" w:eastAsia="arial" w:hAnsi="arial" w:cs="arial"/>
          <w:i/>
          <w:color w:val="000000"/>
          <w:sz w:val="20"/>
          <w:lang w:val="en-US" w:eastAsia="en-US" w:bidi="ar-SA"/>
        </w:rPr>
        <w:t>Lonrho PLC. v. Fayed</w:t>
      </w:r>
      <w:r>
        <w:rPr>
          <w:rFonts w:ascii="arial" w:eastAsia="arial" w:hAnsi="arial" w:cs="arial"/>
          <w:color w:val="000000"/>
          <w:sz w:val="20"/>
          <w:lang w:val="en-US" w:eastAsia="en-US" w:bidi="ar-SA"/>
        </w:rPr>
        <w:t>, [1990] 2 Q.B. 479, [1989] 2 All E.R. 65 [</w:t>
      </w:r>
      <w:r>
        <w:rPr>
          <w:rFonts w:ascii="arial" w:eastAsia="arial" w:hAnsi="arial" w:cs="arial"/>
          <w:i/>
          <w:color w:val="000000"/>
          <w:sz w:val="20"/>
          <w:lang w:val="en-US" w:eastAsia="en-US" w:bidi="ar-SA"/>
        </w:rPr>
        <w:t>Lonrho</w:t>
      </w:r>
      <w:r>
        <w:rPr>
          <w:rFonts w:ascii="arial" w:eastAsia="arial" w:hAnsi="arial" w:cs="arial"/>
          <w:color w:val="000000"/>
          <w:sz w:val="20"/>
          <w:lang w:val="en-US" w:eastAsia="en-US" w:bidi="ar-SA"/>
        </w:rPr>
        <w:t>]. In that case, the plaintiff Lonrho sought to acquire control of the House of Fraser, a company which owned a variety of department stores. An undertaking given by the plaintiff to the Secretary of State, which would not terminate until the Monopolies Commission made a determination, prevented it from increasing its stake of the share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allegedly made false statements about their commercial standing and worth. The plaintiff claimed that because of those false statements, the Board of the House of Fraser accepted the defendants' bid and the Secretary of State did not refer the bid to the Monopolies Commission as had been required for the plaintiff. By their conduct, they ended any chance the plaintiff had of acquiring control of the company. A lower court had struck the plaintiff's pleadings in their entirety, and the plaintiff was seeking to have one cause of action, the tort of wrongful interference with business, reinstated (at 487).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Lonrho</w:t>
      </w:r>
      <w:r>
        <w:rPr>
          <w:rFonts w:ascii="arial" w:eastAsia="arial" w:hAnsi="arial" w:cs="arial"/>
          <w:color w:val="000000"/>
          <w:sz w:val="20"/>
          <w:lang w:val="en-US" w:eastAsia="en-US" w:bidi="ar-SA"/>
        </w:rPr>
        <w:t xml:space="preserve"> the defendants argued that the loss must be suffered by the party to whom the fraudulent misrepresentations were made; they argued that the fraud was directed towards the Secretary of State so that he would not, and did not, refer the bid to the Monopolies Commission. While the plaintiff suffered a loss, the Secretary of State did not. The plaintiff trade unions submit that this is essentially the argument of the defendants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Lord Justice Dillon dealt with this argument in </w:t>
      </w:r>
      <w:r>
        <w:rPr>
          <w:rFonts w:ascii="arial" w:eastAsia="arial" w:hAnsi="arial" w:cs="arial"/>
          <w:i/>
          <w:color w:val="000000"/>
          <w:sz w:val="20"/>
          <w:lang w:val="en-US" w:eastAsia="en-US" w:bidi="ar-SA"/>
        </w:rPr>
        <w:t>Lonrho</w:t>
      </w:r>
      <w:r>
        <w:rPr>
          <w:rFonts w:ascii="arial" w:eastAsia="arial" w:hAnsi="arial" w:cs="arial"/>
          <w:color w:val="000000"/>
          <w:sz w:val="20"/>
          <w:lang w:val="en-US" w:eastAsia="en-US" w:bidi="ar-SA"/>
        </w:rPr>
        <w:t xml:space="preserve"> at 489: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for my part can see no valid reason why the tort should need, as against the third party, to have been complete to the extent that the third party had himself suffered damage. ... Apart from that, the need to show that the injured third party had suffered damage, as opposed to the plaintiff having suffered damage, was not a factor in the decision of the majority of this court in </w:t>
      </w:r>
      <w:r>
        <w:rPr>
          <w:rFonts w:ascii="arial" w:eastAsia="arial" w:hAnsi="arial" w:cs="arial"/>
          <w:i/>
          <w:color w:val="000000"/>
          <w:sz w:val="20"/>
          <w:lang w:val="en-US" w:eastAsia="en-US" w:bidi="ar-SA"/>
        </w:rPr>
        <w:t>National Phonograph Co. Ltd. v. Edison-Bell Consolidated Phonograph Co. Ltd</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also has to be proved by a plaintiff who seeks to rely on this tort, as Mr. Beveridge conceded for Lonrho, that the unlawful act was in some sense directed against the plaintiff or intended to harm the plaintiff. The origin of those phrases is the oft quoted passage in the speech of Lord Watson in </w:t>
      </w:r>
      <w:r>
        <w:rPr>
          <w:rFonts w:ascii="arial" w:eastAsia="arial" w:hAnsi="arial" w:cs="arial"/>
          <w:i/>
          <w:color w:val="000000"/>
          <w:sz w:val="20"/>
          <w:lang w:val="en-US" w:eastAsia="en-US" w:bidi="ar-SA"/>
        </w:rPr>
        <w:t>Allen v. Flood</w:t>
      </w:r>
      <w:r>
        <w:rPr>
          <w:rFonts w:ascii="arial" w:eastAsia="arial" w:hAnsi="arial" w:cs="arial"/>
          <w:color w:val="000000"/>
          <w:sz w:val="20"/>
          <w:lang w:val="en-US" w:eastAsia="en-US" w:bidi="ar-SA"/>
        </w:rPr>
        <w:t xml:space="preserve"> [1898] A.C. 1, 96, which was applied by the majority of this court (Buckley and Kennedy L.JJ.) in </w:t>
      </w:r>
      <w:r>
        <w:rPr>
          <w:rFonts w:ascii="arial" w:eastAsia="arial" w:hAnsi="arial" w:cs="arial"/>
          <w:i/>
          <w:color w:val="000000"/>
          <w:sz w:val="20"/>
          <w:lang w:val="en-US" w:eastAsia="en-US" w:bidi="ar-SA"/>
        </w:rPr>
        <w:t>National Phonograph</w:t>
      </w:r>
      <w:r>
        <w:rPr>
          <w:rFonts w:ascii="arial" w:eastAsia="arial" w:hAnsi="arial" w:cs="arial"/>
          <w:color w:val="000000"/>
          <w:sz w:val="20"/>
          <w:lang w:val="en-US" w:eastAsia="en-US" w:bidi="ar-SA"/>
        </w:rPr>
        <w:t xml:space="preserve"> ... In that case the fraud was clearly directed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Lonrho</w:t>
      </w:r>
      <w:r>
        <w:rPr>
          <w:rFonts w:ascii="arial" w:eastAsia="arial" w:hAnsi="arial" w:cs="arial"/>
          <w:color w:val="000000"/>
          <w:sz w:val="20"/>
          <w:lang w:val="en-US" w:eastAsia="en-US" w:bidi="ar-SA"/>
        </w:rPr>
        <w:t xml:space="preserve"> the court commented that the existence of the tort was recognized, but the limits of it remained to be defined. Therefore, the matter had to proceed to trial. The appeal was allowed and the cause of action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support of their argument that the three-party version of the tort of deceit applies to the case at bar, the plaintiff unions also refer to two texts.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Economic Interests in Canadian Tort Law</w:t>
      </w:r>
      <w:r>
        <w:rPr>
          <w:rFonts w:ascii="arial" w:eastAsia="arial" w:hAnsi="arial" w:cs="arial"/>
          <w:color w:val="000000"/>
          <w:sz w:val="20"/>
          <w:lang w:val="en-US" w:eastAsia="en-US" w:bidi="ar-SA"/>
        </w:rPr>
        <w:t xml:space="preserve"> by Peter T. Burns &amp; Joost Blom (Markham: LexisNexis, 2009), the authors deal with the traditional elements of the tort of deceit at 49 and then describe what they refer to as a variant of the tort of deceit at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tort of causing economic loss by unlawful means may lie in a situation in which C, intending to cause financial loss to A, fraudulently induces B to do something that results in the loss to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also rely on the following statement from </w:t>
      </w:r>
      <w:r>
        <w:rPr>
          <w:rFonts w:ascii="arial" w:eastAsia="arial" w:hAnsi="arial" w:cs="arial"/>
          <w:i/>
          <w:color w:val="000000"/>
          <w:sz w:val="20"/>
          <w:lang w:val="en-US" w:eastAsia="en-US" w:bidi="ar-SA"/>
        </w:rPr>
        <w:t>An Analysis of the Economic Torts</w:t>
      </w:r>
      <w:r>
        <w:rPr>
          <w:rFonts w:ascii="arial" w:eastAsia="arial" w:hAnsi="arial" w:cs="arial"/>
          <w:color w:val="000000"/>
          <w:sz w:val="20"/>
          <w:lang w:val="en-US" w:eastAsia="en-US" w:bidi="ar-SA"/>
        </w:rPr>
        <w:t xml:space="preserve"> by Hazel Carty (Oxford: Oxford University Press, 2001) at 135-36: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importantly, for the purposes of economic tort analysis, there may be a three-party version of the tort of deceit. Classic deceit involves lies intended to be relied upon by the claimant. No intention to harm as such is required. However, in </w:t>
      </w:r>
      <w:r>
        <w:rPr>
          <w:rFonts w:ascii="arial" w:eastAsia="arial" w:hAnsi="arial" w:cs="arial"/>
          <w:i/>
          <w:color w:val="000000"/>
          <w:sz w:val="20"/>
          <w:lang w:val="en-US" w:eastAsia="en-US" w:bidi="ar-SA"/>
        </w:rPr>
        <w:t>National Phonograph Co Ltd v. Edison-Bell Consolidated Phonograph Co Ltd</w:t>
      </w:r>
      <w:r>
        <w:rPr>
          <w:rFonts w:ascii="arial" w:eastAsia="arial" w:hAnsi="arial" w:cs="arial"/>
          <w:color w:val="000000"/>
          <w:sz w:val="20"/>
          <w:lang w:val="en-US" w:eastAsia="en-US" w:bidi="ar-SA"/>
        </w:rPr>
        <w:t xml:space="preserve"> lies told to third parties in order to gain an economic advantage at the expense of the plaintiff were held by the Court of Appeal to render the defendant liable in tort. This was so though no action in deceit could have been brought by the third parties, who were not themselves harmed. Here, the reliance and harm were separated-the third parties relied on the deceit and the plaintiff was harmed. But importantly there is an added ingredient for liability. The defendant intended to cause economic harm to the plaintiff. The 'nexus' between the lies and the plaintiff was this intended harm. ... What emerges from this-and is seen more clearly in the discussion of the Court of Appeal in </w:t>
      </w:r>
      <w:r>
        <w:rPr>
          <w:rFonts w:ascii="arial" w:eastAsia="arial" w:hAnsi="arial" w:cs="arial"/>
          <w:i/>
          <w:color w:val="000000"/>
          <w:sz w:val="20"/>
          <w:lang w:val="en-US" w:eastAsia="en-US" w:bidi="ar-SA"/>
        </w:rPr>
        <w:t>Lonrho v. Fayed</w:t>
      </w:r>
      <w:r>
        <w:rPr>
          <w:rFonts w:ascii="arial" w:eastAsia="arial" w:hAnsi="arial" w:cs="arial"/>
          <w:color w:val="000000"/>
          <w:sz w:val="20"/>
          <w:lang w:val="en-US" w:eastAsia="en-US" w:bidi="ar-SA"/>
        </w:rPr>
        <w:t>-is that deceit can give rise to liability in a three-party setting where it constitutes the unlawful means for the wider tort of unlawful interference with trade.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Analysis and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National Phonograph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Lonrho</w:t>
      </w:r>
      <w:r>
        <w:rPr>
          <w:rFonts w:ascii="arial" w:eastAsia="arial" w:hAnsi="arial" w:cs="arial"/>
          <w:color w:val="000000"/>
          <w:sz w:val="20"/>
          <w:lang w:val="en-US" w:eastAsia="en-US" w:bidi="ar-SA"/>
        </w:rPr>
        <w:t xml:space="preserve"> involved the tort of wrongful interference with trade or business. In </w:t>
      </w:r>
      <w:r>
        <w:rPr>
          <w:rFonts w:ascii="arial" w:eastAsia="arial" w:hAnsi="arial" w:cs="arial"/>
          <w:i/>
          <w:color w:val="000000"/>
          <w:sz w:val="20"/>
          <w:lang w:val="en-US" w:eastAsia="en-US" w:bidi="ar-SA"/>
        </w:rPr>
        <w:t>National Phonograph</w:t>
      </w:r>
      <w:r>
        <w:rPr>
          <w:rFonts w:ascii="arial" w:eastAsia="arial" w:hAnsi="arial" w:cs="arial"/>
          <w:color w:val="000000"/>
          <w:sz w:val="20"/>
          <w:lang w:val="en-US" w:eastAsia="en-US" w:bidi="ar-SA"/>
        </w:rPr>
        <w:t xml:space="preserve"> the wrongful conduct was inducing breach of contract. The headnote at 335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Held ..., that the plaintiffs were entitled to an injunction and damages in respect of the transactions between the defendant company and the factors on the ground that the defendant company, in having by fraud induced the factors to sell to them the plaintiffs' goods contrary to the duty owed by the factors to the plaintiffs, had interfered without justification with the contractual relations existing between the plaintiffs and the factors, thereby causing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Lonrho</w:t>
      </w:r>
      <w:r>
        <w:rPr>
          <w:rFonts w:ascii="arial" w:eastAsia="arial" w:hAnsi="arial" w:cs="arial"/>
          <w:color w:val="000000"/>
          <w:sz w:val="20"/>
          <w:lang w:val="en-US" w:eastAsia="en-US" w:bidi="ar-SA"/>
        </w:rPr>
        <w:t>, fraudulent statements were the means by which the tort of unlawful interference in business was carried out. In the case at bar similar allegations in the amended statement of claim remain alive, and the defendants do not seek to strike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unions argue that since they were the ultimate object of the deceit and the party suffering the damage, they have standing to sue. That is correct in respect to the tort of interference with contractual and economic relations. However, the fact that the deceit entitles a third party to advance a claim does not create a new tort and does not change the elements required for a claim of fraudulent misrepresentation, referred to earlier. Based on Rule 19(1)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those elements must be pled as material facts. R.W.M. Dias, ed.,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16th ed. (London: Sweet &amp; Maxwell, 1989), states at 1033-34: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entitle a plaintiff to succeed for a misrepresentation made to him, it is not enough to show that it was followed by damage to him; he must show that the one was the cause of the other; he must establish that in doing the act whereby he suffered damage he was relying upon the truth of the representation. ... As Lord Selborne L.C. said in </w:t>
      </w:r>
      <w:r>
        <w:rPr>
          <w:rFonts w:ascii="arial" w:eastAsia="arial" w:hAnsi="arial" w:cs="arial"/>
          <w:i/>
          <w:color w:val="000000"/>
          <w:sz w:val="20"/>
          <w:lang w:val="en-US" w:eastAsia="en-US" w:bidi="ar-SA"/>
        </w:rPr>
        <w:t>Smith v. Chadwick</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9 App. Cas. 187</w:t>
        </w:r>
      </w:hyperlink>
      <w:r>
        <w:rPr>
          <w:rFonts w:ascii="arial" w:eastAsia="arial" w:hAnsi="arial" w:cs="arial"/>
          <w:sz w:val="20"/>
          <w:lang w:val="en-US" w:eastAsia="en-US" w:bidi="ar-SA"/>
        </w:rPr>
        <w:t xml:space="preserve"> </w:t>
      </w:r>
      <w:r>
        <w:pict>
          <v:shape id="_x0000_i1129" type="#_x0000_t75" style="width:11pt;height:10pt">
            <v:imagedata r:id="rId480" o:title=""/>
          </v:shape>
        </w:pict>
      </w:r>
      <w:r>
        <w:rPr>
          <w:rFonts w:ascii="arial" w:eastAsia="arial" w:hAnsi="arial" w:cs="arial"/>
          <w:color w:val="000000"/>
          <w:sz w:val="20"/>
          <w:lang w:val="en-US" w:eastAsia="en-US" w:bidi="ar-SA"/>
        </w:rPr>
        <w:t>: "He (the plaintiff) must establish that this fraud was an inducing cause to the contract, for which purpose it must be material, and it must have produced in his mind an erroneous belief, influencing his conduct."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material facts in the statement of claim fail to engage the elements of fraudulent misrepresentation. Specifically, they have not pled that the representation was made to them or that they relied on it. This amounts to a radical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are asserting a cause of action with which they have no connection. This is not a case of a novel claim. The plaintiff unions are officious bystanders who are seeking to enforce rights that, if they exist, properly belong to others - union members who have the right to join the union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the submissions of the plaintiffs and the authorities upon which they rely do not establish a cause of action for fraudulent misrepresentation and deceit. The deceit is the unlawful conduct by which the tort of unlawful interference with contractual and economic relations occurs. This they have pleaded separately, and the defendants do not seek to have that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VIOLATION OF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the claims advanced by the plaintiffs alleging the tort of breach of privacy, paragraphs 31 to 35 of the amended statement of claim read as follows: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extensive personal information obtained by the Defendants from the LPNs who are members of the Plaintiff HEU, at the time they were and are being persuaded by the Defendants to become associate members of the Defendant BCNU is being used by the Defendants contrary to the privacy rights of the LPNs. That information includes home addresses, home telephone numbers, e-mail addresses, workplace, occupation, seniority, LPNs license number, whether a full or part time, regular or casual employee, and current union membership (collectively, the "Personal Information").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is being used to persuade other LPNs to become associate members. It will also be used to persuade LPNs to become permanent members of the BCNU, as well as being used for other purposes.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use of the Personal Information, other than the initial signing up to become associate members, is occurring without the consent of the LPNs.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HEU LPNs who had signed up for associate membership in the Defendant BCNU have subsequently revoked their membership and asked that their names and personal information be struck from the BCNU records. The Defendant BCNU has refused or failed to do so, and continues to subject these HEU LPNs to the same high pressure campaign described above in paragraphs 23 to 25.</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conduct described in paragraphs 31 to 35 above is contrary to the provisions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as well as the </w:t>
      </w:r>
      <w:r>
        <w:rPr>
          <w:rFonts w:ascii="arial" w:eastAsia="arial" w:hAnsi="arial" w:cs="arial"/>
          <w:i/>
          <w:color w:val="000000"/>
          <w:sz w:val="20"/>
          <w:lang w:val="en-US" w:eastAsia="en-US" w:bidi="ar-SA"/>
        </w:rPr>
        <w:t>Personal Information Protection Act</w:t>
      </w:r>
      <w:r>
        <w:rPr>
          <w:rFonts w:ascii="arial" w:eastAsia="arial" w:hAnsi="arial" w:cs="arial"/>
          <w:color w:val="000000"/>
          <w:sz w:val="20"/>
          <w:lang w:val="en-US" w:eastAsia="en-US" w:bidi="ar-SA"/>
        </w:rPr>
        <w:t>, S.B.C. c.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have an outstanding application to further amend the statement of claim to name the unnamed individuals in paragraphs 31 to 35. That application has been adjourned pending resolution of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Standing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submit that even if the unnamed individuals are named, the amended statement of claim makes no assertion that the privacy rights of the two union plaintiffs have been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R.S.B.C. 1996, c. 373, s. 1</w:t>
        </w:r>
      </w:hyperlink>
      <w:r>
        <w:rPr>
          <w:rFonts w:ascii="arial" w:eastAsia="arial" w:hAnsi="arial" w:cs="arial"/>
          <w:color w:val="000000"/>
          <w:sz w:val="20"/>
          <w:lang w:val="en-US" w:eastAsia="en-US" w:bidi="ar-SA"/>
        </w:rPr>
        <w:t>, establishes a statutory tort of breach of privacy: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is a tort, actionable without proof of damage, for a person, wilfully and without a claim of right, to violate the privacy of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nature and degree of privacy to which a person is entitled in a situation or in relation to a matter is that which is reasonable in the circumstances, giving due regard to the lawful interests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In determining whether the act or conduct of a person is a violation of another's privacy, regard must be given to the nature, incidence and occasion of the act or conduct and to any domestic or other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emphasize that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is concerned with the privacy rights of individuals. They submit that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creates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right and that, as a result, the plaintiffs are not entitled to bring an action based on a violation of another person's privacy. The tort must be asserted by the individual and not by a third party. With respect to the </w:t>
      </w:r>
      <w:r>
        <w:rPr>
          <w:rFonts w:ascii="arial" w:eastAsia="arial" w:hAnsi="arial" w:cs="arial"/>
          <w:i/>
          <w:color w:val="000000"/>
          <w:sz w:val="20"/>
          <w:lang w:val="en-US" w:eastAsia="en-US" w:bidi="ar-SA"/>
        </w:rPr>
        <w:t>Personal Information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63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the defendants submit that, as with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this statute creates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rights that can only be pursued by the individual whose privacy rights have been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Pierre v. Pacific Newspaper Group Inc.,</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2006 BCSC 241</w:t>
        </w:r>
      </w:hyperlink>
      <w:r>
        <w:rPr>
          <w:rFonts w:ascii="arial" w:eastAsia="arial" w:hAnsi="arial" w:cs="arial"/>
          <w:color w:val="000000"/>
          <w:sz w:val="20"/>
          <w:lang w:val="en-US" w:eastAsia="en-US" w:bidi="ar-SA"/>
        </w:rPr>
        <w:t xml:space="preserve"> at para. 41, </w:t>
      </w:r>
      <w:hyperlink r:id="rId481" w:history="1">
        <w:r>
          <w:rPr>
            <w:rFonts w:ascii="arial" w:eastAsia="arial" w:hAnsi="arial" w:cs="arial"/>
            <w:i/>
            <w:color w:val="0077CC"/>
            <w:sz w:val="20"/>
            <w:u w:val="single"/>
            <w:shd w:val="clear" w:color="auto" w:fill="FFFFFF"/>
            <w:lang w:val="en-US" w:eastAsia="en-US" w:bidi="ar-SA"/>
          </w:rPr>
          <w:t>39 C.C.L.T. (3d) 15</w:t>
        </w:r>
      </w:hyperlink>
      <w:r>
        <w:rPr>
          <w:rFonts w:ascii="arial" w:eastAsia="arial" w:hAnsi="arial" w:cs="arial"/>
          <w:color w:val="000000"/>
          <w:sz w:val="20"/>
          <w:lang w:val="en-US" w:eastAsia="en-US" w:bidi="ar-SA"/>
        </w:rPr>
        <w:t>, Justice Rice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 The Court of Appeal [in </w:t>
      </w:r>
      <w:r>
        <w:rPr>
          <w:rFonts w:ascii="arial" w:eastAsia="arial" w:hAnsi="arial" w:cs="arial"/>
          <w:i/>
          <w:color w:val="000000"/>
          <w:sz w:val="20"/>
          <w:lang w:val="en-US" w:eastAsia="en-US" w:bidi="ar-SA"/>
        </w:rPr>
        <w:t>Davis v. McArthur</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(1970), 17 D.L.R. (3d) 760</w:t>
        </w:r>
      </w:hyperlink>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[1971] 2 W.W.R. 142</w:t>
        </w:r>
      </w:hyperlink>
      <w:r>
        <w:rPr>
          <w:rFonts w:ascii="arial" w:eastAsia="arial" w:hAnsi="arial" w:cs="arial"/>
          <w:color w:val="000000"/>
          <w:sz w:val="20"/>
          <w:lang w:val="en-US" w:eastAsia="en-US" w:bidi="ar-SA"/>
        </w:rPr>
        <w:t xml:space="preserve"> (B.C.C.A.)], found that the definition of the "Right of Privacy" in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xml:space="preserve">, 4th ed., (St. Paul: West Pub Co., 1951) was "useful" and "largely consonant" with the provisions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Black's</w:t>
      </w:r>
      <w:r>
        <w:rPr>
          <w:rFonts w:ascii="arial" w:eastAsia="arial" w:hAnsi="arial" w:cs="arial"/>
          <w:color w:val="000000"/>
          <w:sz w:val="20"/>
          <w:lang w:val="en-US" w:eastAsia="en-US" w:bidi="ar-SA"/>
        </w:rPr>
        <w:t xml:space="preserve"> provides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to be let alone, the right of a person to be free from unwarranted publicity. </w:t>
      </w:r>
      <w:r>
        <w:rPr>
          <w:rFonts w:ascii="arial" w:eastAsia="arial" w:hAnsi="arial" w:cs="arial"/>
          <w:i/>
          <w:color w:val="000000"/>
          <w:sz w:val="20"/>
          <w:lang w:val="en-US" w:eastAsia="en-US" w:bidi="ar-SA"/>
        </w:rPr>
        <w:t>Holloman v. Life Ins. Co. of Virginia</w:t>
      </w:r>
      <w:r>
        <w:rPr>
          <w:rFonts w:ascii="arial" w:eastAsia="arial" w:hAnsi="arial" w:cs="arial"/>
          <w:color w:val="000000"/>
          <w:sz w:val="20"/>
          <w:lang w:val="en-US" w:eastAsia="en-US" w:bidi="ar-SA"/>
        </w:rPr>
        <w:t xml:space="preserve">, 192 S.C. 454, 7 S.E. (2d) 169, 171, 127 A.L.R. 110. </w:t>
      </w:r>
      <w:r>
        <w:rPr>
          <w:rFonts w:ascii="arial" w:eastAsia="arial" w:hAnsi="arial" w:cs="arial"/>
          <w:color w:val="000000"/>
          <w:sz w:val="20"/>
          <w:u w:val="single"/>
          <w:lang w:val="en-US" w:eastAsia="en-US" w:bidi="ar-SA"/>
        </w:rPr>
        <w:t>The right of an individual (or corporation) to withhold himself and his property from public scrutiny, if he so chooses.</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defendants submit that in light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 Pierre</w:t>
      </w:r>
      <w:r>
        <w:rPr>
          <w:rFonts w:ascii="arial" w:eastAsia="arial" w:hAnsi="arial" w:cs="arial"/>
          <w:color w:val="000000"/>
          <w:sz w:val="20"/>
          <w:lang w:val="en-US" w:eastAsia="en-US" w:bidi="ar-SA"/>
        </w:rPr>
        <w:t xml:space="preserve">, the right of privacy is incontrovertibly the right of the individual, including under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With respect to the plaintiffs' claim that they can bring an action for breach of privacy on behalf of their members, the defendants point out that the action is neither framed as a class action nor as a representative proceeding with a nominate plaintiff. They submit that the right of a union to represent members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does not entitle it to step into the shoes of its members for the purpose of a personal tort action.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 the issue of standing, the plaintiffs submit that they and other unions have traditionally asserted the privacy rights of their members in a variety of different forums including arbitration, the Labour Board, the Office of the Privacy Commissioner, and the courts. The plaintiffs further claim that they have represented the privacy interests of their individual members even when the union itself suffered no deprivation or impairment of its privacy. In doing so they have acted on behalf of the collective interests of their members. The plaintiff HEU submits that it has frequently asserted the privacy rights of its members as their agent without question as to its standing to do so. For example, in </w:t>
      </w:r>
      <w:r>
        <w:rPr>
          <w:rFonts w:ascii="arial" w:eastAsia="arial" w:hAnsi="arial" w:cs="arial"/>
          <w:i/>
          <w:color w:val="000000"/>
          <w:sz w:val="20"/>
          <w:lang w:val="en-US" w:eastAsia="en-US" w:bidi="ar-SA"/>
        </w:rPr>
        <w:t>St. Mary's Hospital and H.E.U. (Re)</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(1997), 64 L.A.C. (4th) 250</w:t>
        </w:r>
      </w:hyperlink>
      <w:r>
        <w:rPr>
          <w:rFonts w:ascii="arial" w:eastAsia="arial" w:hAnsi="arial" w:cs="arial"/>
          <w:color w:val="000000"/>
          <w:sz w:val="20"/>
          <w:lang w:val="en-US" w:eastAsia="en-US" w:bidi="ar-SA"/>
        </w:rPr>
        <w:t>, HEU asserted the rights of its individual members not to have meetings with management surreptitiously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They also rely on </w:t>
      </w:r>
      <w:r>
        <w:rPr>
          <w:rFonts w:ascii="arial" w:eastAsia="arial" w:hAnsi="arial" w:cs="arial"/>
          <w:i/>
          <w:color w:val="000000"/>
          <w:sz w:val="20"/>
          <w:lang w:val="en-US" w:eastAsia="en-US" w:bidi="ar-SA"/>
        </w:rPr>
        <w:t>Fraser Health Authority (Re)</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[2003] B.C.I.P.C.D. No. 35</w:t>
        </w:r>
      </w:hyperlink>
      <w:r>
        <w:rPr>
          <w:rFonts w:ascii="arial" w:eastAsia="arial" w:hAnsi="arial" w:cs="arial"/>
          <w:color w:val="000000"/>
          <w:sz w:val="20"/>
          <w:lang w:val="en-US" w:eastAsia="en-US" w:bidi="ar-SA"/>
        </w:rPr>
        <w:t xml:space="preserve">, in which HEU,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obtained copies of two reports, about the possible private development of a new health centre, on behalf of its members who would be affected by the opening of that health centre. The case related to the severance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Ministry of Health (Re)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[2002] B.C.I.P.C.D. No. 55</w:t>
        </w:r>
      </w:hyperlink>
      <w:r>
        <w:rPr>
          <w:rFonts w:ascii="arial" w:eastAsia="arial" w:hAnsi="arial" w:cs="arial"/>
          <w:color w:val="000000"/>
          <w:sz w:val="20"/>
          <w:lang w:val="en-US" w:eastAsia="en-US" w:bidi="ar-SA"/>
        </w:rPr>
        <w:t xml:space="preserve">, HEU,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sought access to government records dealing with legislation that would have an impact on its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plaintiffs claim other unions have also represented their members' privacy interests in court. In </w:t>
      </w:r>
      <w:r>
        <w:rPr>
          <w:rFonts w:ascii="arial" w:eastAsia="arial" w:hAnsi="arial" w:cs="arial"/>
          <w:i/>
          <w:color w:val="000000"/>
          <w:sz w:val="20"/>
          <w:lang w:val="en-US" w:eastAsia="en-US" w:bidi="ar-SA"/>
        </w:rPr>
        <w:t>Jill Schmidt Health Services Inc. v. British Columbia (Information and Privacy Commissioner),</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2001 BCSC 101</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11 C.P.R. (4th) 58</w:t>
        </w:r>
      </w:hyperlink>
      <w:r>
        <w:rPr>
          <w:rFonts w:ascii="arial" w:eastAsia="arial" w:hAnsi="arial" w:cs="arial"/>
          <w:color w:val="000000"/>
          <w:sz w:val="20"/>
          <w:lang w:val="en-US" w:eastAsia="en-US" w:bidi="ar-SA"/>
        </w:rPr>
        <w:t xml:space="preserve">, the union at three Jill Schmidt Health Services facilities sought the release of certain information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such as the allocation of government spending for patient care and other services in healthcare facilities including hourly rates, benefits, management fees, and academic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International Longshore and Warehouse Union, Canada v. Canada (Attorney General)</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2008 FCA 3</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371 N.R. 357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Longshore</w:t>
      </w:r>
      <w:r>
        <w:rPr>
          <w:rFonts w:ascii="arial" w:eastAsia="arial" w:hAnsi="arial" w:cs="arial"/>
          <w:color w:val="000000"/>
          <w:sz w:val="20"/>
          <w:lang w:val="en-US" w:eastAsia="en-US" w:bidi="ar-SA"/>
        </w:rPr>
        <w:t xml:space="preserve">], the union brought a motion for an order that a part of the </w:t>
      </w:r>
      <w:r>
        <w:rPr>
          <w:rFonts w:ascii="arial" w:eastAsia="arial" w:hAnsi="arial" w:cs="arial"/>
          <w:i/>
          <w:color w:val="000000"/>
          <w:sz w:val="20"/>
          <w:lang w:val="en-US" w:eastAsia="en-US" w:bidi="ar-SA"/>
        </w:rPr>
        <w:t>Marine Transportation Security Regulations</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SOR/2004-144</w:t>
        </w:r>
      </w:hyperlink>
      <w:r>
        <w:rPr>
          <w:rFonts w:ascii="arial" w:eastAsia="arial" w:hAnsi="arial" w:cs="arial"/>
          <w:color w:val="000000"/>
          <w:sz w:val="20"/>
          <w:lang w:val="en-US" w:eastAsia="en-US" w:bidi="ar-SA"/>
        </w:rPr>
        <w:t>, ought to be stayed pending the determination of a reference application. The case involved a declaration by the Canadian Industrial Relations Board that a strike was unlawful. In seeking to demonstrate irreparable harm, the union alleged that its members' privacy would be unreasonably invaded if the stay was not granted. However, the union did not show that any privacy violation had resulted from the security clearance process. The union failed to demonstrate any irreparable harm and the motion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also claim that representing their individual members' privacy rights fits comfortably within the expanding role of unions. They submit </w:t>
      </w:r>
      <w:r>
        <w:rPr>
          <w:rFonts w:ascii="arial" w:eastAsia="arial" w:hAnsi="arial" w:cs="arial"/>
          <w:i/>
          <w:color w:val="000000"/>
          <w:sz w:val="20"/>
          <w:lang w:val="en-US" w:eastAsia="en-US" w:bidi="ar-SA"/>
        </w:rPr>
        <w:t>British Columbia Nurses' Union v. British Columbia (Attorney General)</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2008 BCSC 321</w:t>
        </w:r>
      </w:hyperlink>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82 B.C.L.R. (4th) 343</w:t>
        </w:r>
      </w:hyperlink>
      <w:r>
        <w:rPr>
          <w:rFonts w:ascii="arial" w:eastAsia="arial" w:hAnsi="arial" w:cs="arial"/>
          <w:color w:val="000000"/>
          <w:sz w:val="20"/>
          <w:lang w:val="en-US" w:eastAsia="en-US" w:bidi="ar-SA"/>
        </w:rPr>
        <w:t>, supports their proposition that in recent years there has been a dramatic expansion of the role played by unions on behalf of their members. The decision deals with a union's capacity, which is of course different than the issue of standing. However, the plaintiffs submit that certain comments of Justice Kelleher are relevant to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Justice Kelleher, at para. 18,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any event, what the Union is doing in pursuing this position is well within what a democratic trade union normally does in our society [petition the court for declarations and an order compelling the government to carry out its statutory duty to enforce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 xml:space="preserve">]. The courts have recognized that unions have a legitimate role to play in engaging in broader political and social processes of society. In </w:t>
      </w:r>
      <w:r>
        <w:rPr>
          <w:rFonts w:ascii="arial" w:eastAsia="arial" w:hAnsi="arial" w:cs="arial"/>
          <w:i/>
          <w:color w:val="000000"/>
          <w:sz w:val="20"/>
          <w:lang w:val="en-US" w:eastAsia="en-US" w:bidi="ar-SA"/>
        </w:rPr>
        <w:t>Lavigne v. Ontario Public Service Employees' Union</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[1991] 2 S.C.R. 211</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81 D.L.R. (4th) 545</w:t>
        </w:r>
      </w:hyperlink>
      <w:r>
        <w:rPr>
          <w:rFonts w:ascii="arial" w:eastAsia="arial" w:hAnsi="arial" w:cs="arial"/>
          <w:color w:val="000000"/>
          <w:sz w:val="20"/>
          <w:lang w:val="en-US" w:eastAsia="en-US" w:bidi="ar-SA"/>
        </w:rPr>
        <w:t xml:space="preserve"> [cited to S.C.R.] the Supreme Court of Canada considered unions as self-governing and democratic institutions which play a variety of roles. Mr. Justice La Forest, with whom Sopinka and Gonthier JJ.A. concurred, referred to the difficulty of determining whether a particular cause is or is not related to the collective bargaining process. Unions commonly engage in advocating public policy with respect to the environment, daycare, women's rights and the like. Mr. Justice La Forest ... referred to this as the "larger environment in which unions must represent their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At para. 19, Kelleher J. adopted language from </w:t>
      </w:r>
      <w:r>
        <w:rPr>
          <w:rFonts w:ascii="arial" w:eastAsia="arial" w:hAnsi="arial" w:cs="arial"/>
          <w:i/>
          <w:color w:val="000000"/>
          <w:sz w:val="20"/>
          <w:lang w:val="en-US" w:eastAsia="en-US" w:bidi="ar-SA"/>
        </w:rPr>
        <w:t>Slaight Communications Inc. v. Davidson</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[1989] 1 S.C.R. 1038</w:t>
        </w:r>
      </w:hyperlink>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59 D.L.R. (4th) 416</w:t>
        </w:r>
      </w:hyperlink>
      <w:r>
        <w:rPr>
          <w:rFonts w:ascii="arial" w:eastAsia="arial" w:hAnsi="arial" w:cs="arial"/>
          <w:color w:val="000000"/>
          <w:sz w:val="20"/>
          <w:lang w:val="en-US" w:eastAsia="en-US" w:bidi="ar-SA"/>
        </w:rPr>
        <w:t xml:space="preserve"> at 426, that "the interests of labour do not end at some artificial boundary between the economic and political".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Mounted Police Association of Ontario v. Canada (Attorney General),</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96 O.R. (3d) 20</w:t>
        </w:r>
      </w:hyperlink>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[2009] C.L.L.C. para. 220-027</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Mounted Police</w:t>
      </w:r>
      <w:r>
        <w:rPr>
          <w:rFonts w:ascii="arial" w:eastAsia="arial" w:hAnsi="arial" w:cs="arial"/>
          <w:color w:val="000000"/>
          <w:sz w:val="20"/>
          <w:lang w:val="en-US" w:eastAsia="en-US" w:bidi="ar-SA"/>
        </w:rPr>
        <w:t xml:space="preserve">], the Ontario Superior Court held that the Mounted Police Association of Ontario and the B.C. Mounted Police Professional Association had standing to assert that certain statutory provisions infringed the freedom of association guaranteed by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plaintiff unions refer to paragraphs 8 to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With respect to the standing of the applicants to assert that the impugned provisions infringe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respondent makes two submissions. First, the respondent submits that there is no factual or legal basis to support the applicants' claim that they are bringing the application "on behalf of all members and employees of the Royal Canadian Mounted Police". Second, the respondent submits that while individual members of the applicant associations could assert infringement of s. 2(d), "a real question exists ... whether a corporation, itself a separate legal entity, can raise or assert the s. 2(d) associational freedom of anyone but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 agree with the respondent's first submission. The evidentiary record makes it clear that not all members and employees of the RCMP support the applicants' position. However, I am nonetheless satisfied that the applicant associations have standing to assert that the impugned provisions infringe the freedom of association of their own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fact that employees have banded together in an association or union does not give the association or union unrestricted rights to represent the employees' interests in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litigation: </w:t>
      </w:r>
      <w:r>
        <w:rPr>
          <w:rFonts w:ascii="arial" w:eastAsia="arial" w:hAnsi="arial" w:cs="arial"/>
          <w:i/>
          <w:color w:val="000000"/>
          <w:sz w:val="20"/>
          <w:lang w:val="en-US" w:eastAsia="en-US" w:bidi="ar-SA"/>
        </w:rPr>
        <w:t>Christian Labour Assn. v. British Columbia (Transportation Financing Authority)</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[2001] B.C.J. No. 1402</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 D.L.R. (4th) 407</w:t>
        </w:r>
      </w:hyperlink>
      <w:r>
        <w:rPr>
          <w:rFonts w:ascii="arial" w:eastAsia="arial" w:hAnsi="arial" w:cs="arial"/>
          <w:color w:val="000000"/>
          <w:sz w:val="20"/>
          <w:lang w:val="en-US" w:eastAsia="en-US" w:bidi="ar-SA"/>
        </w:rPr>
        <w:t xml:space="preserve"> (C.A.), at para. 34. In this case, however, the alleged infringements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go to the very root of the reason why individual members of the RCMP brought the applicant associations into existence, namely, as vehicles for their collective interaction with management. As will be developed in these reasons, RCMP management has a constitutional obligation to recognize associations formed for that purpose. The core issue in this application is whether management has refused to honour that obligation. In these circumstances, the applicants have a direct interest that falls within the scope of the guarantee of freedom of association and they have standing to assert that the guarantee has been infringed: </w:t>
      </w:r>
      <w:r>
        <w:rPr>
          <w:rFonts w:ascii="arial" w:eastAsia="arial" w:hAnsi="arial" w:cs="arial"/>
          <w:i/>
          <w:color w:val="000000"/>
          <w:sz w:val="20"/>
          <w:lang w:val="en-US" w:eastAsia="en-US" w:bidi="ar-SA"/>
        </w:rPr>
        <w:t>cf. Charlottetown (City) v. Prince Edward Island</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[1998] P.E.I.J. No. 88</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167 D.L.R. (4th) 268</w:t>
        </w:r>
      </w:hyperlink>
      <w:r>
        <w:rPr>
          <w:rFonts w:ascii="arial" w:eastAsia="arial" w:hAnsi="arial" w:cs="arial"/>
          <w:color w:val="000000"/>
          <w:sz w:val="20"/>
          <w:lang w:val="en-US" w:eastAsia="en-US" w:bidi="ar-SA"/>
        </w:rPr>
        <w:t xml:space="preserve"> (C.A.).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submit that the present case goes "to the very root of the reason" for the plaintiff unions' existence and the very reason the individual members chose the plaintiffs in the first place. They state that at stake is the continuing membership of over 12% of its members and the right to engage, on behalf of their members, in collective bargaining, arbitration of disputes, and litigation of matters beyond those activities, including litigation to protect members'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submit that Rule 19 principles are to be applied as generously as possible to the plaintiffs' claims and stringently to the defendants' arguments. They assert that at the very least they have raised a serious question of law, as well as a matter of general importance, and that with respect to this issue it is essential that a decision not be rendered in a vacuum before all of the trial evidence is adduced.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 and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unions do have the right to represent members' rights generally in such matters as right to information applications and collective bargaining, the authorities cited do not support a union's right to advance a claim in tort for the breach of privacy allegedly suffered by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Three of the cases relied on by the plaintiffs involved access to information requests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These cases did not involve the tort of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Longshore</w:t>
      </w:r>
      <w:r>
        <w:rPr>
          <w:rFonts w:ascii="arial" w:eastAsia="arial" w:hAnsi="arial" w:cs="arial"/>
          <w:color w:val="000000"/>
          <w:sz w:val="20"/>
          <w:lang w:val="en-US" w:eastAsia="en-US" w:bidi="ar-SA"/>
        </w:rPr>
        <w:t xml:space="preserve"> decision also does not address the issue at hand. A union would have standing to seek orders in relation to a strike; in that case, the alleged privacy violations were incidental to the motion, as they were one example of irreparable harm. In the present case, the alleged privacy violations are the sole basis for the particular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Neither </w:t>
      </w:r>
      <w:r>
        <w:rPr>
          <w:rFonts w:ascii="arial" w:eastAsia="arial" w:hAnsi="arial" w:cs="arial"/>
          <w:i/>
          <w:color w:val="000000"/>
          <w:sz w:val="20"/>
          <w:lang w:val="en-US" w:eastAsia="en-US" w:bidi="ar-SA"/>
        </w:rPr>
        <w:t>British Columbia Nurses' Union</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Mounted Police</w:t>
      </w:r>
      <w:r>
        <w:rPr>
          <w:rFonts w:ascii="arial" w:eastAsia="arial" w:hAnsi="arial" w:cs="arial"/>
          <w:color w:val="000000"/>
          <w:sz w:val="20"/>
          <w:lang w:val="en-US" w:eastAsia="en-US" w:bidi="ar-SA"/>
        </w:rPr>
        <w:t xml:space="preserve"> support the argument that a union can step into the shoes of its individual members in order to advance a claim in tort. Unions seeking to protect their members' privacy rights from other unions is neither within a union's role nor does it go to the root of a union's existence. Members join a union in order to increase their bargaining power with employers and to have an advocate when employer actions are not in line with the collective agreement. They do not join a union because they wish to have their privacy rights protected from violation by another union. Further, in </w:t>
      </w:r>
      <w:r>
        <w:rPr>
          <w:rFonts w:ascii="arial" w:eastAsia="arial" w:hAnsi="arial" w:cs="arial"/>
          <w:i/>
          <w:color w:val="000000"/>
          <w:sz w:val="20"/>
          <w:lang w:val="en-US" w:eastAsia="en-US" w:bidi="ar-SA"/>
        </w:rPr>
        <w:t>Mounted Police</w:t>
      </w:r>
      <w:r>
        <w:rPr>
          <w:rFonts w:ascii="arial" w:eastAsia="arial" w:hAnsi="arial" w:cs="arial"/>
          <w:color w:val="000000"/>
          <w:sz w:val="20"/>
          <w:lang w:val="en-US" w:eastAsia="en-US" w:bidi="ar-SA"/>
        </w:rPr>
        <w:t xml:space="preserve">, the court found that a union does not have an unrestricted right to represent employees' interests in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litigation; the same would be true of litigation based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appears to be the first time a union has attempted to bring an action in tort for breach of privacy of a member. No authority directly on point has been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conclude that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establishes a statutory tort of breach of privacy that is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right to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amended statement of claim in paragraphs 31 to 35 relies not only on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but also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Section 2 of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Purpose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this Act is to govern the collection, use and disclosure of personal information by organizations in a manner that recognizes both the right of individuals to protect their personal information and the need of organizations to collect, use or disclose personal information for purposes that a reasonable person would consider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applies to personal information. Section 2 specifically refers to the right of individuals to protect their personal information. As with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the right is that of an individual, not a union. On this issue, there is no serious question of law which can only be addressed on the basis of evidence presented at trial. Based on the statutory language, it is clear that these are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impugned paragraphs of the statement of claim assert that the privacy rights of certain individuals have been violated. The pleadings do not assert that the rights of the union plaintiffs have been violated. This is a radical defect; the plaintiffs have no entitlement to bring an action based on a violation of another person's privacy.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Breach of Statute: </w:t>
      </w:r>
      <w:r>
        <w:rPr>
          <w:rFonts w:ascii="arial" w:eastAsia="arial" w:hAnsi="arial" w:cs="arial"/>
          <w:b/>
          <w:i/>
          <w:color w:val="000000"/>
          <w:sz w:val="20"/>
          <w:lang w:val="en-US" w:eastAsia="en-US" w:bidi="ar-SA"/>
        </w:rPr>
        <w:t>Personal Information Protection 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assert that the claim based on the breach of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discloses no reasonable cause of action. The defendants submit that whether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allows for a civil cause of action for breach of statute depends on what the Legislature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support of their position, the defendants rely on </w:t>
      </w:r>
      <w:r>
        <w:rPr>
          <w:rFonts w:ascii="arial" w:eastAsia="arial" w:hAnsi="arial" w:cs="arial"/>
          <w:i/>
          <w:color w:val="000000"/>
          <w:sz w:val="20"/>
          <w:lang w:val="en-US" w:eastAsia="en-US" w:bidi="ar-SA"/>
        </w:rPr>
        <w:t>Macaraeg v. E Care Contact Centers Ltd.,</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2008 BCCA 182</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77 B.C.L.R. (4th) 205</w:t>
        </w:r>
      </w:hyperlink>
      <w:r>
        <w:rPr>
          <w:rFonts w:ascii="arial" w:eastAsia="arial" w:hAnsi="arial" w:cs="arial"/>
          <w:color w:val="000000"/>
          <w:sz w:val="20"/>
          <w:lang w:val="en-US" w:eastAsia="en-US" w:bidi="ar-SA"/>
        </w:rPr>
        <w:t xml:space="preserve">, leave to appeal ref'd </w:t>
      </w:r>
      <w:hyperlink r:id="rId496" w:history="1">
        <w:r>
          <w:rPr>
            <w:rFonts w:ascii="arial" w:eastAsia="arial" w:hAnsi="arial" w:cs="arial"/>
            <w:i/>
            <w:color w:val="0077CC"/>
            <w:sz w:val="20"/>
            <w:u w:val="single"/>
            <w:shd w:val="clear" w:color="auto" w:fill="FFFFFF"/>
            <w:lang w:val="en-US" w:eastAsia="en-US" w:bidi="ar-SA"/>
          </w:rPr>
          <w:t>[2008] S.C.C.A. No. 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xml:space="preserve"> addressed whether entitlement to overtime in accordance with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 could be pursued through a civil court action. Justice Chiasson, at para. 45, framed the relevant question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 the question is not whether the legislation takes away the right to bring a civil action, but whether it intended that civil action be available as an exception to the general rule that rights conferred by statute are to be enforced in the statutory regim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answering this question in relation to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Chiasson J.A., at paras. 102-04,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When a statute provides an adequate administrative scheme for conferring and enforcing rights, in the absence of providing for a right of enforcement through civil action expressly or as necessarily incidental to the legislation, there is a presumption that enforcement is through the statutory regime and no civil action is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In this case,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provides a complete and effective administrative structure for granting and enforcing rights to employees. There is no intention that such rights could be enforced in a civil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 [The employee] is not entitled to enforce her statutory right to overtime pay in a civil action; the exclusive jurisdiction to determine such claims lies with the Director, subject to an appeal to the Tribunal, all pursuant to the provisions of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defendants submit that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provides an adequate administrative scheme for conferring and enforcing rights under it. There is neither an express provision which gives a right of enforcement through civil action nor is that right necessarily incidental to the legislation given the administrative scheme. The legal presumption is that enforcement is through the statutory regime only and no civil action is available.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plaintiffs submit that the there is a civil cause of action for breach of statute. They rely on the decision of Justice Dillon in </w:t>
      </w:r>
      <w:r>
        <w:rPr>
          <w:rFonts w:ascii="arial" w:eastAsia="arial" w:hAnsi="arial" w:cs="arial"/>
          <w:i/>
          <w:color w:val="000000"/>
          <w:sz w:val="20"/>
          <w:lang w:val="en-US" w:eastAsia="en-US" w:bidi="ar-SA"/>
        </w:rPr>
        <w:t>Hub City Supplies v. Total Drywall Ltd.</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29 C.L.R. (2d) 275</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[1996] B.C.J. No. 1980</w:t>
        </w:r>
      </w:hyperlink>
      <w:r>
        <w:rPr>
          <w:rFonts w:ascii="arial" w:eastAsia="arial" w:hAnsi="arial" w:cs="arial"/>
          <w:color w:val="000000"/>
          <w:sz w:val="20"/>
          <w:lang w:val="en-US" w:eastAsia="en-US" w:bidi="ar-SA"/>
        </w:rPr>
        <w:t xml:space="preserve"> (S.C.). There, the issue was whether the plaintiff could mount a civil action for a breach of trust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R.S.B.C. 1979, c. 40. The defendants argued that a breach of a statute could not give rise to a civil action, citing, in support of that proposition,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143 D.L.R. (3d)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Justice Dillon ruled that the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case stood for the proposition that the civil consequences for breach of statute are subsumed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thus the notion of statutory breach giving a right of recovery was rejected in that case. However, she also found that this did not extend to cases involving a breach of statute when the cause of action is not based on a breach of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 advanced, breach of trust, had no relation to breach of duty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unions also rely on </w:t>
      </w:r>
      <w:r>
        <w:rPr>
          <w:rFonts w:ascii="arial" w:eastAsia="arial" w:hAnsi="arial" w:cs="arial"/>
          <w:i/>
          <w:color w:val="000000"/>
          <w:sz w:val="20"/>
          <w:lang w:val="en-US" w:eastAsia="en-US" w:bidi="ar-SA"/>
        </w:rPr>
        <w:t>Whistler Cable Television Ltd. v. Ipec Canada Inc.</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(1992), 75 B.C.L.R. (2d) 48</w:t>
        </w:r>
      </w:hyperlink>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[1993] 3 W.W.R. 247</w:t>
        </w:r>
      </w:hyperlink>
      <w:r>
        <w:rPr>
          <w:rFonts w:ascii="arial" w:eastAsia="arial" w:hAnsi="arial" w:cs="arial"/>
          <w:color w:val="000000"/>
          <w:sz w:val="20"/>
          <w:lang w:val="en-US" w:eastAsia="en-US" w:bidi="ar-SA"/>
        </w:rPr>
        <w:t xml:space="preserve"> (S.C.), in which one issue was whether the plaintiff could bring a civil action for infringement of its cable operators' license under the </w:t>
      </w:r>
      <w:r>
        <w:rPr>
          <w:rFonts w:ascii="arial" w:eastAsia="arial" w:hAnsi="arial" w:cs="arial"/>
          <w:i/>
          <w:color w:val="000000"/>
          <w:sz w:val="20"/>
          <w:lang w:val="en-US" w:eastAsia="en-US" w:bidi="ar-SA"/>
        </w:rPr>
        <w:t>Broadcasting Act</w:t>
      </w:r>
      <w:r>
        <w:rPr>
          <w:rFonts w:ascii="arial" w:eastAsia="arial" w:hAnsi="arial" w:cs="arial"/>
          <w:color w:val="000000"/>
          <w:sz w:val="20"/>
          <w:lang w:val="en-US" w:eastAsia="en-US" w:bidi="ar-SA"/>
        </w:rPr>
        <w:t xml:space="preserve">, R.S.C. 1991, c. 11. The court conducted an extensive review of the relevant jurisprudence, including the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decision, and held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do not read the cases defining this concept to extend to cases involving a breach of statute where the cause of action is not based on breach of duty. There seems to be a distinction between civil actions for damages for breach of a statute where the statute defines the duty of care and where the breach has no relation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In my opinion, in England and in Canada there remains a tort of statutory breach distinct from any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Justice Braidwood concluded at paras. 40-41: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damages that the plaintiff will suffer are the kind that this statute [the </w:t>
      </w:r>
      <w:r>
        <w:rPr>
          <w:rFonts w:ascii="arial" w:eastAsia="arial" w:hAnsi="arial" w:cs="arial"/>
          <w:i/>
          <w:color w:val="000000"/>
          <w:sz w:val="20"/>
          <w:lang w:val="en-US" w:eastAsia="en-US" w:bidi="ar-SA"/>
        </w:rPr>
        <w:t>Broadcasting Act</w:t>
      </w:r>
      <w:r>
        <w:rPr>
          <w:rFonts w:ascii="arial" w:eastAsia="arial" w:hAnsi="arial" w:cs="arial"/>
          <w:color w:val="000000"/>
          <w:sz w:val="20"/>
          <w:lang w:val="en-US" w:eastAsia="en-US" w:bidi="ar-SA"/>
        </w:rPr>
        <w:t>] was intended to prevent. The provision for penalty by way of fine is wholly inadequate to protect the plaintiff's business and recompense it for any loss. A fine will not "strengthen broadcasters" which is one of the purposes of the Act. It also becomes clear in reviewing the whole of the Act that the Act does not constitute a scheme designed to exclusively carry out the objects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Therefore, in my view, the plaintiff may have a good cause of action and the action should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plaintiff unions submit that as long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the basis of a plaintiff's action, there is a tort of breach of statute: Fridman at 633.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plaintiffs also suggest that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has serious inadequacies in its enforcement mechanisms, including no provision for an interlocutory or permanent injunction that is enforceable by contempt proceedings.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 and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issue is not whether a tort for breach of statute exists but whether or not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is, in the words of Justice Braidwood, "a scheme designed to exclusively carry out the objects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provides that the commissioner can investigate and deal with complaints under s. 36(2) or "requests" under Part 11. The definition of "request" refers to a written request to resolve a complaint or to conduct a review (s. 45).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sets out the procedure for making a request in s. 47. Once the request is received, the commissioner must give notice to the organization concerned by giving it a copy of the request (s. 48).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initially provides for mediation and other informal dispute resolution techniques (ss. 36(2), 49). If the request is not referred to a mediator or not settled, the commissioner is to hold an inquiry (s. 50). At the end of the inquiry, the commissioner must make an order under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An order can require an organization to stop collecting, using and disclosing personal information in contravention of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(s. 52(3)(e)). If the organization fails to comply with the order, it commits an offence and will be fined (s. 56). The plaintiffs' complaint regarding the lack of a provision for an interlocutory or permanent injunction is not, in my opinion, determinative. is not the test. The test is adequacy and that is not a test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Section 57 of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provides for damages for breaches of the Act. Once the commissioner has made an order against an organization and it has become final, then "an individual affected by the order has a cause of action against the organization for damages for actual harm that the individual has suffered as a result of the breach by the organization of obligations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With respect to the plaintiffs' submission that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lacks adequate enforcement mechanisms, the fact that remedies under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may differ from those under another statutory scheme such as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 xml:space="preserve"> does not lead to the conclusion that the scheme under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is inadequate. The plaintiffs' complaint regarding the lack of a provision for an interlocutory or permanent injunction is not, in my opinion, determinative. The test is adequacy,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provides an adequate administrative scheme. I find support for this in the provisions of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generally and specifically in s. 57. Section 57 clearly shows that the Legislature considered the issue of civil claims; it only included a right for an individual to advance a claim against an organization for damages after the commissioner has made an order. This has not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order that paragraphs 26 to 35 of the amended statement of claim and sub-paragraphs (d)(ii), (iii) and (iv) of the prayer for relief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shall have their costs at Scale B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Foreman v. Moritz, [2001] B.C.J. No. 167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29, March 1 and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33847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1016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Barry James Foreman, plaintiff, and Brenda Lory Moritz and Avco Financial Services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20"/>
      <w:bookmarkEnd w:id="13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Street or highway crossing, crosswalk — Motor vehicle, rules of the road — Making turns, left turns — Damage awards — Injury and death — Body injuries — Shoulder — Head injuries — Teeth — Special damage awards — Loss of wages — General damage awards — Loss of prospective earnings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20"/>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Foreman for damages for personal injury. Foreman was walking across a pedestrian crosswalk with two friends when he was struck by a vehicle driven by the defendant, Moritz, and owned by the defendant, Avco Financial Services. The vehicle was making a left turn at the time of the accident. Foreman was taken to hospital, where he complained of pain in the left shoulder and low back, radiating down the left leg. He was diagnosed with a dislocated shoulder, and was treated with a closed reduction. Physiotherapy initially helped in mobilizing the arm, but he stopped attending and never returned despite repeated recommendations from various doctors. He also sustained fractures of two teeth, which required extraction and construction of a bridge. In addition to claiming damages for injuries to his shoulder and teeth, he claimed damages for pain in his knees and back. He had a pre-existing condition of back pain from a prior motor vehicle accident. Surveillance videotapes showed Foreman displaying a freedom of movement beyond his claimed capabilities.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9" w:name="Holdings of Court_17"/>
            <w:bookmarkEnd w:id="13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Foreman had the right of way as he was crossing the crosswalk, such that the defendants were wholly responsible for the accident. With respect to damages, the available medical evidence was not extensive and Foreman was not credible. He exaggerated the effect of his injuries and appeared to have given inaccurate histories to those assessing his condition. He failed to prove that he suffered injuries to his knees, or that the accident caused his back pain. He was entitled to damages in respect of the injuries to his shoulder and teeth. He was awarded non-pecuniary damages of $25,000, $10,000 for prospective loss of earnings, $5,000 for past loss of income, and special damages of $413.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0" w:name="Legislation Cited_13"/>
      <w:bookmarkEnd w:id="1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07"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1" w:name="Counsel_20"/>
      <w:bookmarkEnd w:id="1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Henri Chabanole, for the plaintiff. Oliver Hui,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2" w:name="Judgment_20"/>
      <w:bookmarkEnd w:id="142"/>
      <w:r>
        <w:pict>
          <v:line id="_x0000_s1134" style="position:absolute;z-index:2518333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January 23,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3" w:name="PARRETT J._0"/>
            <w:bookmarkEnd w:id="143"/>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action seeks damages for injuries sustained when he was struck by a motor vehicle owned by the corporate defendant and driven by the defendant Brenda Moritz.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occurred on October 10, 1996 near the intersection of Sixth Avenue and George Street in Prince George while the plaintiff accompanied by two friends was walking from the motel in which he was staying to 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liability and quantum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10, 1996 the plaintiff was in Prince George attending a First Nations education conference at the Civic Centre in connection with his business. After returning to his motel after the days events he met two friends Miranda Logan and Paulette Flamond in the lobby of the motel at about 6:00 p.m. and left to walk the short distance to a restaurant which was located on George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three approached the intersection of Sixth Avenue and George Street they were walking east on Sixth Avenue. As they started across George Street Paulette Flamond screamed a warning but the other two, Miranda Logan and the plaintiff, were struck and knocked down as Brenda Moritz was turning left from Sixth Avenue onto George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taken from the accident scene to the Prince George Regional Hospital by ambulance. Upon admission the plaintiff complained of left shoulder pain and pain in his low back radiating down his left leg. After x-ray examination revealed a marked anterior inferior dislocation of the left shoulder with no obvious fracture, he was taken to the operating room where a closed reduction was carried out under a general anesthetic.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AND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first of the issues in this action is that of liability. The defendants submit that in all the circumstances the plaintiff had a reasonable opportunity to avoid injury if he had been keeping a proper lookout, and, as a result there should either be no liability on the part of the plaintiff, or alternatively shared liability with the plaintiff bearing a significant portion of that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submits that the entire liability for these injuries rests with the defendant who while executing a left turn struck a group of pedestrians crossing the street in a crosswalk at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remaining issues all relate to the injuries and damage claims advanced by the plaintiff and the credibility issue which emerges from the plaintiff's evidence and the claims he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deal with the liability issue first before turning to the credibility issue and the various damage claims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law with respect to pedestrians is governed by s. 179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(formerly s. 181) which provides in part:</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a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purpose and effect of this legislation was outlined by Bouck, J. in Johnson v. Olsen, </w:t>
      </w:r>
      <w:hyperlink r:id="rId508" w:history="1">
        <w:r>
          <w:rPr>
            <w:rFonts w:ascii="arial" w:eastAsia="arial" w:hAnsi="arial" w:cs="arial"/>
            <w:i/>
            <w:color w:val="0077CC"/>
            <w:sz w:val="20"/>
            <w:u w:val="single"/>
            <w:shd w:val="clear" w:color="auto" w:fill="FFFFFF"/>
            <w:lang w:val="en-US" w:eastAsia="en-US" w:bidi="ar-SA"/>
          </w:rPr>
          <w:t>[1987] B.C.J. No. 1933</w:t>
        </w:r>
      </w:hyperlink>
      <w:r>
        <w:rPr>
          <w:rFonts w:ascii="arial" w:eastAsia="arial" w:hAnsi="arial" w:cs="arial"/>
          <w:color w:val="000000"/>
          <w:sz w:val="20"/>
          <w:lang w:val="en-US" w:eastAsia="en-US" w:bidi="ar-SA"/>
        </w:rPr>
        <w:t>, October 16, 1987, Vancouver Registry No. B852924 where he wrote on p.6-7: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analysis, there are at least 3 reasons why Mrs. Johnson was not at fault. First of all, s. 181(1) and (2) gave her the right-of-way over Mrs. Olsen. Second, the legislation as a whole intended to provide a dominant right-of-way to a pedestrian when that pedestrian is lawfully in a crosswalk. For example s. 182 states a pedestrian crossing a highway where there is no crosswalk must yield the right-of-way to a motorist. Thus, the legislature meant to provide full protection to pedestrians within a crosswalk but little or no protection when they are not. Third, a motorist and a pedestrian start off unequally when they meet one another on a roadway. Four thousand pounds of motor vehicle travelling at 50k can do far more damage to flesh and bone travelling at 3 mph than flesh and bone can do to the automobile. Thus, pedestrians crossing the street in a crosswalk need protection and the law gives it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situations may occur where a pedestrian fails to take proper precautions for his or her own safety. A pedestrian may run onto the crosswalk and thus, not give a motorist a chance to stop. Alternatively, a pedestrian may fail to look before entering the crosswalk and again the motorist may not be able to stop. These kinds of instances are covered in s. 181(2) of the statute. Similarly, a pedestrian may studiously ignore oncoming traffic while in the crosswalk even though there is an obvious danger. When circumstances like these arise, the law may divide blame for the accident and assess all or a portion of it against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way in which the principles interrelate and the burden of proof was described by Wallace, J.A. in Feng. V. Graham and Graham </w:t>
      </w:r>
      <w:hyperlink r:id="rId509"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at p. 120 where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plaintiff in the circumstances of this case was entitled to assume that the defendant was going to obey the law and yield the right of way to her. Her right to rely on that assumption continued until such time as she knew, or ought to have known, that the defendant was not going to grant her the right of way, whereupon the plaintiff's obligation to avoid injury to herself superseded her right to exercise her right of way. The onus is on the defendants to establish that the plaintiff knew, or ought to have known, that the defendant driver was not going to grant her the right of way, and that, at that point of time, the plaintiff could reasonably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practical difficulty inherent in discharging that onus was commented on by Taylor, J. in Olesik v. Mackin, </w:t>
      </w:r>
      <w:hyperlink r:id="rId510" w:history="1">
        <w:r>
          <w:rPr>
            <w:rFonts w:ascii="arial" w:eastAsia="arial" w:hAnsi="arial" w:cs="arial"/>
            <w:i/>
            <w:color w:val="0077CC"/>
            <w:sz w:val="20"/>
            <w:u w:val="single"/>
            <w:shd w:val="clear" w:color="auto" w:fill="FFFFFF"/>
            <w:lang w:val="en-US" w:eastAsia="en-US" w:bidi="ar-SA"/>
          </w:rPr>
          <w:t>[1987] B.C.J. No. 229</w:t>
        </w:r>
      </w:hyperlink>
      <w:r>
        <w:rPr>
          <w:rFonts w:ascii="arial" w:eastAsia="arial" w:hAnsi="arial" w:cs="arial"/>
          <w:color w:val="000000"/>
          <w:sz w:val="20"/>
          <w:lang w:val="en-US" w:eastAsia="en-US" w:bidi="ar-SA"/>
        </w:rPr>
        <w:t>, February 23, 1987, Vancouver Registry No. B860356: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contend that Mr. Olesik had his head down as he was crossing the road, that he failed for this reason to see their vehicle, and that he should accordingly be held at least partly to blame for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 dark, rainy January evening and the evidence suggests that Mr. Olesik was probably looking down, protecting himself from the elements. But I find no adequate basis in the evidence for the contention that his failure continually to watch approaching vehicles caused or contributed to his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meet the onus which rests on the defendants to prove such an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must, in my view, establish much more than inadequate attention on Mr. Olesik's part. They must also establish: (i) at what distance a person in Mr. Olesik's position should have realized, from the speed of the approaching headlights, that the defendants' car was not going to yield him the right of way; (ii) that it would then have been possible for such a pedestrian, by stopping, going back or rushing forward, to avoid their car; and (iii) that a reasonable person in Mr. Olesik's circumstances - a senior citizen pushing a cart - would have taken and succeeded in such evasive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being quite inadequate to establish such a case, I find the defendants alone responsible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present case the credibility issue which affects the evidence of the plaintiff in many other areas, has little impact on the circumstances of the accident itself. Both of the friends with whom he was walking at the time of the accident testified as did the driver who struck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Miranda Logan and Paulette Flamond testified that as the three of them approached the intersection walking side by side, they stopped, looked both ways and then started across the street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Brenda Moritz was at the time in Prince George, filling in for the local manager of Avco Financial Services Canada. She had only been in Prince George for a few days at that time and had only limited familiarity with the company vehicle she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her evidence she approached the intersection and stopped at the stop sign on Sixth Avenue. She had turned her turn signal on indicating a left turn and looked north up Sixth Avenue for traffic. Seeing none she started her left turn onto George Street. As she entered George Street she heard a bump and realized she had hit someone. She did not see any pedestrian at all prior to impact. This is not a case where the defendant driver failed to see a single pedestrian but, rather a group of three who were crossing a street she was turning into and who were in plain sight in the path her vehicle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defence submits that the fact one of the pedestrians was able to see the approaching vehicle and avoid the collision demonstrates a failure on the part of the other two, and the plaintiff, in particular, to keep an adequate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the greatest of respect to this submission the facts in this case do not begin to meet the test laid down by Taylor, J. in Olesik, supra. The fact that the person closest to the approaching vehicle saw it, exclaimed, and was not hit does not establish more than inadequate attention on the part of the other two. I find that the plaintiff and his companions having stopped and looked both ways entered the crosswalk and had travelled some distance before being struck. The circumstances are such as to bring into operation in the plaintiff's favour the right of way specified in s. 179(1). None of the other three requirements outlined by Taylor, J. are satisfied on the evidence of this case. I find the defendants wholly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defence submits that this action rests, almost entirely on evidence that comes from the plaintiff, and that serious questions of credibility emerge form the evidence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is 48 years of age. He is single. He was born in Vancouver and grew up in the lower mainland area of British Columbia. He has worked in a variety of occupations including the logging industry before settling into a business in which he travels what he described as the "native circuit" setting up at various events where he sells a variety of novelty items including shirts, sweatshirts and similar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direct evidence Mr. Foreman described a pre-accident history which is important to the present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testified that prior to the present accident he had injured his left knee in a logging accident and that he had undergone arthroscopic surgery and eventually returned to work. He testified that the knee injury did not affect him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1990 or 1991 he described being involved in a motor vehicle accident which resulted in a "slight whiplash" which did not affect him after a couple of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Foreman went on to describe a 1992 motor vehicle accident near Fort Fraser where he was seriously injured. He testified that he suffered in the accident "...a cracked neck, developed some back problems and had some memory loss..." he was hospitalized for 9 days and then used a brace for six months. He went on to testify that his neck healed up without repercussions, his "mind healed" over the course of a couple of years, and that although his back was bothering him off and on over a couple of years it also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testified that his business was "taking off" and that he was able to attend to it missing no events and doing anything he wanted anytime he wanted. He went on to assert that although he was a little overweight he had no health problems whatsoever prior to the present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turning to the balance of the evidence and what it establishes in relation to this history, I will set out the details of the accident events and his hospitalization as he gave them in his direct evidence and as they emerged in his cross examination and in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Foreman testified that as he and his two companions were walking to the restaurant it was "...nice and bright and sunny - just beautiful in all honesty..." He testified that as they walked along he was on the outside closest to the curb with Miranda next to him and Paulette next to her. He then testified that "In all honesty that's all I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Having made that statement he continued testifying that they stopped and looked before proceeding. He then testified that he heard Paulette scream and he looked down to see a green fender and licence plate near his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went on to describe a nurse at the hospital digging glass out of all his cuts and wiping the blood up. He went on to say they "...put me out and put my shoulder back in..." and discharged him early the next morning with his arm in a sling without even serving him breakfast.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During the course of his cross-examination when pressed on his recollection of events Mr. Foreman made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renege on what I said and leave it to the witnesses, because I was obviously hurt more than I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pressed on his evidence that they were in a crosswalk counsel put to him his sworn evidence at his examination for discovery that he wasn't sure at which point he announced: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 like to just exit any evidence to do with this diagram.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then revealed that he had visited the intersection the day before he testified with the other two witnesses and then announced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more confident now that I was in a crosswalk and that she should have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These portions of the plaintiff's evidence raise concern as to the seriousness with which the plaintiff approached the evidence he gave under oath and the accuracy and reliability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Turning to the documented evidence concerning the accident itself and the plaintiffs hospitalization, the records reflect an admission to the Prince George Regional Hospital at 6:30 p.m. on October 10, 1996 and a discharge the next day at 12:32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body of the admission history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patient presents to the Emergency Room following a MVA. The history given from an observer was that he was crossing the road when a car came at speed around the corner and hit him directly. He was thrown onto the hood of the car, then against the windshield and then to the floor. </w:t>
      </w:r>
      <w:r>
        <w:rPr>
          <w:rFonts w:ascii="arial" w:eastAsia="arial" w:hAnsi="arial" w:cs="arial"/>
          <w:color w:val="000000"/>
          <w:sz w:val="20"/>
          <w:u w:val="single"/>
          <w:lang w:val="en-US" w:eastAsia="en-US" w:bidi="ar-SA"/>
        </w:rPr>
        <w:t>He tells me that he has no memory of the event and his first memory is of lying on the road following the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complaining of pain in the left shoulder and pain in the low back radiating down the left leg. He tells me that the has a previous history of low back pain radiating down the left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he is on obvious discomfort and is lying on his side. He has no cervical collar in place. He is not able to move onto his back or in any direction because of the pain in the left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On examination of the scalp, there were no lacerations and no obvious injuries.</w:t>
      </w:r>
      <w:r>
        <w:rPr>
          <w:rFonts w:ascii="arial" w:eastAsia="arial" w:hAnsi="arial" w:cs="arial"/>
          <w:color w:val="000000"/>
          <w:sz w:val="20"/>
          <w:lang w:val="en-US" w:eastAsia="en-US" w:bidi="ar-SA"/>
        </w:rPr>
        <w:t xml:space="preserve"> Ears and nosed(sic) are healthy and no evident CSF. He has broken the first molar on both the right and left upper jaw.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Pulse is regular, good volume. Heart sounds pure.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Breath sounds are heard over all areas with no adventitious sounds.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abdomen is obese, soft, non-tender.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able to move both lower limbs with no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is an abrasion over the left forehead and on the left lower lip.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unwilling to move his left arm due to pain in the left shoulder. There is some alteration in contour to the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 report dated November 14, 1996 Dr. M. M. Sabir of Abbotsford writes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 STATUS: He has had long standing spondylolisthesis of L5 on S1. This used to be symptomatic until about a year before the accident. The pain in the low back has now recurred with pain radiating down the right leg to the ankle. This is now preventing him from going back to work 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G. K. O'Byrne, of Regina, the plaintiff's family doctor, was not tendered for cross-examination as required by the defence originally. His absence came about as a result of an agreement reached by counsel whereby a series of admissions were made to avoid the necessity of his attending. The first admissions directly contradict the plaintiff's evidence in chief:</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Barry Foreman was complaining of ongoing back problems attributable to the 1992 car accident at the time of the 1996 car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possibility that this back condition was progressive, i.e. getting worse;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 report dated June 27, 1996 Dr. K. Kumar, a neurosurgeon practicing in Regina writes to Dr. O'Byrne providing a requested consultation report. The contents of this report are significant given the plaintiff's direct evidence and the timing of the report. It was written 15 weeks before the accident in question. The body of Dr. Kumar's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thanks for asking me to see this case. </w:t>
      </w:r>
      <w:r>
        <w:rPr>
          <w:rFonts w:ascii="arial" w:eastAsia="arial" w:hAnsi="arial" w:cs="arial"/>
          <w:color w:val="000000"/>
          <w:sz w:val="20"/>
          <w:u w:val="single"/>
          <w:lang w:val="en-US" w:eastAsia="en-US" w:bidi="ar-SA"/>
        </w:rPr>
        <w:t>This patient has been complaining of recurrent attacks of low back pain since 1991. The last such episode took place two months ago when he also had a right sciatic pain.</w:t>
      </w:r>
      <w:r>
        <w:rPr>
          <w:rFonts w:ascii="arial" w:eastAsia="arial" w:hAnsi="arial" w:cs="arial"/>
          <w:color w:val="000000"/>
          <w:sz w:val="20"/>
          <w:lang w:val="en-US" w:eastAsia="en-US" w:bidi="ar-SA"/>
        </w:rPr>
        <w:t xml:space="preserve"> He has now recovered from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this is a rather heavy set truck driver weighing 260 lb. With a height of 6'. The blood pressure was 150/100. Neurological examination however, was essentially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INVESTIGATIONS REVIEWED: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X-ray of the lumbar spine sent by you was reviewed and it does confirm the presence of Grade I spondylolisthesis at the L5-S1 with associated pars defect.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APPRAISAL: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Mechanical low back pain due to Grade I spondylolisthesis.</w:t>
      </w:r>
      <w:r>
        <w:rPr>
          <w:rFonts w:ascii="arial" w:eastAsia="arial" w:hAnsi="arial" w:cs="arial"/>
          <w:color w:val="000000"/>
          <w:sz w:val="20"/>
          <w:lang w:val="en-US" w:eastAsia="en-US" w:bidi="ar-SA"/>
        </w:rPr>
        <w:t xml:space="preserve"> James has the following options: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Lose at least thirty to forty pounds of weight and change his occupation from truck driver to one which does not require so much stress and strain on his back for long distance driving and loading his truck.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wear a lumbosacral corset off and on whenever he gets a flare up. In the interim, he should also continue to do isometric lumbar exercises to prevent future recurrences.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He could undergo a segmental spinal fusion from L4 to S1</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discussed the various options with James. He wishes to think it over. He is more inclined to consider fusion. However, he wants to defer it until the fall. Prior to the spinal fusion he will also need to undergo a myelogram and CT scan in view of associated sciatic pain which he gets.</w:t>
      </w:r>
      <w:r>
        <w:rPr>
          <w:rFonts w:ascii="arial" w:eastAsia="arial" w:hAnsi="arial" w:cs="arial"/>
          <w:color w:val="000000"/>
          <w:sz w:val="20"/>
          <w:lang w:val="en-US" w:eastAsia="en-US" w:bidi="ar-SA"/>
        </w:rPr>
        <w:t xml:space="preserve"> I will be happy to arrange for the necessary surgery whenever he makes up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consultation was arranged, apparently, by the plaintiff's family doctor, the history given to Dr. Kumar reveals a history of recurrent back pain leading to the referral with the last episode apparently some 23 weeks prior to the present accident. The situation was viewed as significant enough by Dr. Kumar to warrant a recommendation that he undergo a segmental spinal fusion. It was obviously viewed by the plaintiff as being a problem to the extent that he was seriously considering that option when this accident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evidence is, of course, completely consistent with the formal admission quoted above which was made to avoid tendering Dr. O'Byrne for cross-examination. It is, however, inconsistent with the plaintiff's direct evidence and the history given to Dr. Sabir which is quoted above. Dr. Sabir's recommendation that "Treatment for the back pain should continue to be conservative", demonstrates no apparent communication of the consideration being given to a spinal fusion only four and a half months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 report dated August 31, 1994 in relation to the injuries suffered by the plaintiff in the earlier accident on February 9, 1992 there are a number of significant passages. Dr. Kaushansky had the benefit of doing extensive testing of Mr.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Under the heading of present complaints Dr. Kaushansky records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Foreman's present physical complaints are that he cannot move his neck as far as he wants to, and he hears a "clicking" when he turns. He has stiffness in his upper neck when waking. He has pain in his back, particularly when he drives for long distances. He gets numbness if he sits in the same position, and this numbness further "pinches" his legs. He has no problems with standing and sometimes, when lying down, he has pain. Sitting in a comfortable chair is manageable, but on a non-supported couch pain will result. He can now drive only 12 hours at a stretch whereas he used to drive for 20 hours. Pain will develop in the middle of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Later in the report at p. 7 the following passage is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IMPRESSIONS: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man sustained a mild traumatic brain injury as a result of being rear-ended by a semi-trailer truck. This was probably due to an acceleration/deceleration trauma at the scene of the accident. The present neuropsychological profile indicates a man with generally average intelligence with specific problems with memory and attentional abilities, clear markers of a traumatic brain injury. His subjective reports were corroborated by the testing done in our offices, which were also consistent with the testing done in February, 1994 in Regina. </w:t>
      </w:r>
      <w:r>
        <w:rPr>
          <w:rFonts w:ascii="arial" w:eastAsia="arial" w:hAnsi="arial" w:cs="arial"/>
          <w:color w:val="000000"/>
          <w:sz w:val="20"/>
          <w:u w:val="single"/>
          <w:lang w:val="en-US" w:eastAsia="en-US" w:bidi="ar-SA"/>
        </w:rPr>
        <w:t>I must note that because of his questionable performance on one of the malingering tests, one cannot exclude the possibility that Mr. Foreman may have exaggerated some aspects of his difficulties;</w:t>
      </w:r>
      <w:r>
        <w:rPr>
          <w:rFonts w:ascii="arial" w:eastAsia="arial" w:hAnsi="arial" w:cs="arial"/>
          <w:color w:val="000000"/>
          <w:sz w:val="20"/>
          <w:lang w:val="en-US" w:eastAsia="en-US" w:bidi="ar-SA"/>
        </w:rPr>
        <w:t xml:space="preserve"> however, I believe that because of the consistency in his psychometric performance on similar measures presently and in February, substantiation of his cognitive difficulties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Regrettably the evidence as a whole leads to the conclusion that Mr. Foreman's evidence is unreliable. It is clear, in my view, that he has both exaggerated the effect of his injuries upon him and, in some cases, given inaccurate histories to those who were assessing his condition. In the end it is necessary to approach his evidence and his claims with the utmost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If there was any doubt about that conclusion, and, in my view there is not, it is laid to rest by the surveillance videotape recorded at Big River, Saskatchewan on August 18, and 19, 1999. The videotape records much of the plaintiff's activities while working a native event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Among the many activities recorded the plaintiff is seen:</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moving quickly (and repeatedly) up and down a steel ramp into the back of his truck.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squatting.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getting up quickly from a seated position.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putting on bug repellant.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All of these activities displayed a freedom of movement and lack of restriction, which, I find is inconsistent with what the plaintiff described in his evidence. The most significant of these activities was the portion of the videotape which showed him putting on bug repellant. The plaintiff in his evidence testified that at the time of the trial his shoulder still bothered him to the extent that there was no day where he didn't have pain on at least a scale of 5 on a 10 point scale and that, in cold environments, it would be a 10. He testified that although he has recovered some motion in his arm he "still can't lift it up in the air" and estimates that his left arm is only 50% of what it was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the greatest of respect to the plaintiff, the videotape shows him moving freely and without restriction putting bug repellent on his neck with both hands and combing both sets of fingers through his hair. There is no apparent difficulty or restriction as he carries out those tasks with both arms elevated to his head. His actions as recorded are inconsistent with the restriction he described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three decisions which are, in my view, helpful in approaching the type of issue which emerges in the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the first of these McEachern, C.J.S.C. (as he then was) wrote in Price v. Kostryba </w:t>
      </w:r>
      <w:hyperlink r:id="rId1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Maslen v. Rubenstein </w:t>
      </w:r>
      <w:hyperlink r:id="rId511"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at p. 133. Taylor, J.A. approached this type of issue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obvious preliminary question in these cases is whether the pain, discomfort or weakness complained of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cases in which the trier of fact is not persuaded that the plaintiff does in truth experience the suffering in question have, of course, to be eliminated, for the most part by the ordinary tests of credibility. Cases of the sort which then remain involve plaintiffs who are found by the trier of fact to be telling the truth in saying that they continue to suffer when no physical reason for continuation of pain, weakness or discomfort can be found. The problems of which these plaintiffs complain must be regarded as having a psychological, rather than physical, explanation, and Mr. Justice Spencer found this to be so in the case of the present plaintiff, Francisca Maslen.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reasons continue at p. 134 where the following passage is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useful, therefore, before going further into the facts, to state what, in my view, ought to be regarded as the basic principles applicable to these difficult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meet the onus which lies on a plaintiff in a case of this sort, and thereby avoid the "ultimate risk of non-persuasion", the plaintiff must, in my view, established that his or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Finally, in Le v. Milburn </w:t>
      </w:r>
      <w:hyperlink r:id="rId42"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xml:space="preserve"> (November 13, 1987) Vancouver Registry No. B861193 at p. 2 Southin, J. (as she then was)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practices to deceive, whether by deliberate falsehood or gross exaggeration, the court has much difficulty in disentangling the truth from the web of deceit and exaggeration. If, in the course of the disentangling of the web, the court cast aside as untrue something what was indeed true, the litigant has only himself or herself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already concluded that the plaintiff's evidence is unreliable, and that he has both exaggerated his symptoms and given inaccurate histories to health care professionals who were assessing him. When these conclusions are combined with a less than complete set of medical reports documenting the complaints now presented and a consistent failure to follow recommendations made to him, to lose weight and attend physiotherapy one is driven to seek in the reports available objective findings on which the court can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seeks to recover damages for injuries to his left shoulder, low back, left and right knees, his teeth and numerous cuts and bruises. He submits these are all injuries he sustained in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was assessed at the Prince George Regional Hospital as having suffered a dislocated left shoulder. After initial assessment he was taken to an operating room where a closed reduction was carried out under a general anesthetic.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in hospital he complained of pain in the low back radiating down his left leg. He was able to move both legs with no pain. The hospital chart records that the plaintiff was given instructions concerning the mobilization of his shoulder and the advisability of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Foreman on being discharged form hospital travelled to the lower mainland where he saw Dr. Sabir. Dr. Sabir in a report dated November 14, 1996 records a complaint that his low back pain has now recurred ". . . with pain radiating down the right leg to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Mr. Foreman began attending physiotherapy in Aldergrove his physiotherapist notes on November 21, 1996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Mr. Foreman is not fully recovered but must discontinue his treatment for a short period to deal with matters concerning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never resumed taking physiotherapy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 report dated March 12, 1997 Dr. O'Byrne, the plaintiff's family doctor, notes complaints of left knee and shoulder pain. He records the plaintiff's complaint that his shoulder has been constantly painful and limited in range of motion and that his knee "feels unstable". On examination of the left knee Dr. O'Byrne found a full range of motion with no signs of ligament damage. He found the range of motion of the left shoulder "markedly reduced" with tenderness. He goes on to write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James has not been able to attend physiotherapy to any extent.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of his last examination of Feb. 5/97 James has been unable to work primarily due to his restricted painful shoulder as well as the left knee pain which is exacerbated with prolonged sitting 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April 18, 1997 he was seen by Dr. D. Kramer an orthopaedic surgeon. Dr. Kramer's report notes complaints of ". . . vague symptoms pertaining to his knees." On examination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he has a full range of motion [of the knees], no instability, no effusions, and the McMurray's test is negative and there are certainly no objective signs of any significant problem with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Kramer agrees that the plaintiff should be having "further physiotherapy and rehab for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shoulder he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objective findings are of a moderate degree of rotator cuff muscle wasting and limited active abduction to 95 degrees and pain at the extremes of rotation, though there is no demonstrable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 further report from Dr. O'Bryne dated October 7/97 his family doctor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Barry returned to the office Dec. 23/96 because of pain and difficulty sleeping. Examination was unchanged and no further medications were prescribed. I recommended that he stay off work in order to obtain the physiotherapy services that he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reasons given by the plaintiff for failing to attend physiotherapy, in his evidence was that he had no funds to pay for it. Two observations must be made first, he did have funds available which on his evidence were used for other purposes and, secondly, this reason is nowhere recorded in the medical records in evidence which note instead that he discontinued physiotherapy to return to, or attend work. This latter point to some extent also contradicts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medical evidence in this action consists of the following: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Prince George Regional Hospital records for his admission on the date of the accident.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I.C.B.C. short form report from Dr. Gill dated November 18, 1996.</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consultation report of Dr. Sabir, an orthopaedic surgeon directed to Dr. Gill on November 14, 1996.</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from a physiotherapist to I.C.B.C. dated November 21, 1996.</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report from Dr. O'Byrne, the plaintiff's family doctor, written apparently to some loan insurance adjuster on March 12, 1997.</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consultation report of Dr. Kramer, an orthopaedic surgeon, directed to Dr. O'Byrne on April 18, 1997.</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a letter from Dr. Kramer to the same loan insurance adjuster on April 18, 1997.</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legal report from Dr. O'Byrne to plaintiff's counsel dated October 7, 1997.</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consultation report of Dr. de Jager another orthopaedic surgeon directed to Dr. O'Byrne on May 4, 1998.</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of a Dr. Ragan, apparently a dentist, dated July 17, 1998.</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consultation report of Dr. de Jager, directed to Dr. O'Byrne on February 1, 1999.</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final report from Dr. O'Byrne dated September 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addition to these materials which are related to the treatment of the plaintiff following his injury on October 10, 1996, extensive materials were provided which related to his treatment following a severe accident on February 7,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careful review of the medical evidence listed above leads to a number of conclusions.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his initial hospitalization the plaintiff came under the care of Dr. Gill in Aldergrove where he remained for the initial weeks following his injury. He left British Columbia on November 23, 1996, some 6 weeks after the accident. The only evidence from Dr. Gill is the one virtually illegible short form report provided to I.C.B.C.</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physiotherapy taken by the plaintiff, despite repeated recommendations from his health care professionals was during this same period while he was in Aldergrove. No details are provided nor does the evidence before the court identify even the number of sessions attended save from the plaintiffs oral testimony what it was 23 times.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first six months following his injury, the medical evidence (excluding the hospital records) consists of a short form report form Dr. Gill, a consultation report from Dr. Sabir, a brief letter from the physiotherapist to I.C.B.C. (apparently seeking payment of their account) and a report form his family doctor dated March 12, 1997 apparently written to an adjuster from Canada Life to support insurance coverage of a loan payment.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only documented medical attendances during this period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17, 1996</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Ragan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1045"/>
        <w:gridCol w:w="2196"/>
        <w:gridCol w:w="41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1996</w:t>
            </w:r>
          </w:p>
        </w:tc>
        <w:tc>
          <w:tcPr>
            <w:tcW w:w="215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Ragan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13, 1996</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Gill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14, 1996</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Sabir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13, 1996</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28, 1996</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23,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5,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25, 1997</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remainder of 1997, the evidence discloses the following medical attendances: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21,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10,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18,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Kramer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8,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5,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15, 1997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20, 1997</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O'Byrne notes in his report that the return to his office on August 5, 1997 apparently occurred as a result of a fall the plaintiff took while loading a machine aggravating his shoulder problem.</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remaining two years leading up to trial the documented medical attendances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2"/>
        <w:gridCol w:w="1150"/>
        <w:gridCol w:w="2196"/>
        <w:gridCol w:w="41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4, 1998</w:t>
            </w:r>
          </w:p>
        </w:tc>
        <w:tc>
          <w:tcPr>
            <w:tcW w:w="215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de Jager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16, 1998</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Ragan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3, 1998</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1, 1999</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de Jager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 4, 1999</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O'Byrne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can be seen from this final summary that after August of 1997 the plaintiff apparently attended on his family doctor twice, once in 1998 and once in 1999.</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medical report dated in the year preceding the commencement of this trial is the final report of Dr. O'Byrne dated September 2, 1999. This report consists of eleven sentences. Given the difficulties with the plaintiff's credibility and the inaccuracy of his evidence overall. The medical evidence is far from adequate to support the limitations he claims still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absence of comprehensive and current medical assessments is troubling to say the least.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end I am left with the task of doing the best that I can from the evidence that is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clear on the evidence that the plaintiff suffered a dislocated left shoulder which was treated initially by carrying out a closed reduction under a general anesthetic. Movement of the shoulder was painful and restricted. Though physiotherapy initially helped in mobilizing the arm, he discontinued attending and never returned despite repeated recommendations from various doctors. On the evidence I conclude physiotherapy would have assisted in achieving a better result, at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Throughout 1997 and 1998 examination of the shoulder revealed soreness, tenderness, and a limitation in the range of motion. This situation was aggravated when he re-injured the shoulder in a fall in August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An MRI test conducted in early 1999 disclosed atrophy and wasting of some of the muscles in his left shoulder. By September of 1999 Dr. O'Byrne found that although the range of motion had improved slightly it was still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satisfied that the plaintiff has suffered an injury to his left shoulder which has at this stage left him with a small but permanent restriction in movement. It is obvious in my view from the whole of the evidence and the surveillance videotape that he has at this trial exaggerated the impact of those remaining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in the accident sustained fractures of his "first molar on both the right and left upper jaw". These were examined by Dr. Ragan on October 17, 1996 and restored by him in November of that year. Two years later he presented himself to Dr. Ragan who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in the accident of October 1996, two other teeth suffered traumatic injury. The teeth #13 and #11 had existing crowns and prefabricated posts and were loosened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required treatment included the extraction of these teeth and a permanent restoration by the construction of a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the evidence I find that these injuries occurred as a result of the accident and form a part of both the general and special damages the plaintiff is entitled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last two aspects of the plaintiff's injuries present more difficulty, these relate to his claims that he suffered injury to his knees and to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Dealing initially with his claim that the plaintiff's knees were injured during the course of this accident, it must be noted that the first documented complaint concerning his knees was made to Dr. O'Byrne on December 12, 1996 two months after the accident in question and after returning from an extended trip in which he apparently drove to Quebec and returned to Regina.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O'Byrne reports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stated that the left knee felt unstable after prolonged standing or long periods of maintained posture such as driving. There was no locking or recurrent swelling.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of the left knee revealed diffuse pain over the anterior aspect with no edema, ecchymosis, or abrasions. There was a full range of motion and no signs of anterior cruciate, medical collateral, or lateral collateral ligament damage. There was no sign of meniscal tear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Between the end of December 1996 and the beginning of February 1997 the plaintiff began complaining of right knee pain. Again examinations by Dr. O'Byrne revealed no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clear from the hospital records that the physical examination conducted on admission included at least a cursory examination of his lower limbs and that he was ". . . able to move both lower limbs with no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is no detailed report from Dr. Gill nor did he testify at this trial. We do know, however, that Dr. Gill referred Mr. Foreman to an orthopaedic surgeon, Dr. Sabir, who examined the plaintiff on November 14, 1996. The report dated the same day reflects a detailed physical examination including an examination of his lower limbs. There is no indication of any complaint or objective observation that in any way relates to either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April of 1997 he was seen by a second orthopaedic surgeon Dr. Derek Kramer. By this time he was complaining of problems with both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Kramer summarizes the situation in his report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has vague symptoms pertaining to his knees. He states that when he squats down he has difficulty rising from that position with no symptoms to suggest an internal derangement. He states that this has only been present since the accident and has no other significant joint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On examination of the knees he has a full range of motion, no instability, no effusions and the McMurray's test is negative and there are certainly no objective signs of any significant problem with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the whole of the evidence I am not satisfied that the plaintiff suffered any injury to his knees in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testified that following the accident he suffered in addition to the other problems pain in his back. He went on to testify that although he had been injured in an accident in 1992, his back which was bothering him off and on healed and that at the time of the present accident he was a little overweight but had no health problems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Earlier in these reasons when dealing with the credibility issue I touched on some of the difficulties with the plaintiff's evidence concerning the condition of his back and the symptoms which he says emerged following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Quite apart form the overwhelming evidence the plaintiff suffered from a long history of back problems, for the purposes of this trial the plaintiff formally admitted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completely unable, on the evidence before me, to conclude that the plaintiff's back symptoms which he describes were caused by the present accident. The difficulty in this respect originates not simply from a body of medical evidence that is less than ideal but also from evidence and history given by this plaintiff to this court and to various doctors which is untrue and, in my view, calculated to deceive for the purpose of advancing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Considering the evidence as a whole I award the plaintiff $25,000 as non-pecuniary loss for the injuries I have found are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Under the category of prospective loss of earnings or profits there are three aspects to consider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Firstly, I have found that the plaintiff has suffered an injury to his left shoulder which has left him with a permanent but minor disability. On this point, once again, the medical evidence is not terribly satisfactory, not a single one of the medical reports examines or details the extent of the residual disability, more importantly none suggest that it materially affects his present employment. The plaintiff's evidence because of his exaggeration and inaccuracy is even less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satisfied, however that the injury has left him with some restrictions which affect his overall capacity. Doing the best I can with the evidence I assess this loss and award the plaintiff $10,000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remaining two claims are for past loss of income up to trial and a claim for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central difficulty with these claims is that they depend almost entirely on the plaintiff's evidence. The plaintiff's business is essentially a cash sales business and the supporting documents provided by his accountant are based in turn on what the plaintiff reports to him and the explanations he provides. In addition to the many difficulties already identified that affect this plaintiff's evidence there are more that impact on this part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support of these claims he produced a series of diaries. The diary for 1995 is mostly blank. The plaintiff testified that this was so because in that year he kept his records in a "little book" and he had thrown it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diary for 1996 contains some unspecified monetary entries which appear to be related to various events the plaintiff attended. The plaintiff testified that he did not record his income in his diary in 1996 the way he usually did. After the date of the accident the entries are even more sporadic.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evidence is far from satisfactory concerning the various events he attended, the ones he missed and the reasons why he missed those he did. These difficulties reach their zenith in his evidence that he was unable "because of his health" to attend a sales event at the South Hill Mall in Prince Albert, Saskatchewan from December 13, 1996 through December 28, 1996. Mr. Foreman's 1996 diary has those dates entered with the words "South Hill Mall" and beneath various dates the entry "Couldn't Do Because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called Jeannie Eaket, the manager of this mall to testify. She testified that she knew the plaintiff and that he was there as a temporary tenant of the mall at Christmas in 1996. She went on to describe a conversation she had with him because he was unhappy with the location he had been given. In the course of the conversation he advised her he had been injured in a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Despite the plaintiff's denials I accept the evidence of Ms. Eaket. I found her to be a candid and careful witness. There may have been some discrepancies in her recollection of Mr. Foreman's physical appearance but I am satisfied that he was there, contrary to the evidence he gave. This evidence highlights in stark terms the unsatisfactory nature of the plaintiff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October 16, 1996 less than a week after the accident the plaintiff made a purchase from a supplier for his business. By December 2, 1996 the plaintiff had returned to his business and driven to Val D'Or Quebec. Various receipts and the admissions filed as Exhibit #6 in these proceedings demonstrate that beginning in January 1997 the plaintiff travelled extensively throughout the Prairie provinces and into Ontario and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extent of the travels reflected simply do not support the plaintiff's assertion that his injuries had any significant impact on his business after January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as a result of his injuries the plaintiff was unable to work at his business from October 10, 1996 until December 1, 1996 a period of some 7 1/2 weeks, and that he was restricted in his ability to work at his business for a further period of six months during which time his condition steadily improved. I find that there is no evidence to support any finding that injuries attributable to this accident affected his business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Quantifying the past loss of income which occurred during this period is difficult because of the unsatisfactory and incomplete nature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evidence are the plaintiffs financial statements for 1992, 1993, 1994, 1995 and to December 31, 1995; his Income tax returns for 1996, 1997 and 1998; and a letter from his accountant which presents a form of calculation of the plaintiff's "adjusted net income" for the years 1994 through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information recorded in this document is reflected in this following table:</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02/28/94 02/28/95 12/31/95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255"/>
        <w:gridCol w:w="1359"/>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Financial Statement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$ 9,441</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$13,125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$12,662</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Net Income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Tax Return -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359"/>
        <w:gridCol w:w="1359"/>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Adjustment Income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$22,704</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$25,765</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$22,834</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12/31/96 12/31/97 12/31/98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Financial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046"/>
        <w:gridCol w:w="1359"/>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 Return - Net Income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$ 7,703</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$12,128</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$ 5,820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359"/>
        <w:gridCol w:w="1359"/>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Adjustment Income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$12,569</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$20,747</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$ 3,340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Despite the absence of income tax returns earlier than 1996 the letter from the plaintiff's accountant records his Net Income Reported for the same time frames. That information is as follows:</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02/28/94 02/28/95 12/31/95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255"/>
        <w:gridCol w:w="1359"/>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Income Reported</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$ 9,532</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$13,934</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$12,654</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12/31/96 12/31/97 12/31/98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927"/>
        <w:gridCol w:w="1255"/>
        <w:gridCol w:w="1255"/>
        <w:gridCol w:w="523"/>
        <w:gridCol w:w="523"/>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Income Reported</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$ 2,120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$7,665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522&gt;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Two things emerge from the information available, firstly the drop in income from 1995 to 1996 cannot be solely attributable to an injury that occurred on October 10, 1996 and prevented him from working for the last 10 weeks of the year, and secondly, by any of these figures (especially his accountants adjusted income figures) there was a substantial recovery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None of the evidence will allow in this case a precise calculation to be made, once again it is necessary to look at the whole of the evidence and arrive at a global figure that fairly reflects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award the plaintiff for past loss of income the sum of $5,000. I specifically decline to make any award for loss of future income beyond the award already made for loss of capacity. No such loss has been proven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next issue is the claim presented for special damages. The claim presented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 trips to physiotherapy clinic</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8.00 per trip</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$184.00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trips to dentist @ $25.00 per trip</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 trips to Regina physicians @ $8.00</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 trip</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watch</w:t>
            </w:r>
          </w:p>
        </w:tc>
        <w:tc>
          <w:tcPr>
            <w:tcW w:w="47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shirt</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motel cancellation while in hospital,</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(Downtown Motel)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2718"/>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$473.00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only real basis for the numbers quantifying these amounts is found in the evidence of the plaintiff. He testified that the round trip from his father's residence to the physiotherapy clinic was 40 km. And that his father drove him on 23 occasions. He went on to testify that he had no idea where the $8.00 figure came from but that he paid his father "something like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Similar evidence was given with respect to the trips to the dentist and the Regina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These claims are for the most part a reasonable quantification of costs incurred as a result of the accident. The exception is the claim for the trips to the Regina physicians. Some of these visits at least occurred as a result of complaints which I have found were not related to this accident. I would allow that claim at one half the amount presented and award the plaintiff special damages of $413.00.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Finally it is necessary to deal with Exhibit #3. During the course of the trial counsel for the plaintiff tendered this document which is a letter written to him by an employee of the Saskatchewan Medical Services Plan. No other evidence was led with respect to the contents of the letter. If the presentation of the letter was intended to be reflected somehow as an additional special damage claim it must fail. I am wholly unable from the material presented to identify how much, if any, of the sum presented relates to injuries sustained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If counsel are unable to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released on January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It has been pointed out that on page 39, on the last line of paragraph [103] the judgment reads: "significant impact on is business after January of 1997." It should read: "significant impact on his business after January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This change has been noted and has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Fuchser v. Wilson, [2012] B.C.J. No. 224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31 and November 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M103805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Rachelle Fuchser, Plaintiff, and Christopher Wilson, Dennis Canta, Nicole Vanselow, Toyota Credit Canada Inc. and Alexandre Rakhmetouline,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4" w:name="Keywords_21"/>
      <w:bookmarkEnd w:id="144"/>
      <w:r>
        <w:rPr>
          <w:rFonts w:ascii="arial" w:eastAsia="arial" w:hAnsi="arial" w:cs="arial"/>
          <w:b/>
          <w:color w:val="000000"/>
          <w:sz w:val="20"/>
          <w:lang w:val="en-US" w:eastAsia="en-US" w:bidi="ar-SA"/>
        </w:rPr>
        <w:t>Damages — Physical and psychological injuries — Physical injuries — Body injuries — Back and spine — Neck — Action by Fuchser for damages for personal injuries sustained in a motor vehicle accident allowed in part — Fuchser was a passenger in a vehicle struck from behind — Liability was admitted — Fuchser had previously been diagnosed with scoliosis and a pelvic misalignment — The accident exacerbated Fuchser's pre-existing condition and caused her to suffer from increased pain — Fuchser was awarded $386 for past wage loss — Her awards for non-pecuniary damages, the cost of future care and special damages were reduced by 15 per cent to account for her pre-existing condition — Fuchser awarded $47,276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Cost of future care — Retroactive loss of income — Special damages — Non-pecuniary loss — Pain and suffering — Action by Fuchser for damages for personal injuries sustained in a motor vehicle accident allowed in part — Fuchser was a passenger in a vehicle struck from behind — Liability was admitted — Fuchser had previously been diagnosed with scoliosis and a pelvic misalignment — The accident exacerbated Fuchser's pre-existing condition and caused her to suffer from increased pain — Fuchser was awarded $386 for past wage loss — Her awards for non-pecuniary damages, the cost of future care and special damages were reduced by 15 per cent to account for her pre-existing condition — Fuchser awarded $47,276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Deductions — Limiting factors — Pre-existing conditions — Action by Fuchser for damages for personal injuries sustained in a motor vehicle accident allowed in part — Fuchser was a passenger in a vehicle struck from behind — Liability was admitted — Fuchser had previously been diagnosed with scoliosis and a pelvic misalignment — The accident exacerbated Fuchser's pre-existing condition and caused her to suffer from increased pain — Fuchser was awarded $386 for past wage loss — Her awards for non-pecuniary damages, the cost of future care and special damages were reduced by 15 per cent to account for her pre-existing condition — Fuchser awarded $47,276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5" w:name="Case Summary_21"/>
            <w:bookmarkEnd w:id="1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Fuchser for damages for personal injuries sustained in a motor vehicle accident allowed in part. In December 2008, Fuchser was a passenger in a vehicle driven by her partner, Wilson. After Wilson was cut off by the defendant Canta's vehicle, he slammed on the brakes and was hit from behind by the defendant Vanselow's vehicle. Liability was admitted. Fuchser was seeking damages for injuries to her back and neck and continuing pain. Prior to the accident, Fuchser had experienced some back pain and had been diagnosed with scoliosis and a pelvic misalignment. Following the accident, Fuchser missed one week of work from her retail job.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6" w:name="Holdings of Court_18"/>
            <w:bookmarkEnd w:id="146"/>
            <w:r>
              <w:rPr>
                <w:rFonts w:ascii="arial" w:eastAsia="arial" w:hAnsi="arial" w:cs="arial"/>
                <w:color w:val="000000"/>
                <w:sz w:val="20"/>
                <w:lang w:val="en-US" w:eastAsia="en-US" w:bidi="ar-SA"/>
              </w:rPr>
              <w:t>HELD: Fuchser awarded $47,276 in damages following deductions for her pre-existing condition.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caused an exacerbation of Fuchser's pre-existing condition and caused her to suffer from increased pain for approximately one year. That pain affected her relationships and rendered her unable to perform the home improvement projects she used to enjoy. However, her former occupation in retail was not closed to her as a result of her injuries. Fuchser was awarded $386 for past wage loss. She was also initially awarded $50,000 in non-pecuniary damages, $2,959 for the cost of future care and $2,206 in special damages. Those amounts were reduced by 15 per cent to account for Fuchser's pre-existing condition.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7" w:name="Counsel_21"/>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Van Netten.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P.A. Mazzone.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1"/>
      <w:bookmarkEnd w:id="148"/>
      <w:r>
        <w:pict>
          <v:line id="_x0000_s1138" style="position:absolute;z-index:2517831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L.D. RUSSELL J._0"/>
            <w:bookmarkEnd w:id="149"/>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7, 2008, the plaintiff was a passenger in a right-hand drive Nissan Skyline driven by her then partner, Christopher Wilson. She was sitting in the left-hand front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Mr. Wilson drove out of New Westminster on Stewardson Way toward the Queensborough Bridge, Dennis Canta, a driver who had chosen the wrong lane to take the route to the Bridge, cut Mr. Wilson off when he made a sudden lane change to get to the correct lane. The effect of Mr. Canta cutting in was to force Mr. Wilson to take evasive action to avoid a collision. Mr. Wilson slammed on his brakes and veered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driver behind Mr. Wilson was Nicole Vanselow. She stopped as quickly as she could, but whether as a result of her being hit by the car behind her or as a result of not having sufficient room to avoid hitting Mr. Wilson's car, she made impact with the rear of his Nissan Skyline.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Fuchser claims for damages for injury to her neck, right shoulder, chest, upper and lower back, jaw and for continuing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Was Ms. Fuchser's pre-existing condition:</w:t>
      </w:r>
      <w:r>
        <w:rPr>
          <w:rFonts w:ascii="arial" w:eastAsia="arial" w:hAnsi="arial" w:cs="arial"/>
          <w:sz w:val="20"/>
          <w:lang w:val="en-US" w:eastAsia="en-US" w:bidi="ar-SA"/>
        </w:rPr>
        <w:cr/>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exacerbated and rendered symptomatic by the collision; or</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the long-term pain from which she suffers and would have developed in any event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What is the quantum of non-pecuniary damages to which Ms. Fuchser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Is Ms. Fuchser entitled to damages for future loss of capacity and, if so, to what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Did Ms. Fuchser suffer wage loss to the date of trial in excess of four days, including loss incurred after her seven and a half month period of severance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Was the termination of Ms. Fuchser's employment related to the injuries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Is Ms. Fuchser entitled to damages for loss of homemaking capacity and, if so, to what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Is Ms. Fuchser entitled to special damages and, if so, should there be any deduction related to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born in 1973 and grew up in Washington State. She reports she was active in high school and enjoyed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did not undertake any formal education and did not finish high school. She married a Canadian at 19 and moved to New Westminster with her husband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describes herself as a happy, loving, upbeat person before the accident. As one of 11 children, she was a nurturer and natural caretaker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Going out dancing with friends at clubs, dinner parties, social tennis and shooting hoops were all part of her leisure activities before the accident. She described herself as "up for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of the defendants, Christopher Wilson, was her common law spouse at the time of the accident. Their relationship ended in September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very interested in interior design and acquired skills in painting, installing crown moldings and track lighting and refinishing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Gardening was another of her interests and before the accident she kept the yard of her rental house immaculate, planting trees and adding flower beds. Her landlord kept her rent low as a reflection of the way in which she maintained and improved her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employment history involves mainly retail sales, first with Eaton's of Canada and then, starting in 2000, with Holt Renfrew. She was with Holt Renfrew at the time of the accident and was a specialist in the sale of fragrances.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was paid $14 per hour and 4% of her sales as commission. Holt Renfrew did not employ Ms. Fuchser full time, but she averaged 37.5 hours per week. She did not have a regular schedule. She reported to Sarah Roth, who gave evidence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her job at the men's fragrance counter, she was responsible for sales, customer service, answering phones, receiving and ordering stock, unpacking, loading and placing stock in the stock room, merchandising stock at her counter, taking inventory and meeting with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Her job required a good deal of standing while she waited for and served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move to the new Holt Renfrew store, there was not as much storage available at the counter where she worked so that the trips for stock took longer and stocking thus required more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the plaintiff's intention to remain with Holt Renfrew and to work her way up. However, she was terminated along with several other employees in February 2009, some two months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stated that she had some back pain before the accident. In particular, she had issues with her right sacroiliac joint. After a referral to an osteopath, her symptoms subsided and she had no problems in the two years before the accident. Nevertheless, she attended on her osteopath for a check-up three days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was diagnosed with scoliosis and a pelvic malalignment before the accident and noticed she could not sit for long periods of time without stiffness resulting.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day of the accident, December 7, 2008, the plaintiff, Mr. Wilson and the plaintiff's niece, Nicole Vanselow, as well as Ms. Vanselow's daughter, Gracie, were all going to Richmond to buy a Christmas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Wilson was driving his Nissan Skyline in front of Ms. Vanselow. The Skyline does not have airbags.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described, another driver cut Mr. Wilson off, forcing him to turn sharply to the right to avoid a collision. He did avoid a collision with the driver who cut him off, but his abrupt stop resulted in impact from cars behind him, including that of Ms. Vanselow.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Fuchser says she felt a hard jolt when Ms. Vanselow's car hit the car she was riding in. She was expecting to be hit and had braced herself. Her seatbelt tightened and locked on impact. Her upper body pushed forward into the locked seatbelt and then she was pushed back into the headrest. She does not recall any side to side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she braced herself, it was by placing her left hand on the left car door and possibly by using the console on her right because she anticipated some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said the impact was a heavy, abrupt, quick hit which struck left of centre on the rear bumper of the Skyline. It caused her body to jerk first forward and then back into her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Wilson got out of the car quickly after impact. He had a heated discussion with the driver who had cut him off and Ms. Fuchser joined in. After they obtained the other drivers' details, Mr. Wilson called the police. Because there were no injuries, no emergency services attended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Initially, the plaintiff felt nothing. She was nervous and upset, but had no pain at the scene. She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home she developed a headache.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saw her doctor, Dr. Klein, the next day. She had developed tight muscles in her neck, upper shoulders and back and her headaches had continued. As a result of her stiff neck, she had pain in her upper shoulders and back bilaterally and this affected her ability to sleep. Her headache became continuous.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headaches moved into the right side of her jaw and throbbed until numbness and tingling developed. Her neck and right ear also throbbed.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Klein prescribed Naproxin and a muscle relaxant. The plaintiff took them 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she has a dislike for the use of prescription medicines and managed her symptoms with Robaxacil, Advil, the occasional Tylenol 3, over the counter sleeping aids and natural remedies for headaches such as Peppermint Halo.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stayed home to rest as recommended by Dr. Klein. However, her symptoms worsened. She felt pain in her right ear and jaw, the right side of her neck, shoulders and upper back. She had lower back pain which radiated to both sides and down into her right buttock. While her right side was generally more painful, her headaches were in the front, centre and the right side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had advised Holt Renfrew, in the person of her manager, Rob Carter, of the accident. She took four days off work and in combination with regular days off was able to rest for about a week. However, it was the beginning of the Christmas season and she felt pressed to return to work. She avoided heavy work such as going for stock and merchandising stock and she wore comfortable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returned to work after the one week off and continued to work full-time until February 9, 2009, when she was given a letter of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home she continued to keep her house clean, but relied on her partner to do some of the tasks she could no longer comfortably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During the first month post-accident, her headaches got worse but were assisted by physiotherapy. She would obtain relief following physio, but the headaches would return with increased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Other symptoms also continued, but the headaches were the worst and they affected her ability to sleep. She described the triggers which caused and still cause headaches today: working too much, stress, standing too long and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headaches start with a normal level of pain but once they move into the right side, unless she gets treatment or takes medications, she has to "retreat" from life. The duration of her headaches seems to depend on the treatment she obtains. If she neglects to obtain treatment, her headaches can last as long as a week. The most successful treatment she has received is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agrees that her symptoms were much worse following the accident. Now her headaches and jaw pain are intermittent and she can go five to six weeks headache-free. However, the qualification here is that if she does not get treatment on the onset of any symptoms, she will develop headaches of long duration and have to give up all activities until they recede. As she describes it, she just stops.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her neck symptoms are bad, she can develop a lump on her neck. In that case she will go for chiropractic treatment, something she considers an extreme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Her neck has improved and she can now go for six weeks or so without neck symptoms. She finds that using the hot tub at her house helps.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pain in her shoulders presents with all the other symptoms. Her pain is worse on the right side. Once again, it seems to be treatment-dependent and if she does not get treatment for symptoms in her head and neck, the pain will move into her shoulders, namely her scapula and pectoral muscles. With treatment, the pain and stiffness in her shoulders and upper back diminish.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believes all of her upper body and head pain are related so that if she does not obtain treatment promptly when one set of symptoms begins to cause pain, the other symptoms seem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Low back and hip symptoms seemed to arrive after the upper body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These symptoms commence in the center of her spine above her buttocks and the pain radiates to the right and down into her right hip and buttock. The pain is very intense when it comes and is accompanied by stiffness. It is now quite intermittent, every two months or so, and causes less difficulty than the upper back problems. Massage helps, but the tenderness which accompanies this set of symptoms affects the plaintiff's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the symptoms occur and are painful, the plaintiff feels unmotivated, frustrated, hopeless and depressed and she withdraws from life. Once she gets treatment, she feels able to start living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there is no claim for brain injury, the plaintiff asserts that her pain causes her to be distracted and affects her memory and concentration until the symptoms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Immediately post-accident, the plaintiff's energy was low. She states that it is intermittent now depending on the state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other major effect on the plaintiff's health, which she asserts resulted from the accident on December 7, 2008, relates to her ability to sleep. Her sleep was badly affected at first and she could not sleep without the use of medications. Now she states the problem has declined to where every one or two months she will have problems sleeping. However, she found the use of sleep aids problematic since she would not obtain eight hours of sleep with them and often awoke feeling groggy and unrested.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treatments she has undergone since the date of the accident are as follows: eight physiotherapy sessions, six massage treatments, two chiropractic treatments and one osteopathic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described the osteopathic treatments as similar to chiropractics but more gentle. The plaintiff felt she obtained the best relief from this form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explains the gap in her physiotherapy treatments as resulting from her inability to pay for them. Her law firm advanced the cost of three physiotherapy sessions in 2010, two sessions of massage therapy and one osteopathic treatment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total of her special damages for treatments is $1,826.19, including an additional $45 session of physiotherapy in the summer of 2009, for which she has no receipt. The bulk of her prescription costs she says were paid for by her drug plan and she largely relied on over-the-counter medications after the initial prescriptions from Dr. Klein. She claims an additional $200 for these non-prescription medications for a total of $2,026.19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in cross-examination that details of the plaintiff's pre-existing condition were brought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was diagnosed in 2004 by her doctor as having a scoliosis of her cervical spine with accompanying strain in her trapezius muscles. Dr. Klein prescribed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underwent massage therapy and chiropractic treatment and used orthotics for back pain on the recommendation of the chiropractor in 2004. She continued with the chiropractic treatment in 2005, but developed some lower back pain which she was concerned were a consequence of the chiropractic treatment of her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described how in the period of 2005-2006 she had a chronic issue with her sacroiliac joint which was helped by osteopathic treatment by Dr. Blaney.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 to Dr.Klein's records, the plaintiff also sought treatment for sleep problems in 2005 and was prescribed Immovane. The plaintiff attributed her problems to a death in the family and a troublesome sinus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July of 2005, the plaintiff consulted a colleague of Dr. Klein's and he noted that she had had chronic back pain on and off for several years. He noted that she was tender bilaterally over the sacroiliac joints and the range of motion of her lumbar spine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a radiological exam and a CT scan, it was noted that the plaintiff had a small disc bulge and scoliosis in the lower and upper back. She was prescribed Naproxen, an anti-inflammatory, but was very anxious about taking prescribed drugs. Instead, she was taking eight Advils a day and Dr. Klein warned her about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Her back pain persisted through 2005, although consulting Dr. Blaney, the osteopath, and receiving his treatment in October 2005 seemed to assist. Her own doctor had suggested she try acupuncture for her sacroiliac joint pain since chiropractic treatment was not helping.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his first consultation with the plaintiff, Dr. Blaney noted she was suffering from increased pain in the right sacroiliac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consulted Dr. Blaney yearly after 2005 and on December 4, 2008, his notes indicate she complained of pain in her right sacroiliac joint and an increase in pain in her right shoulder since August of that year. He also noted she complained of pain in her right buttock and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the plaintiff had indicated she was an easygoing person before the accident, she was prescribed Ativan, an anti-anxiety drug, by Dr. Klein in 2006. The plaintiff stated she was suffering from the loss of her father when it was prescribed. She also said she had sleeping problems and mood issues with the emotional stress following some of her personal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had several other personal crises in 2006 and 2007 and was again prescribed Ativan at her request in September and October of 2007. She explained that it helped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had been consulting the same doctor, Dr. Klein, since 1994. She saw him the day after the accident and then did not consult him again about symptoms arising from the accident until a year and a half later, in April 2010. In that interval she saw him several times about other issues, but did not raise any concerns about her accident-related issues. She stated that he was a doctor who prescribed and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had five physiotherapy treatments and one massage therapy treatment from December 9, 2008 to January 2009, but did not see any other professionals until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stated she had no money left for treatment, so could not go for more. However, I note she was working until February and had health benefits coverage until April 2009 and severance pay until the end of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filled only two prescriptions following the accident. She explained that after she lost her drug coverage, she could not afford prescriptions so she used over the counter drugs. She agreed that she would have consulted Dr. Klein for stronger drugs if she were desperate enough. She also said she minimizes her drug use wherever possible because she does not like to take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also agreed that by 2010 she was in a recovery phase, but was suffering stress connected to many unrelated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her return to work at Holt Renfrew post-accident, the plaintiff could control her environment somewhat. She chose to avoid repetitive bending and to wear comfortable shoes. No one was critical of her for making these choices, but she did not take the initiative to advise management of the steps she had taken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she was asked whether she could have continued working at Holt Renfrew with these limitations, she said she did not feel she could do so indefinitely, although this would be dependent on staff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she was asked if she could have returned to work at a retail job after her severance expired at the end of July 2009, she stated she could have but not without difficulty. This was despite the fact that she had put her name out immediately for work in the busy season leading up to Christmas and for special events after she received her notice of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That initial job search she began in the spring of 2009 and she described it in her discovery on February 9, 2011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begin that search?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I began a brief search in the spring following the lay-off, and then feeling not very satisfied by it, I decided to take the summer off. And then after that, in the fall, my boyfriend at the time got into a serious bike accident and was off work, so I was caretaking for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She was then asked when she did look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 and then did you begin looking for work again at some p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caretaking for him round the clock for several months, and then briefly after his recovery I went through a time of some personal grief and issues and some trauma, and from that point up until just recently I was not searching for work, but now currently 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termination of the plaintiff from her employment occurred on February 9, 2009. At this time, there was a reduction in the employment complement at Holt Renfrew of 27 people. In the small department of which Ms. Fuchser was a part, three were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all, Ms. Fuchser received about seven and a half months of severance pay. She was paid until July 28, 2009. The plaintiff felt that her termination was a result of her reduced physical stamina and mood, which led to a decrease in her sales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there was simply no evidence to support her contention. The Holt Renfrew witnesses who were called, testified to the employment reduction as a result of the decline in the economy. While both witnesses agreed that Holt Renfrew would keep its highest-performing employees, they were clear that Ms. Fuchser was not terminated for reasons of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Ms. Roth, Ms. Fuchser's direct supervisor, did point out that even before the accident, Ms. Fuchser missed on average one day every two weeks and had a problem with tardiness.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Immediately following receipt of the termination letter, Ms. Fuchser was shocked, but she took steps to look for new employment, again in the retail field. She contacted vendors with whom she dealt to let them know she was available for product launches and special events and would be available for the next Christmas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no success from her contacts, she made the decision that she would take the full severance period to recover not only from the accident, but from the effect of unresolved grief due to a number of deaths, which had occurred over the past few years, of close family members and the murder of her mentally-ill ex-husband.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began to consider looking for employment at the end of her severance period, but in September 2009, her partner had a serious motorcycle accident and she became his full-time caretaker. He was on strict bed rest for some time and the plaintiff was attempting to look after him. She stated that she felt unable to do retail work that Christmas, as well as continue to look after Mr. Wilson. She opted to look after him to the best of her ability and not to search for employment. By then she had decided that working in retail was not something she could do any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does not attribute all of the time between the accident and her return to work in March 2011 as due to recovery from the accident. In fact, she stated that she wanted to work from February 2009 to March 2011 (when she did begin working), but her injuries and all her personal losses, and then looking after her partner, all contributed to her uncertainty about her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spring of 2010, she began to explore the possibility of doing foster care for babies born drug-addicted. However, she needed a partner to assist and by that time Mr. Wilson had gone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and Mr. Wilson broke up at the end of the summer of 2010. The plaintiff was very depressed and underwent therapy. Both she and Mr. Wilson gave evidence that her accident injuries did not cause the break-up, but were a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Although the break-up with Mr. Wilson was difficult, according to her doctor Ms. Fuchsler was not suicidal or hopeless after it occurred in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has formed a new relationship with Joshua Fulford, which she says is a good one. She attends some of the performances of his band, they go to movies, restaurants, go out for coffee and go for walks. At the time of trial they had been together just over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After her severance ended in 2009, the plaintiff was in receipt of Employment Insurance which required that she be looking for work. By the end of 2010 and beginning of 2011, she was feeling better, both physically and emotionally, so was not only able, but financially motivated to search for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contacted a friend who was also unemployed and the two of them began to put together a business in which they would help people to organize themselves. Some of their customers were quasi-hoarders, some were elderly people seeking to downsize or to move into care homes, some were just people with too many possessions who needed help to organize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Initially she subcontracted to established services. Soon she was able to operate with her own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is able to hire people to do any heavy work which needs to be done. She explains that the job she has created is physical, but does not require repetitive lifting or standing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hours she chooses to work in a week depend on how she is feeling and how much work she has solicited. Some weeks she may only work five hours and another week she may work 40 hours. If she has too much work in a particular week, she will farm it out. She states that if she were physically able and could solicit more, she could have limitless work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Her hourly rate varies from $25 to $40 per hour, depending on the customer's ability to pay. The flexibility of her schedule suits the plaintiff since she can decide the number of hours she wants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income tax returns to 2007 have been filed as exhibits. She has not filed any returns after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Her line 150 income in 2004 was $37,224.00; in 2005 $34,715.00; in 2006 $34,772.00; and in 2007 $26,829.00. Her T-4 for 2008 indicates $35,737.00 in insurable earnings and her T-4 for 2009 shows $21,166.00 in insurable earnings from Holt Renfrew. Her 2010 income documents have not been produced but according to her evidence would consist of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By the date of trial in October and November of 2011, she had earned $8,500 since March 2011, when her business got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states that when her symptoms worsen, she is forced to limit her hours of work and cannot go after additional work. This affects 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has had to bring people in to assist with a job when her symptoms appear and says this has happened about three times since March with an estimated loss of $1,000 - $2,000. On other occasions, she has had to delay completion of a job and thus delay the commencement of the next job, resulting in a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She has not produced documents that were related to earnings from her business or the costs of bringing in assistance when her symptoms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claims damages for loss of housekeeping capacity in the range of $10,000 -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states that right after the accident, she was unable to do much at all and Mr. Wilson had to help her. Now she has learned to use different techniques to, for example, wash the floor. Rather than get down on her hands and knees, she puts a hot soapy cloth on the floor and moves it with her feet. She takes her garbage out in small loads. She asks for help from her roommate to take laundry out of the washer and put it in and take it out of the dryer. Vacuuming was difficult for her immediately after the accident. Now either her niece, Jessica, or her partner, Joshua Fulford, gets the vacuum out and she vacuums, but one of them will put it away when she is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Wilson changed the bed after the accident until he was injured. Now the plaintiff does it, but it takes her longer than it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Exterior house maintenance is now done by a handyman paid by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no longer mows the lawn. Either her niece Jessica does it or she hires a local teenager. There was no evidence of the cost of having others do the lawn.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divides up her grocery shopping so that she does a bit at a time. If she requires a large number of items, she asks her friend, Ms. Siverson, or her sister to drive her and to carry any large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Siverson agreed that when she takes the plaintiff shopping, she carries the heavier bags to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has not owned a car since well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With respect to the cost of future care claim, the plaintiff points to the treatment recommendations at page 6, tab 4 of Exhibit 1, Dr. Hershler's report. She says she would follow his recommendations for massage therapy, osteopathic treatment, personal training sessions to develop an exercise program, and physiotherapy for a total cost of $7,209.60.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was involved in another accident in July 2009 or 2010. She could not recall the year in which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this accident, her sister was driving a newer Volvo 'S' which was hit on the right front as she turned left in front of an oncoming car. The airbags did not deploy. The plaintiff, who was seated in the front passenger seat on the side of the impact, received a bruise on her right arm, but states she was otherwise uninjured. The accident, which took place in Lacey, WA., resulted in the car being spun around, its bumper pulled off and its headlight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She did not consult a doctor about this accident and did not tell her own doctor or Dr. Hershler about the accident when attending on them for the purpose of obtaining an expert report. She stated that there was no effect on her earlier injuries and as a result she did not report it to her doctor or her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were no documents concerning this accident with the result that the evidence of the plaintiff about it was the only information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Hershler's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Hershler's evidence was taken by deposition. In addition, an expert report was filed and is found at Exhibit 1, tab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Hershler's qualifications were not questioned and he was accepted as an expert in physical and rehabilitative medicine. He has given evidence before the courts on many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report itself is short and opines that Ms. Fuchser's symptoms of pain are related to the accident of December 7, 2008. He adverts as well to her pre-existing scoliosis and pelvic malalignment and says that they "probably" pre-exist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clear that his history is based on the plaintiff's narrative and thus it is an important component of his opinion. Of course, if the plaintiff either neglected or forgot to mention significant events in her medical history, Dr. Hershler's opinion could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interests of completeness of the history, it would have been useful for the plaintiff to tell him of her involvement in the accident in Lacey, 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note that Dr. Hershler consulted Ms. Fuchser's records in the preparation of his opinion. If that is the case, I find it somewhat surprising that he would have noted the scoliosis and the pelvic malalignment only "probably" pre-dated the accident in December 2008. The plaintiff's records indicate that Dr. Klein had diagnosed the scoliosis in November 2004. Subsequent diagnostic tests took place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also find the following comments in his report surprising: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scoliosis and skeletal malalignment probably predated the accident, but were rendered symptomatic by it. It is also likely that the pelvic malalignment was made worse by the same accident. </w:t>
      </w:r>
      <w:r>
        <w:rPr>
          <w:rFonts w:ascii="arial" w:eastAsia="arial" w:hAnsi="arial" w:cs="arial"/>
          <w:color w:val="000000"/>
          <w:sz w:val="20"/>
          <w:u w:val="single"/>
          <w:lang w:val="en-US" w:eastAsia="en-US" w:bidi="ar-SA"/>
        </w:rPr>
        <w:t>I base this on the fact that Ms. Fuchser's symptoms essentially began following the accident. She did have a prior history of intermittent upper back symptoms, but these were short-lived . . . .</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Fuchser's medical records show continuing issues with her sacroiliac joint and upper and lower back over several years. In fact, if Dr. Hershler had indeed reviewed the plaintiff's medical records, he would have found that she had suffered from both upper and lower back pain and on-going pain in her right sacroiliac joint and right upper back as recently as three days before the accident. She reported these issues on a visit to her osteopath on December 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is simply not accurate to say that Ms. Fuchser's symptoms essentially began following the accident. It may be accurate to say that they became worse, based on her reports, but certainly she had suffered from the same or similar symptoms on and off over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note as well, that Dr. Hershler agreed in cross-examination that his finding that the accident made her pelvic malalignment worse was speculation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low back pain which Ms. Fuchser states arose from the accident was a relatively recent part of her pain presentation. While the physiotherapist, Mr. Ho, found some signs of low back issues immediately after the accident, it appears from Dr. Hershler's comments on deposition that he understood the low back pain to have developed gradually in 2010. He agreed on cross-examination that the sacroiliac problem was pre-existing and developmental and the gradual onset pain which manifested in 2010 could have been aggravated by activities of daily living, including sitting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 respect to his statements about limitations on the plaintiff's capacity to work in the future, he was candid that he accepted her assessment of what she could or could not do. He relied on that assessment when he stated his suggested limitations for the future. He also agreed that the plaintiff could work in a retail environment if she could avoid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To be fair to Dr. Hershler, there was no functional capacity evaluation performed which could be provided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note that neither Dr. Hershler nor Dr. Klein stated the plaintiff could not perform a job which required standing for periods of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Klein's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Klein was qualified as an expert in family practice. In this litigation, he is called both as an expert and as the treating physician. This caused some complications with respect to the evidence elicited in direct examination. Some of the evidence elicited with respect to his clinical records were not part of his expert report and would not be admissible as they are not in compliance with the Rules of Court related to expert evidence. Other parts of the evidence set out in the clinical records of his treatment of the plaintiff were hearsay or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process to which counsel agreed with respect to the objection made by counsel for the defendants was that I would hear the entire deposition and the objection would go to the weight I would give to Dr. Klein's answers to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Klein has been the plaintiff's family physician since 1994, when she arrived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His report is found at tab 9 of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Klein opined that the symptoms of pain in the plaintiff's right sacroliliac joint and upper back were the result of the accident. He made this statement on the basis that although the plaintiff had suffered from pre-existing intermittent right sacroiliac joint pain and spinal scoliosis previously, she had "been doing very well for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appears Dr. Klein was unaware of the plaintiff's visit to the osteopath three days before the accident because of the increase in pain she had been suffering to her right sacroiliac joint and right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After the accident, the plaintiff saw Dr. Klein on December 8, 2008, April 14, 2010, August 19, 2010 and January 27, 2011, with complaints about symptoms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She did visit the doctor on other occasions: May 9, 2009, September 14, 2010 and November 4, 2010,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By April 14, 2010, her lumbar range of motion was normal, but her lumbar extension was painful as was her right sacroiliac joint. She also stated her lower back pain was continuing. She was again referred to the osteopath and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Klein agreed that the symptoms she complained of in the April 2010 consult were very similar to those she suffered from in the period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By August 2010, her lumbar extension was normal and she could touch her ankles on flexion. However, she continued to have pain in her right sacroiliac joint and her upper back was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She reported to Dr. Klein in September 2010 that she was unable to work, but it was clear that her inability to work was unrelated to her accident symptoms. She was suffering from the end of her relationship and from anxiety related to other emotional problems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With respect to her capacity for future employment, Dr. Klein states that she "will never be able to do any form of work that requires hard labour, heavy lifting, or repetitive bending/lifting."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did not address her ability to stand for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cross-examination, Dr. Klein agreed that the limitations he stated on her capacity to work would have been the same in September 2005 because of her sacroiliac joint problem. However, I note that she did continue to work at her retail job until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With respect to the plaintiff's pre-existing issues concerning her scoliosis, disc bulge and sacroiliac joint problems, Dr. Klein agreed that all of these problems could and did arise without any particular precipitating event and explained the problems she had in 2004 and 2005. He stated as well that the sacroliliac pain could get worse and then get better and so on. The muscle strain suffered by the plaintiff pre-accident could be secondary to stress, a condition which he was aware the plaintiff had had a great deal of over the years preceding and following the date of the accident in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He was also aware of the plaintiff's problem with anxiety pre-accident for which he had prescribed Ativan. He attributed her sleeping problems during 2006 and 2007 to anxiety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Klein also opined that as of May 20, 2011, the date of his letter, the plaintiff "is now capable of her activities of daily living and pursuing social, leisure interests." He recommended that she avoid pursuing contact sport or rigorous athletic activities, but since, in Mr. Wilson's description, she was not a "sporty girl" before the accident, it did not appear she had great interest in such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Both the plaintiff and the defendants called lay witnesses. The plaintiff called Mr. Wilson, her former partner, Ms. Siverson, her friend, Mr. Fulford, her current partner and Jessica Crosson, her niece.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defendants called Ms. Vanselow, another niece of the plaintiff who is a defendant in this case and a plaintiff in her own case arising from the accident, Sarah Roth, the plaintiff's manager at Holt Renfrew, and Karen Wilkins, regional manager of Human Resources at Holt Renfrew.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should note that Ms. Roth and Ms. Wilkins testified that the plaintiff was not terminated for performance reasons, although she was not a star performer, but due to the economic downturn which necessitated lay-offs across Canada. Ms. Wilkins also testified that the plaintiff had not made known to her that she had limitations on her duties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Roth did not notice any changes to the plaintiff's performance and manner after the accident. She surmised that perhaps the plaintiff was a little more withdrawn, but that this did not seem to affect her interactions with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Wilson, Ms. Siverson and Ms. Crosson stated that they saw changes in the plaintiff post-accident. Ms. Vanselow says she did not see changes, but acknowledges that both she and the plaintiff were focused on their own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Fulford was not around at the time of the accident, but says the plaintiff now has good days and bad. However, without a basis for comparison, he is of little help to assess her current condition compared to her condition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have mentioned in passing certain elements of the lay witnesses' evidence. With the exception of the pieces of evidence I have mentioned, I did not find their evidence to assist with what I believe to be the central issue of the case: the extent of the pre-existing condition of the plaintiff and its relationship to causation of her continuing symptoms from what was, relatively speaking, a minor rear-end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When I say this was a relatively minor rear-end accident, I am in no way suggesting that the plaintiff did not suffer injury as a result of the impact of Ms. Vanselow's car with Mr. Wilson's car. However, a survey of the damage to his car and to the front of Ms. Vanselow's car (as seen in Exhibit 1, tabs 30 and 31) does not reveal major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It is, of course, the plaintiff's burden to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plaintiff's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Causation must be established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 basic principle of tort law is that through the award of damages, the plaintiff must be placed in the position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tortfeasor must take his or her victim as they find them, even if the plaintiff's injuries are more severe than they would be for a normal person (the "thin-skulled rule"). However, the defendants need not compensate the plaintiff for any debilitating effects of a pre-existing condition which the plaintiff would likely have suffered in any event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British Columbia, the Court of Appeal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adopted a statement made by Major J.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that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at para. 27; See also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Court of Appeal stated that a "pre-existing condition, whether quiescent or active, is part of the plaintiff's original position":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pre-existing condition need not be manifest and disabling at the time of the tort for the plaintiff to come within the crumbling skull rule.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held that there need only be a measurable risk that the degenerative changes would have become symptomatic without the accident: at paras. 27, 33-35, 61-63.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This means that a reduction of damages in cases where there is a pre-existing condition is not restricted to a situation where there is a "manifest and presently disabling" condition. It also extends to situations in which the evidence supports a finding of a measurable risk that the condition would have occurred without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is my view that the plaintiff in this case suffered from pre-existing conditions, namely scoliosis, pelvic malalignment and sacroiliac joint pain, all associated, which were active and unpredictable. In addition, she suffered right sided pain in her upper back, which was part of her overall condition, but was exacerbated by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accident of December 7, 2008 caused an exacerbation of her conditions and she suffered from increased pain which in turn affected the ways in which the pre-existing conditions manifested themselves. She again suffered sleeplessness as she had when her sacroiliac pain had been acute in the past. Her right upper back became stiff and painful, similar to how she had reacted to stress and lower back pain in the past. The headaches were a new manifestation, but no doubt related to the cervical strain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There can be no doubt that she lived with increased pain over a period of about a year before she began to show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Based on a review of the plaintiff's history with Dr. Klein and Dr. Blaney, the osteopath, I cannot say that her pre-existing condition was so quiescent as to be asymptomatic when she was a passenger in Mr. Wilson's car struck by Ms. Vanselow's car in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find that there was a measurable risk that the degenerative changes would have become symptomatic without the accident. Dr. Klein agreed that the earlier low back problems she had had came on without any precipitating cause and that the scoliosis and disc protrusion could have explained those problems. He also agreed that tightness in the muscles (as in her right upper back) can be caused by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Klein also agreed that simple activities of daily living can cause exacerbation of an existing problem such as the on and off back problems suffered by the plaintiff over many years due to her scoliosis and associated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Blaney's note of December 4, 2008, three days pre-accident, reveals complaints of right sacroiliac joint pain, an increase in right shoulder pain and pain in the plaintiff's right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will proceed with the award of damages and will discount the applicable heads for the effect of the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 Nevertheless, as Madam Justice Dickson stated in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"Such cases, though helpful, serve only as a rough guide. Each case depends on its own unique facts":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There are a number of factors that courts must take into account when assessing this type of claim. Madam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outlines the factors to consider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Liang and Zheng</w:t>
      </w:r>
      <w:r>
        <w:rPr>
          <w:rFonts w:ascii="arial" w:eastAsia="arial" w:hAnsi="arial" w:cs="arial"/>
          <w:color w:val="000000"/>
          <w:sz w:val="20"/>
          <w:lang w:val="en-US" w:eastAsia="en-US" w:bidi="ar-SA"/>
        </w:rPr>
        <w:t xml:space="preserve">], ... </w:t>
      </w:r>
      <w:hyperlink r:id="rId43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assessment of non-pecuniary damages must be informed by the plaintiff's personal experience dealing with her injuries and their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Here, the plaintiff has given extensive evidence of the effect of her injuries on her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She is relatively young and was not involved in any organized sports prior to her injuries. The injury was a moderate whiplash-type injury complicated by her pre-existing condition. The pain she suffered was not minimal and did have an effect on her family and social relationships. I cannot say, as she did not say, that it caused the demise of her relationship with Mr. Wilson. However, she did say, and I do not doubt, that her continuing pain had an effect on their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Did the plaintiff suffer emotionally as a result of her injuries? I found her evidence to be somewhat exaggerated on the issue of the injuries causing continued depression, frustration and hopelessness. I do not doubt that pain is tiring and disheartening, but here, again, the plaintiff's emotional condition was so complicated by her many personal crises that it is impossible to attribute her reactive depression entirely or even mainly to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for loss of lifestyle, the plaintiff is no longer able to garden or perform home improvement projects as she used to. These are losses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find that the plaintiff's injuries from the accident would have begun to resolve by approximately one year from the date of the accident. In support of this conclusion, I point to her infrequent attendances on Dr. Klein, her need for only two prescriptions from him, her infrequent treatments after December 2008 and the general lack of objective evidence other than the appearance of a muscle "knot" on her neck, to support the debilitation allegedly caused by the accident. In contrast to her irregular attendances on Dr. Klein for her accident-related symptoms, she saw him regularly for other matters during the same period and used Ativan and Immovane previously for anxiety and sleeplessness.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point as well to the plaintiff's candid admission that she does not attribute her lengthy time off work entirely to the effects of her injuries from the accident. She was open about having made a conscious decision to "take a breather" from work to heal from her various serious personal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She also agreed that she was in the recovery phase by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submits that non-pecuniary damages in the range of $70,000 to $85,000 should be awarded. She argues the "resulting injuries [have] caused a massive change in ... [her] physical abilities, energy levels and happiness."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support, Ms. Fuchser cites </w:t>
      </w:r>
      <w:r>
        <w:rPr>
          <w:rFonts w:ascii="arial" w:eastAsia="arial" w:hAnsi="arial" w:cs="arial"/>
          <w:i/>
          <w:color w:val="000000"/>
          <w:sz w:val="20"/>
          <w:lang w:val="en-US" w:eastAsia="en-US" w:bidi="ar-SA"/>
        </w:rPr>
        <w:t>Vershinin v. Hayward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2010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K.T. v. A.S.</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2009 BCSC 1653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Chaban v. Chaban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2009 BCSC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K.T.</w:t>
      </w:r>
      <w:r>
        <w:rPr>
          <w:rFonts w:ascii="arial" w:eastAsia="arial" w:hAnsi="arial" w:cs="arial"/>
          <w:color w:val="000000"/>
          <w:sz w:val="20"/>
          <w:lang w:val="en-US" w:eastAsia="en-US" w:bidi="ar-SA"/>
        </w:rPr>
        <w:t>, in which the court awarded $70,000 in non-pecuniary damages, the plaintiff was 17 years of age at the time of the motor vehicle accident. This is some 18 years younger than Ms. Fuchser was in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the other cases cited by counsel, it is my view that the plaintiffs' physical injuries and the impact to their lifestyle were more severe than the evidence before me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defendants cite cases ranging from $25,000 to $30,000 in pecuniary damages: </w:t>
      </w:r>
      <w:r>
        <w:rPr>
          <w:rFonts w:ascii="arial" w:eastAsia="arial" w:hAnsi="arial" w:cs="arial"/>
          <w:i/>
          <w:color w:val="000000"/>
          <w:sz w:val="20"/>
          <w:lang w:val="en-US" w:eastAsia="en-US" w:bidi="ar-SA"/>
        </w:rPr>
        <w:t>Foo v. Masardijian</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2009 BCSC 1519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Robinson v. Anderson</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2009 BCSC 1450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Wirachowsky</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2009 BCSC 1434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before awarding $30,000 in non-pecuniary damages, the court found that the plaintiff's "acute problems lasted for a maximum of six weeks": at para. 86. In that case, the plaintiff had returned to most of her activities within six months of the accident: at para. 86. This is not the case with Ms. Fuchser.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have carefully considered the cases on damages set out in both the plaintiff's and the defendants' brief of authorities. I award $50,000 in non-pecuniary damages to be subject to deduction for the pre-existing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Notwithstanding the fact that I have found her injuries would have begun to resolve by one year from the accident, I cannot find that the plaintiff was unable to work for that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She did return to work after one week off with a net wage loss of approximately $386 and worked until she was terminated in February 2009. She received severance pay until July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agreed she could have gone back to work at that time but for the injuries suffered by Mr. Wilson which required her complete attention for some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Therefore, for past wage loss, I award the net sum of $386.00. This amount is not subject to deduction.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Hooper v. Nair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2009 BCSC 862</w:t>
        </w:r>
      </w:hyperlink>
      <w:r>
        <w:rPr>
          <w:rFonts w:ascii="arial" w:eastAsia="arial" w:hAnsi="arial" w:cs="arial"/>
          <w:color w:val="000000"/>
          <w:sz w:val="20"/>
          <w:lang w:val="en-US" w:eastAsia="en-US" w:bidi="ar-SA"/>
        </w:rPr>
        <w:t>, I set out the elements to be proved to demonstrate a loss of capacity as follows, at paras. 119-125: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[119] In order to be successful under this head of damages, the plaintiff must prove a substantial possibility of future income loss: see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[120] The purpose of this damage award is to compensate the party for the loss of earning capacity as a capital asset, not to compensate for the lost earnings themselves: see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w:t>
      </w:r>
      <w:hyperlink r:id="rId536"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In considering this claim, a court must determine the extent of the future loss of income-earning capacity by taking into account all substantial possibilities and assessing the likelihood of their occurrence, based on the evidence: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at para.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There are, of course, inherent difficulties in assessing such damages which were recognized by Justice Dickson (as he then was)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where he stated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must now gaze more deeply into the crystal ball. What sort of career would the accident victim have had? What were his prospects and potential prior to the accident? It is not loss of earnings, but, rather, loss of earning capacity for which compensation must be made: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To assist in this assessment, there are four considerations which are often cited in determining the value of the loss and are set out in the decision of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at para. 8 (S.C.)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While a first step in this determination may involve some element of mathematical calculation, "the law is clear that in these cases the task of the court is to assess damages, not to calculate them on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[1995] B.C.J. No. 1823</w:t>
        </w:r>
      </w:hyperlink>
      <w:r>
        <w:rPr>
          <w:rFonts w:ascii="arial" w:eastAsia="arial" w:hAnsi="arial" w:cs="arial"/>
          <w:color w:val="000000"/>
          <w:sz w:val="20"/>
          <w:lang w:val="en-US" w:eastAsia="en-US" w:bidi="ar-SA"/>
        </w:rPr>
        <w:t xml:space="preserve"> at para. 43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A court must consider all of the evidence that is reasonable in the circumstances in assessing such an award; reference to projections, calculations and formula may be useful insofar as determining what is "fair and reasonable":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70. It is important for courts to "look at all relevant factors, especially general incapacity, before fixing an amount":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at para. 24. A court should also be guided, to some extent, by the claimant's actual earnings prior to the accident: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247 D.L.R. (4th) 256</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Knudsen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There was no functional capacity evaluation provided in this case. The court is, therefore, somewhat limited in attempting to analyze the plaintiff's loss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have taken into account the limitations set out in Drs. Klein's and Hershler's reports, but I must say that the work performed by the plaintiff prior to the accident did not involve heavy labour except for restocking her counter. It appeared she could compensate by doing more trips, depending on staff coverage, which would not and did not appear to compromise her physical condition. Neither doctor commented on her ability to stand and in her new employment she must stand and move as she assesses customers'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find she could return to a retail job as long as it was similar to her job at Holt Renfrew and did not require her to perform heavy labour. Therefore, her former occupation is not closed to her as a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Fuchser was not a high earner before the accident. She commuted downtown from New Westminster to Holt Renfrew on a full-time flexible schedule subject to changes dictated by staff needs. She hoped to stay at her job and to move up, but the evidence of Ms. Roth was that she was only a mediocre employee. I take from Ms. Roth's comment that the plaintiff would not have been likely to be promoted had she retained her employment at Holt Renfrew.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plaintiff's average earnings for complete years from 2004-2008 were approximately $33,800.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her new occupation, according to her evidence and without supporting documentation, she earned about $850 per month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However, she has complete freedom to work as and when and as much as she chooses at a higher hourly rate than she earned at her previous job. Although she relates her reduction in earnings to her injuries, there is no question she has a more enjoyable work life than she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She has also demonstrated a willingness to forego income when she believes it is better for her to take time to heal from either emotional or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It is unlikely, therefore, that she would ever be a high earner and her choice of self-employment for the future allows her to control her income somewhat. I say this particularly because she has indicated that if she is feeling well and can market her services, her work could be limitless.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It appears she will be able to earn a comparable income to that she earned at Holt Renfrew if she decides to do so. In short, I cannot say there is a substantial possibility the plaintiff's injuries have resulted in a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 continues to keep house and has found ways to adapt which allow her to perform most of her tasks, although she performs some tasks more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As I noted, she can no longer garden or mow the lawn and has to rely on her family or hire a teenager to do her lawn. There was no evidence of the cost of hiring someone to mow the lawn.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find that the plaintiff has some need for assistance with the outside maintenance of her garden and should receive some compensation for this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have included an amount of $1,000 a year for five years to assist in outside care of the house and garden. However, I have included it in the award for non-pecuniary damages. There will be no separate award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An award for the cost of future care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See also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et al. v. Beazley et al.</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determining the appropriate award under this head of damages is an objective one based on medical evidence. For an award for future care there must be a medical justification and the claim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at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addition, future care costs must also be likely to be incurred by the plaintiff. The award of damages is thus a matter of prediction as to what will happen in future. If a plaintiff has not used a particular item or service in the past, it may be inappropriate to include its costs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Future care costs must also be adjusted for future contingencies. Dickson J. said the following about adjusting future care awards for contingencies in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[253] The extent, if any, to which a future care costs award should be adjusted for contingencies depends on the specific care needs of the plaintiff. In some cases negative contingencies are offset by positive contingencies and, therefore, a contingency adjustment is not required: see </w:t>
      </w:r>
      <w:r>
        <w:rPr>
          <w:rFonts w:ascii="arial" w:eastAsia="arial" w:hAnsi="arial" w:cs="arial"/>
          <w:i/>
          <w:color w:val="000000"/>
          <w:sz w:val="20"/>
          <w:lang w:val="en-US" w:eastAsia="en-US" w:bidi="ar-SA"/>
        </w:rPr>
        <w:t>Spehar (Guardian ad litem of)</w:t>
      </w:r>
      <w:r>
        <w:rPr>
          <w:rFonts w:ascii="arial" w:eastAsia="arial" w:hAnsi="arial" w:cs="arial"/>
          <w:color w:val="000000"/>
          <w:sz w:val="20"/>
          <w:lang w:val="en-US" w:eastAsia="en-US" w:bidi="ar-SA"/>
        </w:rPr>
        <w:t xml:space="preserve">. In other cases, however, the award is reduced based on the prospect of improvement in the plaintiff's condition or increased based on the prospect that additional care will be required: see </w:t>
      </w:r>
      <w:r>
        <w:rPr>
          <w:rFonts w:ascii="arial" w:eastAsia="arial" w:hAnsi="arial" w:cs="arial"/>
          <w:i/>
          <w:color w:val="000000"/>
          <w:sz w:val="20"/>
          <w:lang w:val="en-US" w:eastAsia="en-US" w:bidi="ar-SA"/>
        </w:rPr>
        <w:t>Morrison (Committee of)</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[1998] B.C.J. No. 3279</w:t>
        </w:r>
      </w:hyperlink>
      <w:r>
        <w:rPr>
          <w:rFonts w:ascii="arial" w:eastAsia="arial" w:hAnsi="arial" w:cs="arial"/>
          <w:color w:val="000000"/>
          <w:sz w:val="20"/>
          <w:lang w:val="en-US" w:eastAsia="en-US" w:bidi="ar-SA"/>
        </w:rPr>
        <w:t>. Each case falls to be determined on its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this case, Dr. Hershler recommended a substantial amount of treatment for the plaintiff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Although neither he nor Dr. Klein was exactly certain what an osteopath does, at the indication from the plaintiff that she benefits most from osteopathic treatment he suggested she undertake 24 treatments at a cost of $4,200.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Hershler also recommended 24 massage therapy treatments and 12 personal training sessions to enable the plaintiff to safely develop an exercise program to focus on core strength. The plaintiff calculates the costs of all these programs at $7,209.60.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continues to have some symptoms although she acknowledges that she goes for much longer periods of time without any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would consider that she will continue to improve and in fact, Dr. Hershler has said that treatment for her will still be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herself has said that she intends to use any award of damages for cost of future care for the purpose of obtaining treatment as she needs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find that there is some medical justification for continued treatment. However, I do not find the amount claimed to be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number of osteopathic treatments recommended seems entirely unreasonable. When the plaintiff suffered from sacroiliac joint pain before the accident, she only attended on the osteopath a few times and received relief from her pain. There was no independent analysis by either doctor of what benefit the plaintiff would receive from osteopathic treatment. It appears that Dr. Hershler has simply asked the plaintiff what treatment she would like and then recommended it in his report. Dr. Klein did not know what an osteopath does. I will accept that the plaintiff received relief from this treatment but I would permit a total of six osteopathic treatments for a cost of $1,300.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Allowing for the fact that the plaintiff has only occasional symptoms at this point, 24 massage therapy treatments also seem excessive. I would permit six such treatments at $75 per session for a cost of $450.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would allow a full 12 personal training sessions since learning how to safely maintain her core strength is central to the plaintiff's future health. The cost of 12 sessions is $1,209.60.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award for cost of future care is $2,959.60.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This award will be subject to deduction for the plaintiff's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Madam Justice Dardi noted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[281]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defendants agree that they are responsible for the costs of physiotherapy in December 2008 and two physiotherapy treatments in July 2009, but oppose the balance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do not find the claim to be unreasonable and I note the decreasing number of treatments over time. Certainly the prescription claim is reasonable as is the plaintiff's claim for $200 for the over the counter drugs she purchased and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will allow the claim for special damages as stated since I found that the plaintiff's symptoms only began to resolve one year after the accident. This means that she would have required continuing but occasional treatment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award claimed of $2,206.19 is granted, but will be subject to deduction for the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 is awarded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241"/>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869"/>
        <w:gridCol w:w="1359"/>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 for past wage loss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386.00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450"/>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for the cost of</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2,959.60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927"/>
        <w:gridCol w:w="230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2,206.19</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Items 1, 3, and 4 (a total of $55,165.79) are subject to a deduction of 15% to account for the effect of the plaintiff's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reduced total for items 1, 3, and 4 is $55,165.79 - 8,274.87 = $46,890.92.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new total for all damages is $47,276.92.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If the parties wish to speak to costs they may arrange a time with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J.F.C. v. Ladolcetta, [2009] B.C.J. No. 1694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20-24, 27-30, May 1 and 4-8,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M102443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2009 BCSC 1151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1 B.C.L.R. (5th) 48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2009 CarswellBC 2228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180 A.C.W.S. (3d) 439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J.F.C., Plaintiff, and Meeyoung Ladolcetta and Adrian Tatsuki Wilding,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2"/>
      <w:bookmarkEnd w:id="150"/>
      <w:r>
        <w:rPr>
          <w:rFonts w:ascii="arial" w:eastAsia="arial" w:hAnsi="arial" w:cs="arial"/>
          <w:b/>
          <w:color w:val="000000"/>
          <w:sz w:val="20"/>
          <w:lang w:val="en-US" w:eastAsia="en-US" w:bidi="ar-SA"/>
        </w:rPr>
        <w:t>Damages — Physical and psychological injuries — Physical injuries — Body injuries — Neck — Skin — Head injuries — Brain damage — Psychological injuries — Depression — Defendant found 100 per cent liable for the 2005 motor vehicle accident, and plaintiff awarded $120,000 in non-pecuniary damages, $108,500 in past wage loss (less income earned), $275,000 for lost earning capacity, special damages to be calculated, and $2,000 in costs of future counselling — The plaintiff sustained significant soft tissue injuries, together with a compression fracture in the lumbar spine and ongoing sequelae, plus a mild concussive frontal lobe injury — The accident-induced ongoing emotional trauma and persistent stress were the pre-dominant and most significant exacerbating factors of both the plaintiff's psoriasis and psoriatic arthritis.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Loss of earning capacity — Non-pecuniary loss — Pain and suffering — Defendant found 100 per cent liable for the 2005 motor vehicle accident, and plaintiff awarded $120,000 in non-pecuniary damages, $108,500 in past wage loss (less income earned), $275,000 for lost earning capacity, special damages to be calculated, and $2,000 in costs of future counselling — The plaintiff sustained significant soft tissue injuries, together with a compression fracture in the lumbar spine and ongoing sequelae, plus a mild concussive frontal lobe injury — The accident-induced ongoing emotional trauma and persistent stress were the pre-dominant and most significant exacerbating factors of both the plaintiff's psoriasis and psoriatic arthritis.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Defendant found 100 per cent liable for the 2005 motor vehicle accident, and plaintiff awarded $120,000 in non-pecuniary damages, $108,500 in past wage loss (less income earned), $275,000 for lost earning capacity, special damages to be calculated, and $2,000 in costs of future counselling — The plaintiff had made an ill-advised left turn into oncoming traffic and the plaintiff, who had the right of way, had no opportunity to avoid the head-on collision — The plaintiff sustained significant soft tissue injuries, together with a compression fracture in the lumbar spine and ongoing sequelae, and a mild concussive frontal lobe injury.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22"/>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for damages by 34-year-old plaintiff for injuries sustained in a 2005 motor vehicle accident. The plaintiff claimed to have suffered various soft tissue injuries, including a compression fracture of the lumbar spine, plus a concussive brain injury, an injury to his right knee, elbow and shoulder, post-traumatic stress disorder, depression, etc. He claimed that as a result of his injuries, and particularly the psoriasis and psoriatic arthritis, the lumbar compression fracture, and upper back/shoulder/neck complaints, that he could not complete his apprenticeship as a plumber, nor would he ever again work as a plumber or in any other like trade. The key issue was whether the accident caused the plaintiff's psoriatic arthritis as claimed, or if it otherwise materially contributed to a worsening and/or acceleration of his pre-existing psoriatic illness.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2" w:name="Holdings of Court_19"/>
            <w:bookmarkEnd w:id="152"/>
            <w:r>
              <w:rPr>
                <w:rFonts w:ascii="arial" w:eastAsia="arial" w:hAnsi="arial" w:cs="arial"/>
                <w:color w:val="000000"/>
                <w:sz w:val="20"/>
                <w:lang w:val="en-US" w:eastAsia="en-US" w:bidi="ar-SA"/>
              </w:rPr>
              <w:t>HELD: Plaintiff awarded $120,000 in non-pecuniary damages, $108,500 in past wage loss (less income earned), $275,000 for lost earning capacity, special damages to be calculated, and $2,000 in costs of future counselling.</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credible witness, honest reliable in the far greater part of his testimony. Based on the evidence, the defendants were 100 per cent responsible for the accident. The plaintiff had the right of way, and the defendant had made an ill-advised left hand turn, precipitating a head-on collision. The court was not persuaded by the defendants' evidence or speculative arguments that the plaintiff should have seen the defendants' vehicle earlier. Based on the evidence, the plaintiff sustained significant soft tissue neck, thoracic, lumbar spine, right shoulder, ankle, right knee and other soft tissue injuries, together with a compression fracture in the lumbar spine and ongoing sequelae. He would likely continue to experience some residual symptoms that might be alleviated to a degree by further therapy. Likely the plaintiff was suffering from psoriatic arthritis before the accident. However, there was some consensus in the medical opinion that stress could exacerbate either/both psoriasis and psoriatic arthritis. The plaintiff was functioning fairly well, even without the usual day care intensive treatment, when last seen by his doctor pre-accident in June 2005. The court accepted the plaintiff's evidence that overall he experienced a change in the pattern of the disease from a slow gradual worsening over time between treatments to one of intense flares involving both skin and joints. The basic pattern and course of the disease had manifestly altered. The accident-induced ongoing emotional trauma and persistent stress were the pre-dominant and most significant exacerbating factors of both the plaintiff's psoriasis and psoriatic arthritis. There was evidence confirming his struggles with memory, concentration, mood, organization, planning, irritability, anger, inhibition and frustration from the time of the accident. He had sustained a mild concussive brain injury. All his injuries and associated symptoms, including those from his mild concussive frontal lobe injury, his sub-clinical PTSD and its symptoms, etc., and his inability to work operated over time to produce a serious depression. As for mitigation of damages, since his condition responded to light therapy in 2006 it was reasonable for him to refuse to undergo the recommended medications for a year and a half. However, when he was offered an opportunity to participate in the free trial of a new form of biologics, even considering his lessened psychological state, he ought to have commenced the treatment within six months of the April 2007 discussion. This failure to seek treatment for his worsening skin condition would result in a reduction of his entitlement to recovery of damages, namely 30 per cent for past lost income and 20 per cent for non-pecuniary damages. As for the assessment of damages, he was awarded $150,000 in non-pecuniary damages, reduced to $120,000. He had suffered a substantial loss of enjoyment of life, was unable to participate in golf and other activities he previously enjoyed. His suffering, both physiological and physical, had been quite intense. He was awarded $108,500 for past lost income. As for future earning, but for the accident, the plaintiff would have had ample opportunity to work in the industrial plumbing area. The plaintiff himself and the evidence as a whole left the impression of an individual who would have been more exceptional than ordinary in this field. Balancing uncertain future events, $60,000 per year fairly represented his capacity for future earnings. The court awarded $275,000 under lost earning capacity, including some allowance for the likelihood that he lost the opportunity of some extra high earnings following completion of his apprenticeship, some consideration of the time and money potentially required for retraining, and the possibility of his return to plumbing if medications were effective. $2,000 was awarded for future counselling. Special damages were to be calculated.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Counsel_22"/>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F.M. Turco, Q.C., P.W. Hansen.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K. Armstrong, S.B.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2"/>
      <w:bookmarkEnd w:id="154"/>
      <w:r>
        <w:pict>
          <v:line id="_x0000_s1142" style="position:absolute;z-index:25178419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September 9, 2009;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Para.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3510"/>
        <w:gridCol w:w="2580"/>
        <w:gridCol w:w="361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 Introduction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 Injuries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1046"/>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 Credibility of the plaintiff</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1255"/>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 Work before the accident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732"/>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 Lifestyle and values pre-accident</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182"/>
        <w:gridCol w:w="1255"/>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History of psoriasis and</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psoriatic arthritis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346"/>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accident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3"/>
        <w:gridCol w:w="3660"/>
        <w:gridCol w:w="177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 finding</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4287"/>
        <w:gridCol w:w="115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Condition of the plaintiff</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the scene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555"/>
        <w:gridCol w:w="1255"/>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Witness Daniel Braun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183"/>
        <w:gridCol w:w="62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Paramedic Jade Munro on scene</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183"/>
        <w:gridCol w:w="62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brother 'Mike' at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hospital</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869"/>
        <w:gridCol w:w="94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Constable Spielman at the</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hospital</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 Post-accident overview</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241"/>
        <w:gridCol w:w="1569"/>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Injury sequelae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078"/>
        <w:gridCol w:w="732"/>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activities after return</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work in Mid-February 2006</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6"/>
        <w:gridCol w:w="240"/>
        <w:gridCol w:w="4691"/>
        <w:gridCol w:w="730"/>
        <w:gridCol w:w="364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 evidence and findings for</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106</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soft tissue injuries</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5058"/>
        <w:gridCol w:w="1032"/>
        <w:gridCol w:w="361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CAUSATION RELATED TO PSORIASIS AND</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ARTHRITIS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94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 Overview of the defence position</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660"/>
        <w:gridCol w:w="115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Worsening of psoriasis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346"/>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Psoriatic arthritis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4335"/>
        <w:gridCol w:w="1755"/>
        <w:gridCol w:w="361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MEDICAL LEGAL OPINIONS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 Dr. D.D. Gladman</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w:t>
            </w:r>
          </w:p>
        </w:tc>
        <w:tc>
          <w:tcPr>
            <w:tcW w:w="358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 Dr. J.M. Esdaile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94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 Dr. R. Shuckett, Rheumatologist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w:t>
            </w:r>
          </w:p>
        </w:tc>
        <w:tc>
          <w:tcPr>
            <w:tcW w:w="358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 Dr. K. Shojania, Rheumatologist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 Dr. Hong, Dermatologist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 Discussion on opinions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4954"/>
        <w:gridCol w:w="1135"/>
        <w:gridCol w:w="361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ANALYSIS/DISCUSSION OF STRESSORS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3"/>
        <w:gridCol w:w="4392"/>
        <w:gridCol w:w="1046"/>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Lay witnesses evidence on the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165</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changes seen in the plaintiff</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496"/>
        <w:gridCol w:w="94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Concussion, PTSD and depression</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178</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973"/>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 and findings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7"/>
        <w:gridCol w:w="4128"/>
        <w:gridCol w:w="1961"/>
        <w:gridCol w:w="361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MITIGATION OF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3303"/>
        <w:gridCol w:w="2787"/>
        <w:gridCol w:w="361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 Non-pecuniary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 Past Wage Loss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219</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182"/>
        <w:gridCol w:w="1255"/>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226</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earnings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4287"/>
        <w:gridCol w:w="115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care special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450"/>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3303"/>
        <w:gridCol w:w="2787"/>
        <w:gridCol w:w="361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239</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 OVERVIEW</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N. BROWN J."/>
            <w:bookmarkEnd w:id="155"/>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name has been withheld to protect his privacy. The central and most difficult medical legal issue to be decided in this case is the alleged connection between a serious October 2, 2005 head on collision and the exacerbation and worsening over time of the plaintiff's pre-existing psoriasis and a related form of arthritis. The plaintiff also suffered other physical injuries and psychological sequelae -- some of these derivatives of his worsening psoriatic condition. Over 15 days I heard from 19 witnesses, plus 17 experts, some medical specialists internationally recognized in their fields. The plaintiff's worsened psoriatic condition played some role in all of the medical legal opinions presented at trial, not just those given by rheumatologists and dermatologists.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So, threading its way through all the evidence and issues in this trial was some aspect of this central question, which in simplest form can be expressed this way: did the accident cause the plaintiff's psoriatic arthritis as claimed? Or did it otherwise materially contribute to a worsening and/or acceleration of the plaintiff's pre-existing psoriatic illness? Set around those questions and the initial answers to them are a host of attendant questions, some them the usual ones such as prognosis, mitigation of damages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 abbreviated list of the injuries, not all listed in the statement of claim, includes:</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thoracic, and lumber soft tissues injuries with a compression fracture in the lumbar spine;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Concussive brain injury to the head primarily involving the frontal lobes with loss of consciousness, and connected symptoms;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Broken nose;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Blackened eyes;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to the forehead, eyebrows and nose requiring stitches;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right knee and elbow and right shoulder;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Stress Disorder, with connected symptoms;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psoriasis;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of psoriatic arthritis, with connected symptoms;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acceleration or exacerbation of psoriatic arthritis, with 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that as a result of his injuries, most notably those involving his psoriasis and psoriatic arthritis condition, lumbar compression fracture, and upper-back/shoulder/neck complaints, he could not complete his apprenticeship as a plumber, nor will he ever again work as plumber or in any other like trade. He claims loss of income and loss of earning capacity accordingly. He claims expenses incurred for medications, treatment, travel etc. and asks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 bright 34 year old man, as evidenced by his post-accident 90th percentile intelligence testing and his personal abilities, which drew witnesses to a similar assessment of his natural mental capacity. The evidence easily supports a finding that pre-accident he was a forthright, personable, sociable, independent minded, opinionated (in a healthy way) man, also described as a "caring individual." Some of these traits are still present in varying degrees, but I found that his injuries and sequelae had effected a significant change in his personality. No one has fully questioned his honesty in this trial, at least in no way that left a lasting impression. His feelings of irritation, frustration, and tendency to abruptness and anger during the trial (and elsewhere) were clearly evident on cross-examination. This testiness manifested at trial is partly explained by the discomforts stemming from sitting on the hard unsupportive witness box seat and the cross-examination, which was very lengthy and detailed. It was evident that the plaintiff found the whole process physically and mentally exhausting.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found the plaintiff to be a credible witness, both honest and reliable in the far greater part in of his testimony, subject to the ordinary human frailties of memory and perception, so not always accurate or insightful in his recollections. I note that various experts found him a forthright historian in a clinical setting as well, including the clinically experienced Dr. R. O'Shaughnessy, called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 Work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For about seven months before the accident the plaintiff worked and attended classes towards his apprenticeship, attached to Local 170 of the </w:t>
      </w:r>
      <w:r>
        <w:rPr>
          <w:rFonts w:ascii="arial" w:eastAsia="arial" w:hAnsi="arial" w:cs="arial"/>
          <w:i/>
          <w:color w:val="000000"/>
          <w:sz w:val="20"/>
          <w:lang w:val="en-US" w:eastAsia="en-US" w:bidi="ar-SA"/>
        </w:rPr>
        <w:t>United Association of Journeymen and Apprentices Plumbing and Pipefitting Union</w:t>
      </w:r>
      <w:r>
        <w:rPr>
          <w:rFonts w:ascii="arial" w:eastAsia="arial" w:hAnsi="arial" w:cs="arial"/>
          <w:color w:val="000000"/>
          <w:sz w:val="20"/>
          <w:lang w:val="en-US" w:eastAsia="en-US" w:bidi="ar-SA"/>
        </w:rPr>
        <w:t xml:space="preserve"> ("the Union"). He came by this opportunity not just by chance: his brother and stepfather are members of the Union. Then, starting in 1999, from his three years of work as a purchaser at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a large mechanical construction company, he gained a good education in the parts, tools and equipment used in all facets of the plumbing and pipe fitting industry. Through his clerical/field work responsibilities, he met many industrial and residential plumbing contractors, evidently leaving with them a favourable impression and earning for himself a wide network of potential employers; a good head start in his apprenticeship. The final push in the direction of a plumbing career came from the encouragement of a supervisor at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Mr. Wayne Cyz, who had become a friend and mentor to the plaintiff and had been encouraging him for some time to consider a unionized plumbing career. After the plaintiff's lay-off from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and after trying out some other trades such as framing and finished carpentry, all signs facing the plaintiff seemed to point him in the one direction, which he then set off in with the enthusiasm and optimism remarked on by several witnesses. One of them, Al Philips, referred to him as "a man that you didn't forget after you have met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the time of the accident the plaintiff felt he was "set for life" career-wise. He believed that the high potential income of plumbers and pipe fitters, the benefits, especially on the union/industrial side of the industry, his job costing experience from his time at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his contacts, the opportunities for advancement and work in high demand locations such as Alberta, the security offered by membership in the Union, and the demand for plumbers and pipe fitters would assure him a working life high income with generous benefits and job security. I accept evidence indicating that plumbing is one of the most remunerative and secure of the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evidence I found no difficulty coming to a conclusion that the plaintiff's hopes held a decent chance of being realized. Labour market statistics for plumbers in B.C. show the average 2005 income of plumbers at that time was $52,000. However, peeling back the layers that combine to make that figure shows that it contains average earnings for the whole province, and does not differentiate between residential vs. industrial work, union vs. non union members, foremen vs. base wage earners, and other, sometimes intangible, factors, including work ethic, intelligence and personality, that witnesses said can positively influence a plumber's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Union admitted the plaintiff to the Union as an apprentice on March 8, 2005 about seven months before the accident. Contractors on the various job sites he worked with both pre and post-accident asked for him specifically. This reflected well on the reputation he had already garnered for himself since contractors are allowed to name request only 50% of the plumbers they want to hire for a job; the other 50% must come from an eligible list of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performed well on the jobs. His experience at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gave him an appreciation of the costs of materials and ways to reduce job costs, something contractors would obviously appreciate. When plumbing contracts began to wind down, apprentices were the first to face lay-offs. However, he usually was on another job site within a month, again through name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 Lifestyle and values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was very active before the accident. Until he began his March 2005 plumber apprenticeship and needed a car to get to work sites, he rode his bike for both basic transportation and recreation, golfed, hiked, and fly-fished.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did not like to take any form of medication. He had quite a few friends and drank a fair amount three or four times a week. Defence counsel suggested this was a reflection of a budding alcoholism that blossomed after the accident, mirroring the alcoholism of his father. I did not find this warranted in light of all the available evidence; but agree there was a tendency in that direction. He had a lot of friends and preferred to be with people. He was not in a steady relationship at the time, but very much wanted to marry and have a family, though he was self-conscious about his psoriasis.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Pre-accident, the plaintiff had to deal with some significant health problems in the form of psoriasis and what was at the time, on accepted evidence, a very mild form of psoriatic arthritis, but the evidence is clear that that these conditions interfered little with his work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 History of psoriasis and psoriatic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of the medical experts explained that psoriasis is what is thought to be an auto-immune mediated skin disease that can fall anywhere on a graph between a minor nuisance to grave condition. It is not curable, but in most cases treatment can control it, with varying degrees of success. Most people with this condition can work and live their lives mostly unimpeded, but in some cases it can be a challenging, even debilitating, and worse, disease to live with. Dermatologists usually treat psoriasis.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Psoriatic arthritis is a form of arthritis closely connected to psoriasis. It is also thought to be auto-immune mediated. Not all people with psoriasis develop psoriatic arthritis, which typically presents itself in some form within 10 years, usually in peripheral joints. Rheumatologists treat psoriatic arthritis, so psoriatic arthritis patients consult with two specialists, one to treat the skin, the other the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Clinicians and researchers continue to study the origins of this disease. A genetic component is involved; manifest in this case by the fact that the plaintiff and his brother Mike also live with this condition. His brother works as a plumber. His psoriasis is confined to a fairly small portion of his skin and is well controlled without medication. I did not hear direct evidence about the father's condition. The plaintiff has no contact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first noticed a patch of psoriasis on his knee when he was about 21. He received some treatment from his dermatologist in the form of light treatment, tars and ointments. Dissatisfied with the treatment he had been receiving, he researched other treatment options on the internet and did receive a referral to the </w:t>
      </w:r>
      <w:r>
        <w:rPr>
          <w:rFonts w:ascii="arial" w:eastAsia="arial" w:hAnsi="arial" w:cs="arial"/>
          <w:i/>
          <w:color w:val="000000"/>
          <w:sz w:val="20"/>
          <w:lang w:val="en-US" w:eastAsia="en-US" w:bidi="ar-SA"/>
        </w:rPr>
        <w:t>Willow Skin Clinic</w:t>
      </w:r>
      <w:r>
        <w:rPr>
          <w:rFonts w:ascii="arial" w:eastAsia="arial" w:hAnsi="arial" w:cs="arial"/>
          <w:color w:val="000000"/>
          <w:sz w:val="20"/>
          <w:lang w:val="en-US" w:eastAsia="en-US" w:bidi="ar-SA"/>
        </w:rPr>
        <w:t xml:space="preserve"> at </w:t>
      </w:r>
      <w:r>
        <w:rPr>
          <w:rFonts w:ascii="arial" w:eastAsia="arial" w:hAnsi="arial" w:cs="arial"/>
          <w:i/>
          <w:color w:val="000000"/>
          <w:sz w:val="20"/>
          <w:lang w:val="en-US" w:eastAsia="en-US" w:bidi="ar-SA"/>
        </w:rPr>
        <w:t>Vancouver General,</w:t>
      </w:r>
      <w:r>
        <w:rPr>
          <w:rFonts w:ascii="arial" w:eastAsia="arial" w:hAnsi="arial" w:cs="arial"/>
          <w:color w:val="000000"/>
          <w:sz w:val="20"/>
          <w:lang w:val="en-US" w:eastAsia="en-US" w:bidi="ar-SA"/>
        </w:rPr>
        <w:t xml:space="preserve"> as he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About two weeks before attending the clinic, Dr. Kitsen, a dermatologist he saw on February 7, 2002, estimated that 60% of the plaintiff's body was covered with psoriasis. The plaintiff believes this figure is an error, and that pre-accident coverage never exceeded 40%. It is quite possible that the 60% estimate is incorrect, but the evidence does at least support a high percentage of coverage approaching that figure. The defendants suggested that this spike in coverage corresponded with the period of time that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laid off the plaintiff, and the emotional stress that would naturally accompany this. This argument is somewhat inconsistent with the defence argument that the support for such a causative link between stress and psoriasis is weak. That causative link between stress and psoriasis will be discussed in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any rate, when the plaintiff's first treatment at Willow Clinic started in late February 2002, clinicians estimated coverage of his body at either 27% or 35%, (the charts were not consistent). When about three weeks later he had completed treatment consisting of ultraviolet light treatment combined with various lotions, he had greatly improved, with coverage much reduced to 6%. Another measurement tool used by Willow clinicians consisted of a scale that rated the redness, thickness and scaliness of the plaques out of a maximum of 4. In just over two weeks, these had fallen on discharge from redness 4, plaque 2, and scale 2 to 2, 1, and 1 respectively. It is important to know that this treatment was for the psoriasis; nothing indicated arthritis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evidence that his psoriasis thereafter followed a basic pattern is borne out by the Willow charts. The treatments were not curative, but clearly effective in markedly diminishing the psoriasis. He hoped for something curative, but understood that such was not possible yet. After treatment at Willow the psoriasis would gradually worsen over time, so he returned again, in January of 2004 and 2005, with the same beneficial effect. On those occasions, the maximum coverage measured by clinicians before treatment was 27%,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this period, the plaintiff insisted that he never experienced flare-ups of the kind experienced post-accident. Instead, the condition incrementally increased until there was an obvious need for another focused round of phototherapy treatment at Willow, a situation he did not like but "could live with." He was able to work, ride his bike, golf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was diagnosed with plantar fascitis in August 6, 2003. The plaintiff testified that orthotics prescribed for the condition eventually gave him relief; by December of that year he said that he was much better. I find that this condition did not interfere with his heavy plumbing apprenticeship work and activities in the months leading up to the accident. However, more likely than not his plantar fascitis was an early sign of psoriatic arthritis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denied any problems with his joints pre-accident, supported by the note in early January 2004 in the Willow chart, which noted the fact that the plaintiff denied experiencing arthritic problems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May 2005, the plaintiff visited Dr. Hong, one of the two dermatologist seen in the dermatology specialist office he attended. The plaintiff presented with relatively thick plaques on his arms and legs (no estimate was made). At this time, Dr. Hong made a recommendation for methotrexate, a medication and a recommendation that both became the object of many questions and mitigation arguments at trial. At that time the plaintiff had declined to take methotrexate.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next time that a physician estimated his body coverage was on December 5, 2005, about two months post-accident, when Dr. Hong recorded it at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did not receive any further day care treatment at Willow again until mid-January 2006, about three months post-accident. Effectively, he had gone two years without light therapy treatment at Willow. Although the plaintiff did not recall a historical pattern of improvements over the summer, the evidence certainly leans in that direction; accepted medical evidence indicates controlled exposure to the sun benefits psoriasis sufferers.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Accepted evidence also confirms that in May 2006 (and at earlier times) the plaintiff's dermatologists advised the plaintiff that alternative treatment in the form of methotrexate medication was advisable. However, the evidence also indirectly supports a finding that for a period of nearly two years after his last round in 2004, and even after a flare-up of his condition post-accident, when coverage was measured at 15%, the plaintiff had managed tolerably well, even without the Willow three week program. He also was able to perform on his feet all day what was clearly very heavy apprentice work, with no indication of any psoriatic arthritis symptoms interfering, although he continued to require orthotics and wide fitting work boots. The evidence as a whole supports my finding that symptoms in his right foot would be occasionally noticeable. Nonetheless, this was at a time when he was engaged in demanding physical work that would doubtless experience some feet soreness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for the plaintiff's low back complaints, the only pre-accident low back complaint was noted by Dr. Suleiman on August 23, 2005. This was in a lower area of the back at L5-S1, not the L2 small of the back area that was the focus of his post-accident complaints. Dr. Suleiman related it to mechanical back pain from twisting at work. The plaintiff did not return pre-accident with any further problems in the L5-S1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this time in his life it is clear from the evidence that the plaintiff was functioning well, even without benefit of Willow's intensive therapy and its usual remissionary effects. He was happy, optimistic, and looking forward to becoming a journeyman plumber, to making a lot of money, and eventually to marriage and children. Apart from his psoriasis, he was in good mental and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equally clear that within three years after the accident, his health and psychological state had deteriorated to the extent it led Dr. M. W. Jones, a neurologist who examined him with respect to his concussion, to comment in his report, "It's rather sad and upsetting to see what has happened to this gentleman over the last 3 years in terms of his overall dramatically decreased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main question in this case is what portion of that clearly evident deterioration the defendants can, on the balance of probabilities, be burdened with, according to law and based on 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early morning of October 2, 2005 the plaintiff was driving his Volkswagen Jetta in the westbound centre lane of Canada Way, one of Burnaby's major east-west connectors. As he closely approached Canada Way's uncontrolled intersection with Sprott Avenue, the defendant, intending to turn slightly left and head straight onto Sprott, drove her Mazda pickup truck into the plaintiff's car. The plaintiff undoubtedly owned the right of way. The defendant, unlike an independent witness travelling behind her, did not see the plaintiff's approaching Jetta until too late. Said witness, 34 year old Safeway manager Daniel Braun, was following three to five car lengths behind the defendants in the same left hand centre lane. He testified that he could see there was about to be an accident. He could see the Jetta crossing the line and was "surprised the Mazda went" because he could see the Jetta. From his vantage point he felt the plaintiff "could not have avoided it." He did not see signal lights on the Mazda, which likely did not come to a full stop before turning, as the defendants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 Liability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Braun had no difficulty seeing the approaching Jetta. On the evidence I find the law lays no burden on the plaintiff, who owned the right of way in this case; and I find the defendants 100%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argued that the plaintiff travelled too quickly, basing this on how the plaintiff vaguely described his speed to the attending police officer as travelling "the speed limit," but at trial testified that he was travelling 50 kph. The defendants argue that this shows that the plaintiff actually does not remember the speed he was travelling. The defendants point out that the photographs taken were of the vehicles at their final resting place, not their point of impact. Finally, the defendants argue that the plaintiff has given contradictory evidence about when he saw the defendant begin her turn. The defendants submit that the plaintiff should have seen the defendants much sooner and failed in his duty to keep a vigilant lookout. It is further argued that if the plaintiff had fulfilled this duty, he would have been able to evade the defendants. On these grounds the defendants argue that the plaintiff should share in the responsibility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find any of these arguments persuasive. First, none of them address the independent and persuasive evidence of Mr. Braun. Second, I am not persuaded by the defendants' evidence or speculative arguments that the plaintiff should have seen the defendants' vehicle earlier. The defendants' actions alone are fully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collision was approximately head on and very heavy, as shown by the extensive damage to both vehicles and the plaintiff's facial injuries and nasal fracture, suffered despite wearing his seatbelt. Paramedics attended and took both parties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do not deny that the plaintiff suffered a concussive head injury, but his condition at the scene should be briefly reviewed because the nature and extent of the injury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 Condition of the plaintiff on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Witness Daniel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Daniel Braun, the witness following the defendants, checked first on the occupants in the defendants' car, then on the plaintiff, arriving at the plaintiff's car within about 60 seconds. He saw him bleeding from his face and head. His eyes were "glazed over"; he looked like "he wasn't there." He did not speak at first; he tried to remove his seatbelt and get out of his car, but could not because the door was jammed shut; he remained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Paramedic Jade Munro 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Paramedic Jade Munro arrived on the scene about two minutes after receiving the call to attend. After checking on other patients on the scene, she saw the plaintiff. He was "extremely confused," rated by her at 14/15 on the Glasgow Coma scale; "with every question he was confused about the answer". Based on his lack of recall of the accident she noted an "unwitnessed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complained to Ms. Munro about a lot of pain in the low back. She noted the laceration on his forehead. She found that his memory had increased over a half hour period. She did not rate him then, but felt he did not warrant 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Plaintiff's brother 'Mike'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the plaintiff's brother saw him at Royal Columbian Hospital, the plaintiff did not know the extent of his injuries. Mike took him to the bathroom and thought his brother appeared shocked at the appearance of his face in the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Constable Spielman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Attending Constable Spielman noted that the plaintiff was generally responsive to questions but repeatedly told him that he could barely remember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will deal with the observations of the plaintiff's mother and other witnesses later, when analyzing the longer term effects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 Post-accident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Injury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his release from hospital, the plaintiff convalesced at his mother's for about two months or so. He returned to his apprenticeship on February 14, 2006, about 4 2 months later. He suffered sequelae relating to his head injury and psychological trauma, discussed more comprehensively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Some of his physical complaints, such as his neck, right shoulder and low back and related symptoms he noticed right away. Within weeks of the accident, he testified that he was aware of what he referred to as a flare of psoriatic arthritis. involving his ankles, the Achilles tendon at the back of his right foot, his right toe, elbow, the small of his back, and knees (more the right knee); his left hip also hurt. He denied suffering from pain in these areas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October 3, 2005, the day following the accident, he saw Dr. Suleiman, his general practitioner since 2003. In his medical legal report dated July 25, 2006 Dr. Suleiman notes a CT scan taken at Royal Columbian hospital appeared normal except for blood in the sphenoid sinus related to facial injuries. He diagnosed a head injury and noted lacerations and contusions on the face, anterior chest seatbelt related bruising, left and right hip 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6, 2005, Dr. Suleiman noted what he referred to as symptoms of post concussion syndrome, "symptoms of drowsiness, headaches, sensitivity to noises and forgetfulness; and a very painful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October 8, 2005, the plaintiff returned with "increasing symptoms of confusion, irritability, mood swings, and forgetfulness," noted also by other witnesses, as discussed later. Dr. Suleiman referred him to Dr. Allan J. Smyth, a clinical neurologist, who saw him on December 2, 2005. In a December 2nd, consultation report, Dr. Smyth confirmed a closed head injury, but did not see a prospect of permanent brain injury. He attributed the plaintiff's memory difficulties to his bodily injury and stress. He thought he would make a complete recovery. However, this was a consultation report; no medical legal report from Dr. Smyth was filed. He never saw the plaintiff again and he was not questioned at trial on this issue, so this consultation report has very limited evidentiary use. As regards the head injury sequelae, I prefer the later June 28, 2007 opinion of physiatrist Dr. Travlos, and aspects of Dr. R. O'Shaughnessy's opinion, as discussed later. Suffice to note here that Dr. Travlos felt there were ongoing symptoms in relation to the initial brain injury when he examined the plaintiff, and this is certainly borne out by the evidence of collateral witnesses, also discussed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Starting in about mid-October, 2005 Julie Toews, a physiotherapist with 12 years experience, gave eight physiotherapy treatments, starting in mid-October. She treated the plaintiff for what she understood were his main complaints in the lower back, right shoulder, elbow and chest, with no specific note made by her at that time of his feet or hands. She administered eight treatments. She confirmed there was discussion about the plaintiff's returning to work, and to support this, a return to work program. The plaintiff did not feel he was ready to return to work and Ms. Toews had not been able to obtain approval for that from ICBC in any event. She was unaware of the plaintiff's compression fracture. She agreed that it would be advisable to wait at least three or four months after the injury before treating; and she would not have recommended a return to work had she been aware of the compression fracture. Unfortunately, this fracture remained undiagnosed until June 2007, when imaging was ordered after the plaintiff had continued to complain of chronic lower back pain to Dr. Suleiman.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November 12, 2005, Dr. Suleiman stated that the plaintiff complained of increasing low back pain made worse by prolonged standing and walking certain distances. At that time also, the plaintiff presented with a flare up of his psoriatic skin lesions, noted in Dr. Suleiman's notes as "bad case of psoriasis." Dr. Suleiman felt that the situation was quite urgent at that time and [the psoriasis] covered "a lot of his body." He referred the plaintiff to a dermatologist, Dr. Dantow, but it is not clear to me whether he saw him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December 8, 2005, dermatologist Dr. C.H. Hong saw the plaintiff on referral from Dr. Suleiman. The plaintiff reported to him that his psoriasis had flared following the accident. At that time, his coverage was 15%, which Dr. Hong classified as severe. Dr. Hong also noticed pain and swelling in the right great toe and left thumb which he thought was compatible with psoriatic arthritis, which Dr. Hong had not noted on his last pre-accident visit. Dr. Hong referred him for day care light therapy at the Willow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December 7, 2005, the plaintiff reported to Dr. Suleiman improvement with physiotherapy and a "lot better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January 3, 2006, the plaintiff told Dr. Suleiman that he had been moving some furniture at his mother's place and hurt his back when doing so. At trial, he said that in fact he had actually been moving a cactus plant at the time; his mother has no recollection of the incident. In any event, there is no indication that this was anything more than a temporary exacerbation at a time when the plaintiff had not recovered from his compression fracture and related soft tissue injuries. More significant at the time of this January 3, 2006 visit was the fact that the plaintiff expressed concern about "arthritis in his right foot" which he related to his psoriasis. Dr. Suleiman stated that in addition to pain he saw minor swelling. Dr. Suleiman referred the plaintiff for laboratory work, which on January 17, 2006 revealed his "CRP (a measure of inflammation in the body) elevated at 49.3." The test was negative for lupus and rheumatoid arthritis, but positive for inflammation. Dr. Suleiman explained that CRP is synthesized whenever the body fights inflammation; this elevated level indicated severe inflammation. I note rheumatologist Dr. D. Gladman saw this elevated reading as important. She referred to this reading when rejecting the defence suggestion on cross-examination that the plaintiff "just had low back complaints related to the accident and did not start having [arthritic] problems for another year." Returning again to the appointment with Dr. Suleiman, I note that he prescribed an anti-inflammatory and pain medicine. It is not clear to me if the plaintiff took these, but he testified that he reluctantly did consume a lot of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Meanwhile, on January 11, 2007, Dr. Suleiman saw the plaintiff again and referred him for therapy to Dr. York, a rheumatologist, a referral not followed up on by the plaintiff. That same day, the plaintiff told him that he felt he had psoriatic arthritis in multiple joints, and for his part, Dr. Suleiman noted "polyarthralgia." Also that day, the plaintiff asked for a referral to a foot specialist for what was noted as "chronic foot pain for three years." The significance of this notation by Dr. Suleiman of chronic foot pain became the focus of some debate, the defendants arguing that this indicated constant pain for what had been three years. Dr. Gladman interpreted the chart differently; saying that 'chronic' usually meant something quite different. She said that on a correct medical reading the chart in this case indicated that the plaintiff had first noticed it three years ago, with symptoms noticed off and on in the interval, and that they then had become much more of a problem after the accident. As noted elsewhere, the evidence does not support a finding of constant foot pain. Dr. Gladman's interpretation of this note harmonizes with other accepted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Then, following up on the plaintiff's request, orthopaedic surgeon Dr. Elkoussy saw him on April 6, 2006. In a very short consultation report, he noted the pain was over the site of the plantar fascia. He made no reference to psoriatic arthritis and, at least based on the lack of mention of it in the report, the plaintiff made no mention of the accident to him either. Dr. Elkoussy thought that the lesion was healing and did not think steroid injections were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has been having pain and discomfort in the heel area. The pain was very sharp in character and localized. John tried a course of physiotherapy, pain medication and orthotics that helped him temporarily. He tried to wear shoes with good support, which helped his symptoms. At this stage, the improvement in pain was about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Elkoussy's consultation report forms part of Dr. Suleiman's records. Dr. Elkoussy was not called. He did not have the full history when he wrote his consult report. Whatever ambiguities remain in his report cannot be resolved by speculation. What is clear within the context of other evidence is that the plaintiff complained of sharp localized pain at that time after what was a lapse of three years following his first experience of plantar fascitis problems and orthotic advice. Further since that initial advice, nothing had prompted him to seek help for foot pain from a physician, let alone specialist. The most reasonable inferences are that he noted an increased level of pain referable to the accident, that it had reportedly improved some since, and that prior to this post-accident increase in pain he had been able to manage with the help of orthotics and wider shoes. He felt his post-accident foot symptoms were still strong when he saw Dr. Elkoussy.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Moving back in time now on the timeline, to the Willow Clinic on January 9, 2006. This would be the day of the plaintiff's first post-accident attendance. Clinicians estimated his initial plaque body surface area at more than 26%. Treatment improved his condition within two days. Therefore, at that time he remained generally responsive to light therapy for his psoriasis (not his psoriatic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Most significantly, the clinic history sheet at page 16 documents a history of arthritis, moderate to severe, involving the feet, shoulders, thumb, toes and left hip, in stark contrast to statements made on pre-accident visits. He reported himself under the care of a rheumatologist, but this was in reference to Dr. York, who he actually never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April 4, and 6, 2006, neuropsychologist Dr. Donald E. Read tested the plaintiff. This was followed by a further round of testing in October that same year. The plaintiff's mentation problems included poor memory, slowness in learning new information and diminished concentration. Also noted was sensitivity to light and noise, and becoming more emotional than in the past. Dr. Read concluded that the accident had left the plaintiff with significant residual brain injury impairments as a direct result of the concussive injury. He testified that testing showed significant impairments in the areas of abstract reasoning and working memory. Dr. Read's expectation of improvement was partially confirmed by later October 2006 testing. At that time the plaintiff also subjectively reported an improvement, but still reported problems when trying to learn new information, diminished short term memory, organizational problems, and feelings of irritation and anger. The defendants challenged the value of neuropsychological testing generally, and these results specifically, though less so when they touched on indications of improvement by October 2006. The defendants also relied on test results that negatived significant problems with depression or anxiety in April 2006. I found this latter argument unpersuasive as this testing is not designed to be diagnostic of psychological injuries. Since the plaintiff's cognitive and emotional problems are questions that potentially connect in important ways to the plaintiff's other claimed injuries I will deal with this issue in another self contained section of these reasons. Suffice for now that I find that Dr. Read's neuropsychological testing provided some empirical test confirmation of a concussive brain injury with frontal lobe involvement, which, as will be seen, is well supported by accepted witness evidence. Dr. Read acknowledged that caution is required in interpreting neuropsychological tests and that the implications of results can be overstated. However, he did not stand down from his opinion that the results showed symptoms of a frontal lobe injury that would likely continue to some degree, an opinion not shared by all the experts who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Over the summer of 2006, the plaintiff saw improvement in his psoriasis. He was able to golf that summer, to what extent varies, based on statements and notes that are inconsistent regarding the plaintiff's descriptions of pain and disability. At trial, the plaintiff agreed that he had played golf frequently that summer. I accept this, and also that he experienced difficulty golfing; and that in any event by sometime in September 2006 he was unable to golf at all. Further, and as will be seen when I review the plaintiff's post-accident work history, he had to work through pain on the job that summer. He saw a more than one month interruption between jobs that summer. The most compelling inference here is that during this period he would have had that interval to golf, keeping also in mind the sun would have helped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November 1, 2006, the plaintiff saw Dr. Hong again. Dr. Hong noted the plaintiff's statement that his condition had been "bad for the last six weeks," (which would go back to early October); also that he had used just tar over the summer, but that the psoriasis had been "clear." Dr. Hong explained that patients often experience a pattern of improvement over the summer months. He referred him to the Willow Clinic for more treatment, in the interim managing the condition with topical therapies until April 2007, when he was to start UVB day care again. At trial, the plaintiff pointed out that he had up to 4% thick coverage with what he called "thick new plaques." He distinguished between pre and post-accident, saying he had been experiencing not a gradual worsening, but flares, with plaque of a kind unlike any he had experienced before. He noted that the skin flare-up coincided with the arthritis flare-up.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now go back about three months, to mid-February 2006, in order to review the plaintiff's work activities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Work activities after return to work in Mid-February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returned to his apprenticeship in mid-February, 4 2 months post-accident. He worried over his capacity, mood swings and memory problems. He started up doing work that involved installation of heavy equipment, valves and pumps for </w:t>
      </w:r>
      <w:r>
        <w:rPr>
          <w:rFonts w:ascii="arial" w:eastAsia="arial" w:hAnsi="arial" w:cs="arial"/>
          <w:i/>
          <w:color w:val="000000"/>
          <w:sz w:val="20"/>
          <w:lang w:val="en-US" w:eastAsia="en-US" w:bidi="ar-SA"/>
        </w:rPr>
        <w:t>Fred Welsh Ltd.,</w:t>
      </w:r>
      <w:r>
        <w:rPr>
          <w:rFonts w:ascii="arial" w:eastAsia="arial" w:hAnsi="arial" w:cs="arial"/>
          <w:color w:val="000000"/>
          <w:sz w:val="20"/>
          <w:lang w:val="en-US" w:eastAsia="en-US" w:bidi="ar-SA"/>
        </w:rPr>
        <w:t xml:space="preserve"> described by the plaintiff as "an old, large, 'top shelf employer.'" His lower back still hurt, his feet and ankles and right knee were bothering him, and he noticed light headedness. He avoided going up and down the stairs as much as he could. He felt constantly fatigued. He took about six Advils a day and was "so exhausted at the end of the day that he slept in his car before driving home." He forced himself to complete his work because, as he saw it, there were "100 guys who would love to have your job." Further, since he was a name hire (specifically requested by the employer for the site) he felt he had to keep up his reputation. He was not sure he could keep up, but if he was finding himself slow in getting materials up to the twelfth floor, he would try to make up for it other ways; consequently, he was able to complete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Mentally, he also found his memory was bad. He found himself fussing over fittings when trying to make them fit. He felt he was not as sharp as before, and he felt that he never improved in that regard. He testified that, fearful for his job, he tried to mask his problems as much as he could. I accept this evidence, supported by other credible corroborative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One of these was Dan Walton, a friend and also a co-worker on the third project that the plaintiff worked on (for </w:t>
      </w:r>
      <w:r>
        <w:rPr>
          <w:rFonts w:ascii="arial" w:eastAsia="arial" w:hAnsi="arial" w:cs="arial"/>
          <w:i/>
          <w:color w:val="000000"/>
          <w:sz w:val="20"/>
          <w:lang w:val="en-US" w:eastAsia="en-US" w:bidi="ar-SA"/>
        </w:rPr>
        <w:t>Trotter and Morgan</w:t>
      </w:r>
      <w:r>
        <w:rPr>
          <w:rFonts w:ascii="arial" w:eastAsia="arial" w:hAnsi="arial" w:cs="arial"/>
          <w:color w:val="000000"/>
          <w:sz w:val="20"/>
          <w:lang w:val="en-US" w:eastAsia="en-US" w:bidi="ar-SA"/>
        </w:rPr>
        <w:t xml:space="preserve">), starting in July 2006, nine months post-accident. Mr. Walton had met him regularly in the months after the accident and saw that he was having problems during that period. He noticed anger and frustration issues, including some involving the foreman, during the time they worked together for </w:t>
      </w:r>
      <w:r>
        <w:rPr>
          <w:rFonts w:ascii="arial" w:eastAsia="arial" w:hAnsi="arial" w:cs="arial"/>
          <w:i/>
          <w:color w:val="000000"/>
          <w:sz w:val="20"/>
          <w:lang w:val="en-US" w:eastAsia="en-US" w:bidi="ar-SA"/>
        </w:rPr>
        <w:t>Trotter and Morgan.</w:t>
      </w:r>
      <w:r>
        <w:rPr>
          <w:rFonts w:ascii="arial" w:eastAsia="arial" w:hAnsi="arial" w:cs="arial"/>
          <w:color w:val="000000"/>
          <w:sz w:val="20"/>
          <w:lang w:val="en-US" w:eastAsia="en-US" w:bidi="ar-SA"/>
        </w:rPr>
        <w:t xml:space="preserve"> He said the plaintiff had "a short fuse." If the work involved something he did not know how to do, he "frustrated very easily." On the positive side, in the "manner of his working, he was capable, eager to learn." He noticed that the plaintiff was restricted in what he could do; able to do some things and not others. For example, he was not getting up into the ceilings, up on the ladder; "he was in pretty rough shape." I found this young journeyman plumber, married with two young children, a straightforward and credible witness, and I accept his testimony and that of the plaintiff about his physical, mood and cognitive difficulties encountered following the accident and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Apprenticeship wise, the plaintiff's work at </w:t>
      </w:r>
      <w:r>
        <w:rPr>
          <w:rFonts w:ascii="arial" w:eastAsia="arial" w:hAnsi="arial" w:cs="arial"/>
          <w:i/>
          <w:color w:val="000000"/>
          <w:sz w:val="20"/>
          <w:lang w:val="en-US" w:eastAsia="en-US" w:bidi="ar-SA"/>
        </w:rPr>
        <w:t>Fred Welsh Ltd.</w:t>
      </w:r>
      <w:r>
        <w:rPr>
          <w:rFonts w:ascii="arial" w:eastAsia="arial" w:hAnsi="arial" w:cs="arial"/>
          <w:color w:val="000000"/>
          <w:sz w:val="20"/>
          <w:lang w:val="en-US" w:eastAsia="en-US" w:bidi="ar-SA"/>
        </w:rPr>
        <w:t xml:space="preserve"> came to an end on June 6, 2006. </w:t>
      </w:r>
      <w:r>
        <w:rPr>
          <w:rFonts w:ascii="arial" w:eastAsia="arial" w:hAnsi="arial" w:cs="arial"/>
          <w:i/>
          <w:color w:val="000000"/>
          <w:sz w:val="20"/>
          <w:lang w:val="en-US" w:eastAsia="en-US" w:bidi="ar-SA"/>
        </w:rPr>
        <w:t>Trotter and Morgan</w:t>
      </w:r>
      <w:r>
        <w:rPr>
          <w:rFonts w:ascii="arial" w:eastAsia="arial" w:hAnsi="arial" w:cs="arial"/>
          <w:color w:val="000000"/>
          <w:sz w:val="20"/>
          <w:lang w:val="en-US" w:eastAsia="en-US" w:bidi="ar-SA"/>
        </w:rPr>
        <w:t>, another plumbing contractor, then requested him to work on their project, and he started there about 40 working days later, on July 25, 2006. This was the same project that he worked on with Dan Walton. He confirmed that he was having a rough time, with problems running up and down stairs, his ankles and feet really bothered him. He was still applying creams on his skin as prescribed. He said the last treatment he had at Willow clinic (January 2006) had not lasted; his condition was flaring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About this time, Union officer Al Philips Jr., responsible for apprentices' education, had been encouraging him to get caught up on the theory component of his courses. He had accumulated a lot of apprentice tool work, but needed to complete the classroom portion of his apprenticeship before moving back into the field. </w:t>
      </w:r>
      <w:r>
        <w:rPr>
          <w:rFonts w:ascii="arial" w:eastAsia="arial" w:hAnsi="arial" w:cs="arial"/>
          <w:i/>
          <w:color w:val="000000"/>
          <w:sz w:val="20"/>
          <w:lang w:val="en-US" w:eastAsia="en-US" w:bidi="ar-SA"/>
        </w:rPr>
        <w:t>Trotter and Morgan</w:t>
      </w:r>
      <w:r>
        <w:rPr>
          <w:rFonts w:ascii="arial" w:eastAsia="arial" w:hAnsi="arial" w:cs="arial"/>
          <w:color w:val="000000"/>
          <w:sz w:val="20"/>
          <w:lang w:val="en-US" w:eastAsia="en-US" w:bidi="ar-SA"/>
        </w:rPr>
        <w:t xml:space="preserve"> granted lay-off September 21, 2006 so that he could move to the classroom component. He had hoped the change to the classroom would bring relief, but his skin and arthritis condition instead continued to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started classroom work September 26, 2006, however, it did not provide him with the relief he had expected. Sitting most of the time proved difficult, even with the chances to move around that shop time brought. Cognitively, he found that where the information covered familiar areas, he had no difficulty; unfamiliar information proved challenging; he had to re-read material and take notes. He found it difficult applying what he had read. He experienced mood swings found himself "picking fights," and his arthritis had flared so much that he felt very fatigued. He felt it had flared to 60% or more at that time. He questioned increasingly if he could return to his apprenticeship field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Apprentice Dan Walton was also involved in class work when the plaintiff attended. They sat together and partnered on practicum projects. Though he did not understand what was going on with the plaintiff at the time, he noticed that the plaintiff had "temper tantrums with the instructor, and couldn't control his emotions." He did not know what to make of it. When the instructor directed a comment at him that he did not really understand he would get "really upset with the instructor." Mr. Walton felt that the plaintiff over-all understood the subject matter; they helped one another where they could. I note that Mr. Walton presents with what might be called a laid-back personality; the plaintiff was fortunate in that and Mr. Walton's continued friendship, as the plaintiff had become increasingly socially isolated.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November 21, 2006, in the midst of his time attending classes, he saw Dr. Suleiman. The plaintiff told him that he came to that visit on the advice of his family because of: "mood swings; not feeling himself and freaking out; difficulty with concentration; lacking interest; inability to be happy, becoming self-centered making too many excuses for himself." It's not clear whether the last item is the plaintiff's reporting or Dr. Suleiman's impression. In either case, Dr. Suleiman thought that "these are symptomology of Brain Injury (frontal lobe syndrome) initially diagnosed" (pg. 3 Dr. Suleiman's clinical records). He noted in his July 28, 2008 report his continued expectation for gradual recovery for up to two years and found the increase in intensity "puzzling."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December 8, 2006, Dr. Hong saw the plaintiff again. He said that he felt his problems had flared following the accident and he complained of problems in his right toe, left thumb and diagnosed psoriatic arthritis. Dr. Hong noted pain and swelling in the toe and thumb compatible with psoriatic arthritis. He estimated coverage at 15%. He recommended methotrexate, but the plaintiff expressed preference for day care light therapy. However, he never followed up on that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Meanwhile, plaintiff's counsel arranged for an occupational therapist assessment by Crystal Mayfield, who saw the plaintiff on December 1, 2006. At this time, the plaintiff was finishing the second component of courses, having completed the first, "in the middle of the pack." At that time she noted problems consistent with his evidence and that of others. These included fatigue, a psoriasis flare-up, headaches and various cognitive and emotional symptoms. Her intention was to assist him with planning and organization problems noted in her March 16, 2007 'Assessment of Rehabilitation Needs report.' The plaintiff also confirmed that he was unable to study or participate in household or leisure activities until rested. She visited his house and observed first hand his various strategies to compensate for his deficits and found unorganized notes written on various papers on random topics, piles of notes without any system for priorities, categories or degree of completion, and no schedule for bill payments. She observed that the plaintiff felt much anger and resentment, was reluctant to try new things, thought he was "doing enough," but when she pointed out to him that he was not coping as well as he thought, "he was skeptical." He had a "short fuse, and was intolerant of new interventions presented to him." The plaintiff "clearly was not coping well." It was for these reasons that Ms. Mayfield arranged through counsel for psychologist Dr. W. Buch to become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Mayfield arranged for purchase of the text books used in the classroom. These were expensive to purchase, so the Union arranged for student copies kept in the classrooms. Because they were re-used by new students each session, they could not be marked up, which the plaintiff needed to do. Prior to the accident the plaintiff did not find this necessary; school was "a piece of cake."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Since we are on the topic of these apprentice textbooks, this is a good time to deal with the defendants' argument that the cost of these books, claimed as a special damage, was not compensable because the plaintiff probably would have kept and used them anyway; but I found no solid foundation for that assumption; a possibility perhaps. While other factors influencing the plaintiff's cognitive and emotional problems were at play, the weight of accepted evidence favors sequelae from his concussive brain injury as one of the weightiest among the other possible contributing factors. It would be unreasonable to strike that claim. However, a reduction of 50% to reflect the chance he would have purchased them, and also the fact that he had already passed the first course without a personal copy to mark up, is a fair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was able to complete the third course by February 16, 2007. His next course, never completed, would have been in mid-October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Before leaving this area, I note the evidence of Al Philips, executive director of the Union, which should be considered. He sits on the </w:t>
      </w:r>
      <w:r>
        <w:rPr>
          <w:rFonts w:ascii="arial" w:eastAsia="arial" w:hAnsi="arial" w:cs="arial"/>
          <w:i/>
          <w:color w:val="000000"/>
          <w:sz w:val="20"/>
          <w:lang w:val="en-US" w:eastAsia="en-US" w:bidi="ar-SA"/>
        </w:rPr>
        <w:t>Piping Industry Apprenticeship Board</w:t>
      </w:r>
      <w:r>
        <w:rPr>
          <w:rFonts w:ascii="arial" w:eastAsia="arial" w:hAnsi="arial" w:cs="arial"/>
          <w:color w:val="000000"/>
          <w:sz w:val="20"/>
          <w:lang w:val="en-US" w:eastAsia="en-US" w:bidi="ar-SA"/>
        </w:rPr>
        <w:t xml:space="preserve"> and is involved in the training of over 100 students. He knew the plaintiff even before the beginning of his apprenticeship. He summarized his attitude as "very eager." Mr. Philips notes that pre-accident, the plaintiff was "doing great, very personable, often the centre of attention" and that, "everyone knew who [the plaintiff] was." Mr. Philips explained the significance of employer name hire requests of apprentices, testifying that he received no negative feedback about the plaintiff. His contact with the plaintiff increased after his return to the apprenticeship program following the accident. He said that the plaintiff was conscientious, adding that he was "frustrated that he couldn't do the job he wanted to do". Before the accident he explained that he seemed confident, driven, with a direct path to where he wanted to be; since, not so. He became aware of his struggles at school and Mr. Philips made himself available to the plaintiff. He was having concentration problems; "that made him angry ... I know that he was irritable."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Asked on cross-examination about the plaintiff's grades, he said that they were acceptable, but "lower than would be expected of a student of the plaintiff's experience and ability." His final exam results, just above a pass, were particularly low at 72%. His weakness on pipe drawings is worth noting as it mirrors similar weaknesses measured by Dr. Read. But the key point here is Mr. Philips informed assessment of the plaintiff's unexpectedly low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Philips also confirmed he was involved in assisting in arranging for the purchase of books to assist the plaintiff, as well as other help. I find that Mr. Philips conversations with Ms. Mayfield about these books must have been before the start of the third course in January 8, 2007 and I find that the plaintiff's difficulties were in large measure a result of his brain injury. This is contrary to the defendants' submission that the plaintiff's difficulties began in the third course and so were only related to his worsening psoriasis. I do however, accept that the plaintiff's emotional difficulties continued to worsen, intensifying his mood and cognition; and therefore they very well could have become even more pronounced by the third course in the Spring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Following his third classroom segment, the plaintiff returned to field work between March 19, 2007 to March 30, 2007 at </w:t>
      </w:r>
      <w:r>
        <w:rPr>
          <w:rFonts w:ascii="arial" w:eastAsia="arial" w:hAnsi="arial" w:cs="arial"/>
          <w:i/>
          <w:color w:val="000000"/>
          <w:sz w:val="20"/>
          <w:lang w:val="en-US" w:eastAsia="en-US" w:bidi="ar-SA"/>
        </w:rPr>
        <w:t>A and A Plumbing and Heating</w:t>
      </w:r>
      <w:r>
        <w:rPr>
          <w:rFonts w:ascii="arial" w:eastAsia="arial" w:hAnsi="arial" w:cs="arial"/>
          <w:color w:val="000000"/>
          <w:sz w:val="20"/>
          <w:lang w:val="en-US" w:eastAsia="en-US" w:bidi="ar-SA"/>
        </w:rPr>
        <w:t>, this on a the referral of a friend. However, at this point, the plaintiff felt "deflated and not hopeful." As he put it, he had "no plan B to becoming a plumber." He did not get along with the foreman. The plaintiff told the foreman, a very experienced industrial plumbing veteran, how he should go about doing part of an industrial job at St. Paul's Hospital. At the same time plaintiff did not follow specific safety instructions given to him by the foreman, resulting in a potentially serious incident. I find this would be uncharacteristic of the plaintiff pre-accident. The foreman, Mr. Casasloa, confirmed the incident and the plaintiff's unwelcome advice, saying that the plaintiff ignored specific safety instructions, and had argued with him about how the job should have been done in the first place. He was not happy about his performance: "He didn't listen, he wanted it done his way." He noted also that the plaintiff was limping badly and was slow. He laid him off instead of firing him. At this point, the plaintiff says he became "hysterical with worry about what to do next," and "went home to lick his wounds."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March 16, 2007, the plaintiff first saw physiotherapist J. Tung, who testified that he worked on the plaintiff's whole body, he focused on the right ankle, knee, back and upper extremities. The plaintiff's last treatment there was in September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started work next May 1, 2007 at </w:t>
      </w:r>
      <w:r>
        <w:rPr>
          <w:rFonts w:ascii="arial" w:eastAsia="arial" w:hAnsi="arial" w:cs="arial"/>
          <w:i/>
          <w:color w:val="000000"/>
          <w:sz w:val="20"/>
          <w:lang w:val="en-US" w:eastAsia="en-US" w:bidi="ar-SA"/>
        </w:rPr>
        <w:t>PML Mechanical</w:t>
      </w:r>
      <w:r>
        <w:rPr>
          <w:rFonts w:ascii="arial" w:eastAsia="arial" w:hAnsi="arial" w:cs="arial"/>
          <w:color w:val="000000"/>
          <w:sz w:val="20"/>
          <w:lang w:val="en-US" w:eastAsia="en-US" w:bidi="ar-SA"/>
        </w:rPr>
        <w:t>, ending there on June 14. By this time, the plaintiff felt he was definitely not going back in to the trades, but an old foreman specifically had asked for him. The plaintiff expressed doubt about being able to do the job, as it involved heavy mechanical room work, but his foreman Cam Williams, "cut him some slack" and shifted him to lighter work. Even this he could not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On May 1, 2007, the same day he started at </w:t>
      </w:r>
      <w:r>
        <w:rPr>
          <w:rFonts w:ascii="arial" w:eastAsia="arial" w:hAnsi="arial" w:cs="arial"/>
          <w:i/>
          <w:color w:val="000000"/>
          <w:sz w:val="20"/>
          <w:lang w:val="en-US" w:eastAsia="en-US" w:bidi="ar-SA"/>
        </w:rPr>
        <w:t>PML,</w:t>
      </w:r>
      <w:r>
        <w:rPr>
          <w:rFonts w:ascii="arial" w:eastAsia="arial" w:hAnsi="arial" w:cs="arial"/>
          <w:color w:val="000000"/>
          <w:sz w:val="20"/>
          <w:lang w:val="en-US" w:eastAsia="en-US" w:bidi="ar-SA"/>
        </w:rPr>
        <w:t xml:space="preserve"> he had also started psychological counselling with Dr. W. Buch, a registered psychologist, who went on to provide a total of 42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Throughout this period, the plaintiff had been experiencing low back pain, along with other aches and pains, and as noted had been receiving some manipulative physiotherapy treatments from Mr. Tung. He saw Dr. Suleiman on June 6, 2007, complaining of neck and back pain, which Dr. Suleiman referred to as a chronic "ongoing complaint" in response to defence counsel's suggestion that this had been hardly referenced by him following the accident. Dr. Suleiman saw the plaintiff the next day with the same complaints. On this second visit Dr. Suleiman referred him for x-rays of his spine. One week later, these x-ray revealed "a possible compression fracture of the vertebral end plate at L2." However, orthopaedic surgeon Dr. Riad Shahid, who saw the plaintiff on June 25, 2007 on referral for chronic back pain. He reviewed the x-rays and emphatically rejected the use of the word "possible." He testified there was no doubt, and that he could see that the body of the second lumbar vertebrae was compressed at the anterior border by 25%. He thought the upper back pain was on referral from the neck, a common form of distributed pain from the neck. He noted subjective localized tenderness over L2. He confirmed that compression fractures result from a mechanism such as a fall on the buttocks or a sudden flexion of the trunk, leading to compression and fracture of the anterior portion of vertebral body. On cross-examination he agreed that it was impossible to tell the age of a compression on x-rays alone; vertebral fractures were difficult to assess in that regard. He opined that the fracture was caused by a significant forward force, and given no other significant trauma apart from the accident, he attributed it to the force of the accident. He confirmed that this was a stable fracture, with 80% of people with this injury being capable of returning to employment within six months of injury. He explained that 50% of people with this injury become "quite pain free" with the other 50% having "minimal pain." However, 15% of people with this injury need to change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the accident in this case bears the burden of the plaintiff's vertebral fracture. I will discuss the implications for this in assessing damages later. It is unfortunate that it was not diagnosed earlier, but the delay does not appear to hold any long term medical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Psychologist Dr. Buch, mentioned earlier, first saw the plaintiff on May 1, 2007 and has seen him 32 times since, to the end of April 2009. I found Dr. Buch well qualified to express an opinion about psychological injuries and sequelae. He impressed as insightful about the plaintiff's psychological state and factors influencing his emotions. He was able to establish a rapport and earn the trust of the plaintiff, evidently no easy feat, given that the plaintiff had become angry, cynical and distrustful. In his February 24, 2009 report Dr. Buch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treatment report of August 13, 2008 I suggested that [the plaintiff's] primary, self-reported problems were persistent pain and anxiety/irritability that exacerbated his psoriasis and undermined his morale. Since August 2008 [the plaintiff] continues to have problems with persistent pain, anxiety/irritability, psoriasis, and demoralization, but his psoriasis has gained greater prominence and his demoralization has deepened into an anxious depression. Furthermore [the plaintiff] has become more disclosing about the extent of his drinking problem. Pg.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an earlier treatment report, dated August 13, 2008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by July 2007 [the plaintiff] was no longer working full-time due to pain. This was a big loss and resulted in a surge of agitation and rage. Meanwhile, he was trying to find odd jobs. He had some entrepreneurial ideas but no money. He was increasingly frustrated by his circumstances, including an unsatisfactory Discovery with ICBC in August 2007. By November 2007 [the plaintiff] had developed a clear Major Depressive Disorder. Pg.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Buch initiated a "behavioral approach to depression called Behavioral Activation Therapy," this started in November 2007, interrupted by the holiday season and restarted March 2008. The plaintiff has benefited from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June 28, 2007, the plaintiff saw physiatrist Dr. Travlos. He strongly recommended a referral to a rheumatologist, pointing out that his psoriatic symptoms would need to be brought under control in order to determine what residual injuries remained. He stated that the plaintiff needed to go onto medications, despite his reluctance to do so, that his mobility should then improve and the possibility of a return to work could be reviewed then. Mobilization and activation needed to wait until his inflamed joints were brought under control. He was not capable of any work at that time, apart from a very sedentary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Travlos thought that the plaintiff should consider anti-depressants, as improved mood would help with cognition, outlook and over-all function. He thought that the accident resulted in injuries to the plaintiff's face, nose, neck and back, and closed head injury that had resulted in "on-going sequelae," including to the date of assessment. Dr. Travlos firmly rejected the suggestion that he should defer to a neurologist with respect to the diagnosis and treatment of head injury, pointing out that treatment and functional assessment of head injury victims is dealt with by physiatrists who have more hands-on clinical experience in that area. With respect to joint inflammation, Dr. Travlos noted a degree of inflammation much greater than could be accounted for by the injuries sustained in the accident. He noted enthesopathy (abnormalities relating to the ligaments and muscles attaching to the bone) of both Achilles tendons, joint restriction, increased temperature, left metatarsophalangeal joint inflammation, left shoulder joint irritation and inflammation, with an overriding psoriatic antropathy. He felt it would be difficult to determine his residual injuries directly related to the accident trauma until inflammation related to the psoriatic arthritis was treated, and therapy would have to wait on getting that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July 20, 2007, the plaintiff reported to Dr. Suleiman that he was continuing with physiotherapy treatments and that his pain seemed to be better. He experienced backaches, but only if he did too much physical work. After that appointment, on August 13, 2007 Dr. Suleiman referred the plaintiff to rheumatologist Dr. R. Shuckett, and noted that his CRP inflammation marker was only mildly elevated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October 17, 2007, Dr. Hong saw the plaintiff, who presented with "more prominent pain in his feet and hands." Dr. Hong noted swelling. He estimated 40% body coverage. Dr. Hong observed that the plaintiff was "under a significant amount of psychological distress that the plaintiff attributed to his motor vehicle accident." Dr. Hong explained that since he had known the plaintiff over time and they were the same age, their discussions were more frank then they might otherwise be. He typically would not note mental status unless he saw a severe aberration. While the plaintiff "was always an anxious sort of guy in clinical setting, at this time it was much more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Hong then also mentioned to the plaintiff the possibility of a clinical trial of a new form of very expensive medication that was part of a medication grouping called biologics. These medications were available through Pharmacare only after all other treatment regimens had been unsuccessful. Since this would have been a trial use, the plaintiff would have not incurred the prohibitive $20,000 per year cost. However, on November 28, 2007 the plaintiff spoke to Dr. Hong's nurse and told her he was "too busy and distracted to attend the clinic trial." This rejected treatment advice offered to the plaintiff then, earlier by Dr. Travlos, and at other various times, the defence raises as part of its mitigation defense, but I will discuss the law, facts and opinion in relation to that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January 9, 2008, Dr. Shuckett saw the plaintiff. She noted headaches, neck pain, right shoulder symptoms with back pain, ankle and foot pain, wrist and finger symptoms. He told her he was taking up to six Advils per day at the time. With respect to his psoriasis, she noted that he had a severe condition; one she understood had been milder for the previous sixteen years. She noted that his psoriasis was very extensive, covering most of his body and his scalp at the time. She noted that medication such as methotrexate had been suggested by his dermatologist, but that he did not like, and refused, to take drugs, even anti-depressants. She noted that he felt very depressed and that he would often lie in bed staring at the walls; and that he was borrowing money and felt quite hopeless. She also noted the sleep problems that the plaintiff described in court. As the plaintiff and others also testified, getting around was difficult. The plaintiff admitted to Dr. Shuckett that he had been drinking alcohol sporadically in binges, a factor that would make use of methotrexate problematic, as confirmed by other experts. Dr. Shuckett raised the possibility of ankylosing spondylolisthesis, because the findings on one of the tests she conducted could support that diagnosis. However, the evidence does not show that was ever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Turning to the other injuries, Dr. Shuckett diagnosed a whiplash injury of the neck with muscular ligament injury and a suspected capsular injury; neck related headaches with vascular migraine features; myofascial pain syndrome of the right neck and shoulder girdle; right shoulder pain with impingement syndrome; and marked psoriasis with evidence of psoriatic arthritis. She noted that his feet and ankles were "particularly involved with the psoriatic arthritis." She opined that the stress after the accident with the resultant physical and emotional injuries he suffered, led his psoriasis to significantly flare after the accident. She noted that he had plantar fascitis before the accident with heel pain, but did not have ankle or foot pain before the accident. She thought that his prognosis was quite concerning and did not believe that he would ever be able to return to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Shuckett explained the research and current theory with respect to the relationship between stress, its effect on the immune system and disease processes. She testified that the research supports a causative link between stress and diseases such as psoriasis and psoriatic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note that Dr. Shuckett did not have the Willow Clinic records in her possession when she gave her opinion, lessening the strength of it insofar as it relates to the relationship of the plaintiff's accident to the onset and worsening of his arthritis and psoriatic arthritis. I accept her opinion with respect to the plaintiff's soft tissue injuries, the relationship of stress to exacerbation of psoriasis and psoriatic arthritis, noting that the evidence well supports a finding that this connection is one largely accepted among both dermatologists and rheumatologists.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January 27, 2009, rheumatologist Dr. D. Gladman saw the plaintiff. Since I will be discussing her opinion along with others fully below, I will simply note here that she found that the clear worsening in his condition was related to the accident. She also recommended methotrexate. She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methotrexate controls skin psoriasis and joint inflammation to a certain degree, it may not prevent progression of joint damage. Anti-TNF agents are much better at controlling inflammation and preventing joint damage. Pg.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unknown whether the plaintiff will respond to methotrexate.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said that it was after his discussions with Dr. Gladman about the way the disease could progress without medication that the stark reality of his medical situation was brought home and he decided to start methotrexate. Dr. Buch evidently felt he also had some part in persuading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Hong did not see the plaintiff again until February 12, 2009. By that time, his psoriasis had become "extremely severe," covering 55% of his body, with "widespread coalescing [red] scaly plaques on his scalp, arms, legs, and torso." Dr. Hong pointed out that 95% would be a medical emergency, because problems relating to thermal regulation, electrolytes, cardiac function follow. By the time of trial he had been on methotrexate for about two weeks without improvement. Administration was switched from oral to subcutaneous injection in order to increase the dosage, but still so far without beneficial effect. Estimates of the effectiveness of methotrexate range from 40% to 50%. The effectiveness of biologics is about 70%, and it is much more effective in controlling progression of joint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October 3, 2008, neurologist Dr. M. W. Jones saw the plaintiff on referral from plaintiff's counsel for a medical legal assessment. He found that it was "quite clear that he had a significant closed head injury from the October 2005 MVA and [Dr. Jones] would agree with others who have suggested that he suffered a Mild Traumatic Brain Injury or concussion" (pg. 4 of his report). He noted that Dr. Suleiman had diagnosed a post concussion syndrome based on a number of complaints "such as irritability, mood swings, and forgetfulness." He commented that, "... while these are nonspecific symptoms and are not diagnostic for this entity, I think nevertheless that was the correct diagnosis at that point in time" (pg. 4). Based on his own review of the records and from speaking to the plaintiff he concluded that there was "a marked deterioration in the quality of his life approximately 6 months after the accident when his psoriasis "took on a malignant turn" and became generalized such that he was referred back to his dermatologist" (pg. 4). Dr. Jones stated as well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tried most of the "useless" topical treatments as he colorfully refers to them as "lotions and potions, bees knees and bats wings" which really illustrates his frustration and why he has become so cynical about the medical treatment for this disorder that accounts for much of his despondency in my opinion. Pg.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Further with respect to the head injury, Dr. Jones disagreed in part with Dr. Read's diagnosis, as he felt the plaintiff had not suffered "brain damage" or "frontal lobe syndrome." Instead he felt the plaintiff's depression, anxiety, chronic pain and the emotional impact of psoriasis had led to "his intermittent alcohol abuse," which he felt was a better explanation for the plaintiff's memory and behavioral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Jones' well qualified neurological opinion must be considered along with those of other experts who have commented on the plaintiff's head injury. However, I have reservations about what I see as unnecessarily delimiting comments about the persistence of the plaintiff's cognitive problems post-accident, and over-all prefer Dr. Travlos' opinion, which accords more with accepted evidence and the clinical history gleaned from all of the testimony over 15 days of trial. Still, Dr. Jones raises, as have others, contributing factors that must be differentially considered within a medical legal context in order to come to a proper conclusion about the cause, nature and extent of the emotional and cognitive sequelae the plaintiff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Before turning to causation issues relating to the plaintiff's worsened psoriatic conditions, I will deal with the medical evidence and findings relating to the plaintiff's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 Medical evidence and findings for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Shuckett opines on psoriatic causation issues, though the bulk of her January 29, 2008 report deals with pain and disability related to the plaintiff's soft tissue injuries. At the time of her January 9, 2008 assessment of the plaintiff, he reported to her that he was suffering from headaches with accompanying light sensitivity, neck pain aggravated by activities and especially plumbing work, but otherwise not much of a problem; and suffering also from intense right shoulder pain that "hurt all the time," but worse when lifting his arms; and from low back pain with exertion, along with pain and lower legs, ankles and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respect to the ankle and foot pain, the plaintiff described pain when he walked, sometimes necessitating use of a cane. He could walk from 20 to 30 minutes, but then would have to sit to rest. He told Dr. Shuckett that his plantar fascitis had resolved before the accident but it had since become problematic with his ankles and feet stiff in the morning. He also complained of numbness in the wrists and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far as his mood was concerned, the plaintiff told Dr. Shuckett he felt very depressed, was borrowing money and was feeling hopeless, though not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Shuckett's diagnoses included: a musculo-ligamentous injury of the neck, with suspected zygapophyseal joint capsular injury; cervicogenic headaches with migraine features; myofascial pain syndrome of the right neck and shoulder girdle region; and right shoulder pain with impingement syndrome. No prognosis with respect to these particular diagnoses was offered. Dr. Shuckett also felt that he suffered from a sleep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Regarding the plaintiff's prognosis, Dr. Shuckett opined in her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he will ever be able to return to plumbing. He is probably going to have to undergo retraining for a more sedentary, less physical, type work.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 has reached maximum medical improvement by this point in time and his psoriatic arthritis may even progress over time. It is in keeping with his symptoms that he cannot work as a plumber or in other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have already discussed Dr. Shahid's orthopaedic assessment of the plaintiff's lumber fracture above and my given my findings that the accident bears the burden of the plaintiff's vertebral fracture. I have likewise already referred to Dr. Travlos' physiatric examination and opinion. Dr. Travlos' nutshell opinion was that the plaintiff needed to go on onto medications, despite his reluctance to do so, and that his mobility should improve and the possibility of a return to work reviewed then. Mobilization and activation needed to wait until his inflamed joints were brought under control. He was not capable of any work at that time, apart from a very sedentary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no sufficiently persuasive reason to doubt that the plaintiff sustained significant soft tissue neck, thoracic, lumber spine, right shoulder, ankle, right knee and other soft tissue injuries, as set out in paragraph 3 of these reasons, together with a compression fracture in the lumbar spine, and ongoing sequelae. The ultimate residual effect of these injuries absent the influence of the plaintiff's psoriatic arthritis will have to wait on the full remediating effects of medication, unfortunately unknown to the date of trial. However, given the history and opinions in this case, I find that the evidence supports a finding that, more likely than not, he will continue to experience some residual symptoms that may be alleviated to a degree by further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CAUSATION RELATED TO PSORIASIS AND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 Overview of 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defence position, distilled from a detailed written and oral argument,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Worsening of psoriasis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worsening of his psoriasis, the plaintiff's symptoms arose well after the accident and relate to his pre-existing condition. The plaintiff has not proven that these would not have occurred but for the accident.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more likely due to factors unconnected with the defendants and the fault of no one but the plaintiff. He had a severe condition that pre-dated the accident that was bound to get worse once he stopped treating it, and as is so common in today's society, he is looking for someone to blame.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support the above assertions, the defendants submit that the pattern of the pre-accident history is just like the post-accident history.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concedes that the plaintiff's psoriasis clearly worsened in early 2006, but says treatments were beneficial as in previous years, and subsequent worsening was due to other stressors in the plaintiff's life and his failure to follow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Psoriatic arthritis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overwhelmingly supports the contention that the plaintiff had psoriatic arthritis before the accident.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scientific literature that the plaintiff's experts rely on, particularly Dr. Gladman, does not scientifically demonstrate a relationship between trauma and onset of psoriatic arthritis. The defendants criticized distinctions that Dr. Gladman makes between causing the condition and exacerbating it and say that in any event the symptoms arose too late to be related. He also criticized her comment that there is no "statute of limitations for aggravations." The defendants submit that in the absence of a solid empirical connection, Dr. Gladman's hypothesis is novel science based purely on clinical and anecdotal evidence, and therefore should be given little weight, if any.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 were to accept the theory that stress caused the aggravations of both the psoriasis and psoriatic arthritis, the defence submits that though it is easy for experts to simply say there is a connection, the fact is that the accident was far removed from the October 2007 flare-up psoriasis or June 2007 flare-up of psoriatic arthritis. If stress played a role in the worsening of his symptoms, other stressors such as his mother's illness, financial stress, and the untreated worsening of his condition were the source of it, creating a snowball effect, with the worsening of his condition causing stress that in turn worsened his psoriasis, and so on. Based on the opinion of Dr. Esdaile, the plaintiff is where he would have been without the accident.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summary, the defendant submits that that the evidence does not prove on the balance of probabilities that either stress or trauma from the accident aggravated the plaintiff's psoriatic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Before turning to the medical legal opinions on causation, I should explain my reasons for rejecting the defence argument that the plaintiff is "just looking for someone to blame for his worsened condition." As is evident from the outline of the evidence, the plaintiff was a productive man before the accident. He was dealing with one of the more severe manifestations of a frustrating disease that would prove challenging to the most resourceful of people. His response to that challenge was flawed in some ways, but beyond criticism in others: a blend of resolution, resignation and self-reliance. He comes to court with the medical legal support of both his family physician and highly qualified specialists, who nonetheless did not turn a blind eye to his misguided responses to potentially beneficial medical advice he had received. My strong sense is that the plaintiff would like nothing more than to have nothing to do with this law suit, medical legal assessments and public disclosure of his condition, a subject intensely private and manifestly mortifying for him to talk about in open court. The plaintiff's mother, who I found to be a very credible witness, mentioned how difficult her son was finding this litigation, which adds its own measure of stress. The causation issue in this case is not complex as far as the law is concerned, but certainly factually quite complex, requiring the counsel energy and skill shown in this case; but the hard questions are put to medicine and the law to answer, not to the plaintiff's personal character and integrity, which in both respects I found genuine. Among whatever differential medical legal explanations of his condition can be listed in this case, I find a desire on the plaintiff's part to have someone or something to blame for his condition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MEDICAL LEGAL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 Dr. D.D. Gladman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Rheumatologist Dr. Gladman concluded in her consultation notes of January 28, 2009 that the plaintiff likely had some psoriatic arthritis in 2003, based on evidence of the plaintiff's pre-accident plantar fascitis: "... one could not claim that the accident led to the development of psoriatic arthritis." However, his pre-accident psoriatic condition she thought mild. She opined that he would have been able to complete his apprenticeship and work as a plumber. In her report, she wrote that "causality of onset cannot be proven, [but] causality of deterioration is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Gladman explained that injury can affect the whole course of a disease, changing a mild one to a progressively disruptive form of arthritis. When asked about the ultimate course of his disease without the accident, she declined to do so, saying that it was impossible to predict. From all the medical evidence considered as a whole, I understand that the disease is not curable; over time it can follow a variety of courses that are not permanently set. However, once the joints of the body are affected by psoriatic arthritis, the damage done cannot be completely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Gladman said that when she saw the plaintiff on January 27, 2008 his coverage was at 90% and his PASI score was 37.3 (the typical score is 6); together making this the worse case she had seen in 30 years, significant since she heads the largest clinic in Canada devoted to treatment of psoriatic arthritis. I note that when dermatologist Dr. Hong saw the plaintiff on February 12, 2009, coverage had abated to 55%, but this was still among the worse he had seen in his practice as well. Defence counsel challenged the accuracy of Dr. Gladman's estimate, pointing out Dr. Gladman's evidence that the estimate of a dermatologist would be more accurate. However, the evidence also shows that coverage can wax and wane to some extent, and the PASI score measured by Dr. Gladman was also elevated, so I do not see that some variation from one visit to another should be that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Gladman rejected defence counsel's suggestion that the plaintiff's condition did not significantly worsen until the summer following the accident, a period when he had been working hard as an apprentice, albeit with difficulty. She pointed to the clinical note of foot problems in January 2006, with the elevated levels of inflammation measured at that time. In addition, there is the accepted evidence of the plaintiff that he experienced a flare-up that included various joint complaints within three months of the accident. As far as identifying specific joints affected by the psoriatic arthritis were concerned, she said did not pay much attention to any particular one: "Once you have arthritis, you have arthritis; it can happen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Defence counsel drew Dr. Gladman's attention to the pre-accident history. As far as the pre-accident history, with its indications of some severe episodes of psoriasis, she stated that she "wasn't interested in that" because psoriasis can fluctuate in the way reflected in the plaintiff's clinical records, and she was "more concerned about the psoriatic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her medical legal report Dr. Gladman described the "Kobner Phenomena," ("the KoPhen") and theories based on it, all stemming from the observation that if you injure a previously clear area of the skin of a person with psoriasis, it will develop in the injured area. She explained that many investigators thought that psoriatic arthritis was a "deep internalization of the KoPhen," so that it is the joints, not only the skin that can be affected by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At trial, Dr. Gladman explained that though the KoPhen is usually seen as a result of physical trauma, the psoriatic effect of trauma proposed by the phenomena can be physical or emotional; psoriasis and psoriatic arthritis can be aggravated by emotional events or stress, through the immunological abnormalities that ensue. She explained that although the cause of psoriasis has not been determined definitively, "the consensus is that it is an immune system mediated disease." I note there that there was little if any defence expert resistance to the suggestion of the </w:t>
      </w:r>
      <w:r>
        <w:rPr>
          <w:rFonts w:ascii="arial" w:eastAsia="arial" w:hAnsi="arial" w:cs="arial"/>
          <w:i/>
          <w:color w:val="000000"/>
          <w:sz w:val="20"/>
          <w:lang w:val="en-US" w:eastAsia="en-US" w:bidi="ar-SA"/>
        </w:rPr>
        <w:t>exacerbating</w:t>
      </w:r>
      <w:r>
        <w:rPr>
          <w:rFonts w:ascii="arial" w:eastAsia="arial" w:hAnsi="arial" w:cs="arial"/>
          <w:color w:val="000000"/>
          <w:sz w:val="20"/>
          <w:lang w:val="en-US" w:eastAsia="en-US" w:bidi="ar-SA"/>
        </w:rPr>
        <w:t xml:space="preserve"> effects of stress and emotional trauma on the disease, as opposed to the more contested theory of the </w:t>
      </w:r>
      <w:r>
        <w:rPr>
          <w:rFonts w:ascii="arial" w:eastAsia="arial" w:hAnsi="arial" w:cs="arial"/>
          <w:i/>
          <w:color w:val="000000"/>
          <w:sz w:val="20"/>
          <w:lang w:val="en-US" w:eastAsia="en-US" w:bidi="ar-SA"/>
        </w:rPr>
        <w:t>initiating</w:t>
      </w:r>
      <w:r>
        <w:rPr>
          <w:rFonts w:ascii="arial" w:eastAsia="arial" w:hAnsi="arial" w:cs="arial"/>
          <w:color w:val="000000"/>
          <w:sz w:val="20"/>
          <w:lang w:val="en-US" w:eastAsia="en-US" w:bidi="ar-SA"/>
        </w:rPr>
        <w:t xml:space="preserve"> causative effect of physical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Much trial time was taken with questioning in relation to scientific literature cited by Dr. Gladman in her medical report with respect to the relationship between trauma and onset of psoriatic arthritis. Dr. Gladman cited this literature in support of her opinion that the plaintiff's psoriatic conditions worsened after the accident and were both caused by it. For brevity's sake I will refer to the studies as Scarpa 1992, Pattison 2008, Punzi 1998 and Oliveri 2008. The first three researched the KoPhen. The Oliveri report is a commentary/editorial written by a respected Italian expert and published in </w:t>
      </w:r>
      <w:r>
        <w:rPr>
          <w:rFonts w:ascii="arial" w:eastAsia="arial" w:hAnsi="arial" w:cs="arial"/>
          <w:i/>
          <w:color w:val="000000"/>
          <w:sz w:val="20"/>
          <w:lang w:val="en-US" w:eastAsia="en-US" w:bidi="ar-SA"/>
        </w:rPr>
        <w:t>Rheumatology Journal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These studies, mentioned in the Oliveri editorial, were limited by their retrospective methodologies, small samples, definitions used in the studies and other design flaws identified by Dr. Esdaile. Dr. Gladman acknowledged these limitations, but pointed out that the cost of a large prospective study of an "uncommon antropathy such as psoriatic arthritis" would be over $5 million and last 30 years, opining that therefore "no one is going to do it." She pointed to results in some of the studies that showed a relationship between physical and psychological trauma and psoriatic arthritis, and suggested that this was "not the end of research, but the beginning" -- her suggestion being that so far as the research goes, it does lend support to a relationship between trauma and psoriatic arthritis onset.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Dr. Gladman further acknowledged that the studies looked at the relationship between </w:t>
      </w:r>
      <w:r>
        <w:rPr>
          <w:rFonts w:ascii="arial" w:eastAsia="arial" w:hAnsi="arial" w:cs="arial"/>
          <w:i/>
          <w:color w:val="000000"/>
          <w:sz w:val="20"/>
          <w:lang w:val="en-US" w:eastAsia="en-US" w:bidi="ar-SA"/>
        </w:rPr>
        <w:t>initial onset</w:t>
      </w:r>
      <w:r>
        <w:rPr>
          <w:rFonts w:ascii="arial" w:eastAsia="arial" w:hAnsi="arial" w:cs="arial"/>
          <w:color w:val="000000"/>
          <w:sz w:val="20"/>
          <w:lang w:val="en-US" w:eastAsia="en-US" w:bidi="ar-SA"/>
        </w:rPr>
        <w:t xml:space="preserve"> and trauma, not </w:t>
      </w:r>
      <w:r>
        <w:rPr>
          <w:rFonts w:ascii="arial" w:eastAsia="arial" w:hAnsi="arial" w:cs="arial"/>
          <w:i/>
          <w:color w:val="000000"/>
          <w:sz w:val="20"/>
          <w:lang w:val="en-US" w:eastAsia="en-US" w:bidi="ar-SA"/>
        </w:rPr>
        <w:t>exacerbation of an existing condition</w:t>
      </w:r>
      <w:r>
        <w:rPr>
          <w:rFonts w:ascii="arial" w:eastAsia="arial" w:hAnsi="arial" w:cs="arial"/>
          <w:color w:val="000000"/>
          <w:sz w:val="20"/>
          <w:lang w:val="en-US" w:eastAsia="en-US" w:bidi="ar-SA"/>
        </w:rPr>
        <w:t>, which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 Dr. J.M. Esdaile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Defence-called rheumatologist Dr. Esdaile was of one mind with Dr. Gladman in concluding that the plaintiff had early manifestations of psoriatic arthritis in 2003, but disagreed that it was of a very limited nature. In his December 4, 2008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severe arthritis] is not the result of the motor vehicle accident. He has had severe psoriasis in the past. It is likely the result of an absence of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psoriasis and psoriatic arthritis would likely have progressed in a similar manner to that which has occurred in the absence of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commented on [the plaintiff's] psychological status as I am not a psychiatrist. Pg.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essence, Dr. Esdaile attributes the plaintiff's indisputably worsened psoriasis and psoriatic arthritis post-accident only to the fact that he had severe arthritis in the past, the premise that it would naturally worsen, and to the plaintiff's failure to seek treatment. However, I note that Dr. Esdaile did not review the pre-accident Willow Clinic records, and neither did he appear to consider the fact that the plaintiff had not received intensive treatment in the nearly two years pre-accident, this at a time when he had been engaged in heavy work for several months pre-accident without obvious direct adverse effect on his psoriasis. Further, I find the evidence lends no support to a conclusion other than that his pre-accident psoriatic arthritis was very mild. Further, I prefer Dr. Gladman's opinion that the natural progression of the disease is not fixed. Where the opinions of Dr. Gladman conflicts with those of Dr. Esdaile and Dr. Shojania, I prefer Dr. Gladman's opinion, not only because I found it more persuasive, but also considering her vastly greater experience in dealing with psoriatic arthritic patients with the level of severity exhibited by the plaintiff. She has been the director of the Toronto Psoriatic Arthritis Clinic since 1978, which is the only clinic of its kind. She currently treats over 1000 patients with psoriatic arthritis registered at this clinic and also conducts clinical research. Finally, Dr. Esdaile, who sees few patients suffering from psoriatic arthritis -- his area of focus is rheumatoid arthritis -- acknowledged her as the top clinician in Canada, with vastly more experience than any other clinician. Further, she has conducted primary research in this field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 respect to psychological stressors, Dr. Esdaile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Major stress such as death of a parent, spouse, child or other close family member, or divorce, can cause a short lived exacerbation of both psoriasis and arthritis. These are generally self-limited and the medical importance is not to respond excessively to what will be a self-limited episode. Pg.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agrees therefore that stress can exacerbate psoriasis and psoriatic arthritis, but disagrees with Dr. Gladman that exacerbations are not self-limited and may alter the course of the disease. I prefer the opinion of Dr. Gladman, which I note also is lent support by Dr. Shuckett and Dr. Hong. To this point in the evidence, I found at least some consensus that stress can exacerbate either/both psoriasis and psoriatic arthritis, the only dividing issue being whether the effect of stress is self-limiting.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 Dr. Rhonda Shuckett,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her January 29, 2008 report Dr. Shuckett, writing before Dr. Gladman became involved, stated that trauma can set off psoriasis and make it more extensive. She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close onset of development of new symptoms of psoriatic arthritis in the direct aftermath of the MVA suggests to me that the physical trauma as well as emotional trauma of the MVA has set off new onset of psoriatic arthritis in this patient. Pg.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Shuckett referenced some of the same medical literature referred to by Dr. Gladman, along with three others, including one co-authored by Dr. Gladman.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With respect to the relationship between stress and inflammation/ exacerbation of psoriatic conditions, Dr. Shuckett explained that based largely on clinical experience, recognition of this physiologic response in arthritis is well entrenched among rheumatologists. However, she explained that the science in this area is becoming increasingly "elegant," with a good understanding developing about the effects of stress on the immune system and inflammatory processes. The research in this area is evidently both complex and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Shuckett acknowledged that the plaintiff did have plantar fascitis with heel pain before the MVA and that this could have been a manifestation of psoriatic arthritis, but she understood that he did not have ankle or foot pain before the MVA. As noted, the plaintiff did not recall significant foot pain after the fitting of orthotics, and it does appear that his symptoms were not particularly significant, certainly not interfering with his capacity to carry out any work on his feet all day. In any case, there was a pre-accident manifestation of psoriatic arthritis that on the evidence I have found was at times quiescent, other times symptomatic, not getting worse and not preventing him from working hard on his feet all day. As for the time of onset of the psoriatic arthritis, Dr. Shuckett understood that it did not come on immediately after the accident, but "soon after," understood to be within the "first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 Dr. K. Shojania,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filed Shojania's April 8, 2008 medical legal report in answer to Dr. Shuckett's opinion. Dr. Shojania acknowledged that the KoPhen could explain the plaintiff's onset of symptoms if the phenomena existed but felt that the flare-up of the plaintiff's symptoms came on too late post-accident to be related. Dr. Shojania did not examine the plaintiff. On cross-examination he agreed that his clinical practice did not focus on psoriatic arthritis, and that the experience of both himself and Dr. Esdaile, who he had worked with, was "nowhere near that of Dr. Gladman." He was not familiar either with all of the studies put to him by plaintiff's counsel. He also stated that stress and post traumatic stress disorder were outside his area of expertise and he felt unqualified to comment on the relationship between emotion and exacerbation of 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 Dr. Hong, Dermatologist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a dermatologist Dr. Hong treats only the skin, referring patients to rheumatologists for diagnosis and treatment of arthritis, should that develop. He explained that there are "no rules for the treatment of psoriasis." He said that psoriasis patients often go untreated. In the plaintiff's case, he felt that it was unlikely that topical therapy alone was going to be effective, given his extensive condition. At minimum, the plaintiff required phototherapy for controlling his psoriasis, plus immune-suppressive medication. He noted that when he was treated with phototherapy his condition improved, but explained that phototherapy treatment has no effect on the joint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for triggering factors, he explained that in only a small number of cases is it possible to identify triggering factors such as bacterial infection. Many internationally recognized experts disagree on what the triggering factors are, although he explained (as did also Dr. Shuckett), that it is now thought to be the result of "an imbalance in the underlying cutaneous immune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for stress as a triggering factor, Dr. Hong explained that stress, whether physical, such as trauma to the skin, or psychological stress or a combination of both, is "well recognized among dermatologists to worsen these disorders." He said that physical trauma inducing psoriasis is well documented and "has been well recognized for many years by physicians," citing the classic KoPhen example of development of new psoriasis at the site of a surgical incision point. He pointed out that usually the duration of psoriasis, say from a blunt trauma such as force from seatbelt restraint or airbag deployment, would usually be temporary and confined to the area of a lesion. He did not specifically comment on the deep KoPhen discussed by the rheumatologists.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As for causation in the plaintiff's case, he opined, considering the progressive worsening and diffuse spread over his body, and "being that it is now several years following the initial injury, that it was the </w:t>
      </w:r>
      <w:r>
        <w:rPr>
          <w:rFonts w:ascii="arial" w:eastAsia="arial" w:hAnsi="arial" w:cs="arial"/>
          <w:i/>
          <w:color w:val="000000"/>
          <w:sz w:val="20"/>
          <w:lang w:val="en-US" w:eastAsia="en-US" w:bidi="ar-SA"/>
        </w:rPr>
        <w:t>degree of underlying stress that is continuing to exacerbate the psoriasis."</w:t>
      </w:r>
      <w:r>
        <w:rPr>
          <w:rFonts w:ascii="arial" w:eastAsia="arial" w:hAnsi="arial" w:cs="arial"/>
          <w:color w:val="000000"/>
          <w:sz w:val="20"/>
          <w:lang w:val="en-US" w:eastAsia="en-US" w:bidi="ar-SA"/>
        </w:rPr>
        <w:t xml:space="preserve"> Although "the natural history of psoriasis is to wax and wane over time," he attributed the worsening of the plaintiff's condition to the "degree of psychological stress" that the accident had caused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 Discussion of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Though I do not agree with the defence submission that the evidence </w:t>
      </w:r>
      <w:r>
        <w:rPr>
          <w:rFonts w:ascii="arial" w:eastAsia="arial" w:hAnsi="arial" w:cs="arial"/>
          <w:i/>
          <w:color w:val="000000"/>
          <w:sz w:val="20"/>
          <w:lang w:val="en-US" w:eastAsia="en-US" w:bidi="ar-SA"/>
        </w:rPr>
        <w:t>"overwhelmingly"</w:t>
      </w:r>
      <w:r>
        <w:rPr>
          <w:rFonts w:ascii="arial" w:eastAsia="arial" w:hAnsi="arial" w:cs="arial"/>
          <w:color w:val="000000"/>
          <w:sz w:val="20"/>
          <w:lang w:val="en-US" w:eastAsia="en-US" w:bidi="ar-SA"/>
        </w:rPr>
        <w:t xml:space="preserve"> supports the contention that the plaintiff had psoriatic arthritis before the accident, I have found on the balance of probabilities that it likely was an early manifestation.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defence argues that the scientific literature cited by the plaintiff's experts, particularly Dr. Gladman, neither demonstrates a relationship between trauma and onset of psoriatic arthritis nor supports her opinion, which counsel submits was "based on that alone and must fall with the failed proof of the scientific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the trier of fact, I do not see this case turning completely one way or the other on the scientific literature; cases seldom do. From the literature reviewed and the considerable time spent on examination and cross-examination on it, it was obvious that the investigators themselves believe there is a connection between physical and emotional trauma and onset of psoriatic arthritis there to be empirically shown. Some of the (better) studies find supporting data, but not all; all the studies are flawed in various ways, some of the flaws discernible without expert assistance. These are, however, the best studies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Scientific literature in given fields may offer widely varying degrees of empirically rich probative information, and no authority is needed to justify say that even perfectly designed generously endowed ones producing relatively clear findings will not pre-eminently conclusive in the courtroom -- especially unless the results are then gathered into a clear consensus within the specialist scientific community. And there also, one would logically still expect clinical experience to play some part in the formation of that consensus. Further, while it is apparent that Dr. Gladman cited research in support of her opinion, as did Dr. Shuckett, it remained an opinion that remained foundationally formed around her knowledge of the disease and thirty years of clinical experience and study. It is obviously appropriate for a specialist to make reference to the best available scientific literature; they might be subject to criticism for not doing so in some cases; but citing it does not necessarily automatically signal that it has become the only foundation for the opinion expressed, which it evidently was not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What strikes most about the scientific literature referred to at trial is that the </w:t>
      </w:r>
      <w:r>
        <w:rPr>
          <w:rFonts w:ascii="arial" w:eastAsia="arial" w:hAnsi="arial" w:cs="arial"/>
          <w:i/>
          <w:color w:val="000000"/>
          <w:sz w:val="20"/>
          <w:lang w:val="en-US" w:eastAsia="en-US" w:bidi="ar-SA"/>
        </w:rPr>
        <w:t>hypothesis</w:t>
      </w:r>
      <w:r>
        <w:rPr>
          <w:rFonts w:ascii="arial" w:eastAsia="arial" w:hAnsi="arial" w:cs="arial"/>
          <w:color w:val="000000"/>
          <w:sz w:val="20"/>
          <w:lang w:val="en-US" w:eastAsia="en-US" w:bidi="ar-SA"/>
        </w:rPr>
        <w:t xml:space="preserve"> has drawn so much research attention, presumably a reflection of what the Oliveri editorial, also subject of much discussion at trial, says: "Trauma has long been thought to play a triggering role in various types of inflammatory arthritis including psoriatic arthritis." Naturally, and as acknowledged by more than one expert testifying, research often follows on clinical experience or observations already made in the field. In this case, a belief based on clinical experience that physical or psychological trauma can initiate or influence the course of both psoriasis and psoriatic arthritis, is one, based on the sufficiently weighty evidence heard in this case, widely held among dermatologists and rheumatologists in their respective fields. Even defence-called specialist Dr. Esdaile acknowledges that psychological stress can exacerbate the condition, demurring only on the question of whether the exacerbation can have lasting effect, or influence the long term course of the disease, which Dr. Gladman felt could occur in some cases. Of course, (how lasting the lasting effect becomes) will turn on a number of factors such as the persistence of the stressors and available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defendants argue that in the absence of conclusive medical literature Dr. Gladman's opinion regarding the causal connection between trauma and the aggravation of psoriatic arthritis is a novel scientific theory and should be given little weight and viewed with scepticism. Counsel referred me to Binnie J.A.'s comments in </w:t>
      </w:r>
      <w:r>
        <w:rPr>
          <w:rFonts w:ascii="arial" w:eastAsia="arial" w:hAnsi="arial" w:cs="arial"/>
          <w:i/>
          <w:color w:val="000000"/>
          <w:sz w:val="20"/>
          <w:lang w:val="en-US" w:eastAsia="en-US" w:bidi="ar-SA"/>
        </w:rPr>
        <w:t>R. v. J.L.J.</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2000 SCC 51</w:t>
        </w:r>
      </w:hyperlink>
      <w:r>
        <w:rPr>
          <w:rFonts w:ascii="arial" w:eastAsia="arial" w:hAnsi="arial" w:cs="arial"/>
          <w:color w:val="000000"/>
          <w:sz w:val="20"/>
          <w:lang w:val="en-US" w:eastAsia="en-US" w:bidi="ar-SA"/>
        </w:rPr>
        <w:t xml:space="preserve">, in which he adopted some of the factors from </w:t>
      </w:r>
      <w:r>
        <w:rPr>
          <w:rFonts w:ascii="arial" w:eastAsia="arial" w:hAnsi="arial" w:cs="arial"/>
          <w:i/>
          <w:color w:val="000000"/>
          <w:sz w:val="20"/>
          <w:lang w:val="en-US" w:eastAsia="en-US" w:bidi="ar-SA"/>
        </w:rPr>
        <w:t>Daubert v. Merrell Dow Pharmaceuticals, Inc.</w:t>
      </w:r>
      <w:r>
        <w:rPr>
          <w:rFonts w:ascii="arial" w:eastAsia="arial" w:hAnsi="arial" w:cs="arial"/>
          <w:color w:val="000000"/>
          <w:sz w:val="20"/>
          <w:lang w:val="en-US" w:eastAsia="en-US" w:bidi="ar-SA"/>
        </w:rPr>
        <w:t>, 509 U.S. 579 (1993) as useful in assessing the soundness of novel science. These were: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can be and has been tested: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Scientific methodology today is based on generating hypotheses and testing them to see if they can be falsified; indeed, this methodology is what distinguishes science from other fields of human inquiry.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has been subjected to peer review and publication: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[S]ubmission to the scrutiny of the scientific community is a component of "good science," in part because it increases the likelihood that substantive flaws in methodology will be detected.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known or potential rate of error or the existence of standards;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used has been generally accepted: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"reliability assessment does not require, although it does permit, explicit identification of a relevant scientific community and an express determination of a particular degree of acceptance within that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essence, the defendants' argument is that as the hypothesis put forward by Dr. Gladman has not been tested or conclusively proven it should be given little weight. The question is not that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Firstly, the issue at stake in </w:t>
      </w:r>
      <w:r>
        <w:rPr>
          <w:rFonts w:ascii="arial" w:eastAsia="arial" w:hAnsi="arial" w:cs="arial"/>
          <w:i/>
          <w:color w:val="000000"/>
          <w:sz w:val="20"/>
          <w:lang w:val="en-US" w:eastAsia="en-US" w:bidi="ar-SA"/>
        </w:rPr>
        <w:t>J.L.J.</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Taylor v. Liong</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2007 BCSC 231</w:t>
        </w:r>
      </w:hyperlink>
      <w:r>
        <w:rPr>
          <w:rFonts w:ascii="arial" w:eastAsia="arial" w:hAnsi="arial" w:cs="arial"/>
          <w:color w:val="000000"/>
          <w:sz w:val="20"/>
          <w:lang w:val="en-US" w:eastAsia="en-US" w:bidi="ar-SA"/>
        </w:rPr>
        <w:t xml:space="preserve"> (also relied upon by the defendants) was admissibility. The comments of Binnie J. are therefore relevant to the weighing of the </w:t>
      </w:r>
      <w:r>
        <w:rPr>
          <w:rFonts w:ascii="arial" w:eastAsia="arial" w:hAnsi="arial" w:cs="arial"/>
          <w:i/>
          <w:color w:val="000000"/>
          <w:sz w:val="20"/>
          <w:lang w:val="en-US" w:eastAsia="en-US" w:bidi="ar-SA"/>
        </w:rPr>
        <w:t>threshold reliability</w:t>
      </w:r>
      <w:r>
        <w:rPr>
          <w:rFonts w:ascii="arial" w:eastAsia="arial" w:hAnsi="arial" w:cs="arial"/>
          <w:color w:val="000000"/>
          <w:sz w:val="20"/>
          <w:lang w:val="en-US" w:eastAsia="en-US" w:bidi="ar-SA"/>
        </w:rPr>
        <w:t xml:space="preserve"> of an expert opinion when that opinion is based upon what is considered novel science. Admissibility has not been argued in this case. I heard no argument regarding the </w:t>
      </w:r>
      <w:r>
        <w:rPr>
          <w:rFonts w:ascii="arial" w:eastAsia="arial" w:hAnsi="arial" w:cs="arial"/>
          <w:i/>
          <w:color w:val="000000"/>
          <w:sz w:val="20"/>
          <w:lang w:val="en-US" w:eastAsia="en-US" w:bidi="ar-SA"/>
        </w:rPr>
        <w:t>necessity</w:t>
      </w:r>
      <w:r>
        <w:rPr>
          <w:rFonts w:ascii="arial" w:eastAsia="arial" w:hAnsi="arial" w:cs="arial"/>
          <w:color w:val="000000"/>
          <w:sz w:val="20"/>
          <w:lang w:val="en-US" w:eastAsia="en-US" w:bidi="ar-SA"/>
        </w:rPr>
        <w:t xml:space="preserve"> of hearing Dr. Gladman's opinion about an inference that trauma can aggravate an existing psoriatic arthritis. There is no question that Dr. Gladman is eminently qualified to speak to the effects of trauma on psoriasis and psoriatic arthritis. Further, this is not a case in which "a known technique ... has been able to attract only minimal support within the community" - to the contrary, the connection between trauma and psoriasis is a widely held belief in the scientific community. It is therefore easily passes the threshold admissibility test. Put another way, I do not find the "level of uncertainty" surrounding Dr. Gladman's evidence to be unacceptable: </w:t>
      </w:r>
      <w:r>
        <w:rPr>
          <w:rFonts w:ascii="arial" w:eastAsia="arial" w:hAnsi="arial" w:cs="arial"/>
          <w:i/>
          <w:color w:val="000000"/>
          <w:sz w:val="20"/>
          <w:lang w:val="en-US" w:eastAsia="en-US" w:bidi="ar-SA"/>
        </w:rPr>
        <w:t>Wolfin v. Shaw</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(1998) 43 B.C.L.R. (3d) 190</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Secondly, as explained in </w:t>
      </w:r>
      <w:r>
        <w:rPr>
          <w:rFonts w:ascii="arial" w:eastAsia="arial" w:hAnsi="arial" w:cs="arial"/>
          <w:i/>
          <w:color w:val="000000"/>
          <w:sz w:val="20"/>
          <w:lang w:val="en-US" w:eastAsia="en-US" w:bidi="ar-SA"/>
        </w:rPr>
        <w:t>R. v. Terceira</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(1998), 38 O.R. (3d) 175</w:t>
        </w:r>
      </w:hyperlink>
      <w:r>
        <w:rPr>
          <w:rFonts w:ascii="arial" w:eastAsia="arial" w:hAnsi="arial" w:cs="arial"/>
          <w:color w:val="000000"/>
          <w:sz w:val="20"/>
          <w:lang w:val="en-US" w:eastAsia="en-US" w:bidi="ar-SA"/>
        </w:rPr>
        <w:t xml:space="preserve"> (C.A.) affi'd </w:t>
      </w:r>
      <w:hyperlink r:id="rId560" w:history="1">
        <w:r>
          <w:rPr>
            <w:rFonts w:ascii="arial" w:eastAsia="arial" w:hAnsi="arial" w:cs="arial"/>
            <w:i/>
            <w:color w:val="0077CC"/>
            <w:sz w:val="20"/>
            <w:u w:val="single"/>
            <w:shd w:val="clear" w:color="auto" w:fill="FFFFFF"/>
            <w:lang w:val="en-US" w:eastAsia="en-US" w:bidi="ar-SA"/>
          </w:rPr>
          <w:t>[1999] 3 S.C.R. 866</w:t>
        </w:r>
      </w:hyperlink>
      <w:r>
        <w:rPr>
          <w:rFonts w:ascii="arial" w:eastAsia="arial" w:hAnsi="arial" w:cs="arial"/>
          <w:color w:val="000000"/>
          <w:sz w:val="20"/>
          <w:lang w:val="en-US" w:eastAsia="en-US" w:bidi="ar-SA"/>
        </w:rPr>
        <w:t xml:space="preserve"> at p.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unwise to define the threshold test of reliability with the precision advanced by the scientific community. Rather, the threshold test of reliability must remain capable of adaptation to changing circumstances and realities.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such, in the face of the studies establishing a connection between trauma and psoriasis, the wide provisional acceptance of Dr. Gladman's hypothesis, I do not find the lack of any conclusive study fatal either to the admissibility or the weight of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defence also criticized what was characterized as Dr. Gladman distancing herself from the studies she had cited herself "when their shortcomings were highlighted." I did not view the tenor of her evidence in that way. Dr. Gladman was clearly familiar with all the details of the studies and did not dispute their demonstrated shortcomings. She did interpret them as offering support for the hypothesis, which in some measure they do, making allowance for their design flaws.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As another example of alleged distancing, the defence also criticized distinctions that Dr. Gladman made between </w:t>
      </w:r>
      <w:r>
        <w:rPr>
          <w:rFonts w:ascii="arial" w:eastAsia="arial" w:hAnsi="arial" w:cs="arial"/>
          <w:i/>
          <w:color w:val="000000"/>
          <w:sz w:val="20"/>
          <w:lang w:val="en-US" w:eastAsia="en-US" w:bidi="ar-SA"/>
        </w:rPr>
        <w:t>causing</w:t>
      </w:r>
      <w:r>
        <w:rPr>
          <w:rFonts w:ascii="arial" w:eastAsia="arial" w:hAnsi="arial" w:cs="arial"/>
          <w:color w:val="000000"/>
          <w:sz w:val="20"/>
          <w:lang w:val="en-US" w:eastAsia="en-US" w:bidi="ar-SA"/>
        </w:rPr>
        <w:t xml:space="preserve"> the condition and </w:t>
      </w:r>
      <w:r>
        <w:rPr>
          <w:rFonts w:ascii="arial" w:eastAsia="arial" w:hAnsi="arial" w:cs="arial"/>
          <w:i/>
          <w:color w:val="000000"/>
          <w:sz w:val="20"/>
          <w:lang w:val="en-US" w:eastAsia="en-US" w:bidi="ar-SA"/>
        </w:rPr>
        <w:t>exacerbating</w:t>
      </w:r>
      <w:r>
        <w:rPr>
          <w:rFonts w:ascii="arial" w:eastAsia="arial" w:hAnsi="arial" w:cs="arial"/>
          <w:color w:val="000000"/>
          <w:sz w:val="20"/>
          <w:lang w:val="en-US" w:eastAsia="en-US" w:bidi="ar-SA"/>
        </w:rPr>
        <w:t xml:space="preserve"> it; this when she was confronted with the Oliveri editorial and Dr. Oliveri's proposal that criteria for imputing the </w:t>
      </w:r>
      <w:r>
        <w:rPr>
          <w:rFonts w:ascii="arial" w:eastAsia="arial" w:hAnsi="arial" w:cs="arial"/>
          <w:i/>
          <w:color w:val="000000"/>
          <w:sz w:val="20"/>
          <w:lang w:val="en-US" w:eastAsia="en-US" w:bidi="ar-SA"/>
        </w:rPr>
        <w:t>onset of arthritis</w:t>
      </w:r>
      <w:r>
        <w:rPr>
          <w:rFonts w:ascii="arial" w:eastAsia="arial" w:hAnsi="arial" w:cs="arial"/>
          <w:color w:val="000000"/>
          <w:sz w:val="20"/>
          <w:lang w:val="en-US" w:eastAsia="en-US" w:bidi="ar-SA"/>
        </w:rPr>
        <w:t xml:space="preserve"> to trauma should include a short delay between trauma and onset. I did not see that the distinction that Dr. Gladman made between onset and exacerbation reflected on the logical integrity of her position. The investigators were studying </w:t>
      </w:r>
      <w:r>
        <w:rPr>
          <w:rFonts w:ascii="arial" w:eastAsia="arial" w:hAnsi="arial" w:cs="arial"/>
          <w:i/>
          <w:color w:val="000000"/>
          <w:sz w:val="20"/>
          <w:lang w:val="en-US" w:eastAsia="en-US" w:bidi="ar-SA"/>
        </w:rPr>
        <w:t>onset;</w:t>
      </w:r>
      <w:r>
        <w:rPr>
          <w:rFonts w:ascii="arial" w:eastAsia="arial" w:hAnsi="arial" w:cs="arial"/>
          <w:color w:val="000000"/>
          <w:sz w:val="20"/>
          <w:lang w:val="en-US" w:eastAsia="en-US" w:bidi="ar-SA"/>
        </w:rPr>
        <w:t xml:space="preserve"> none of the studies dealt with exacerbations. Dr. Oliveri was, after all, suggesting design criteria for future research relating to onset. And I note that in the case of emotional trauma and </w:t>
      </w:r>
      <w:r>
        <w:rPr>
          <w:rFonts w:ascii="arial" w:eastAsia="arial" w:hAnsi="arial" w:cs="arial"/>
          <w:i/>
          <w:color w:val="000000"/>
          <w:sz w:val="20"/>
          <w:lang w:val="en-US" w:eastAsia="en-US" w:bidi="ar-SA"/>
        </w:rPr>
        <w:t>on-going stress</w:t>
      </w:r>
      <w:r>
        <w:rPr>
          <w:rFonts w:ascii="arial" w:eastAsia="arial" w:hAnsi="arial" w:cs="arial"/>
          <w:color w:val="000000"/>
          <w:sz w:val="20"/>
          <w:lang w:val="en-US" w:eastAsia="en-US" w:bidi="ar-SA"/>
        </w:rPr>
        <w:t>, the time of the initiating trauma is an issue unto itself. I do not agree Dr. Gladman distanced her opinion from the studies she had cited, but simply pointed out that they dealt with onset and that for time of onset in studies on the initiation of the disease, different criteria could be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criticized Dr. Gladman's statement that "there is no statute of limitation on the length of time from the time of trauma to the development of the condition or the duration of the condition." Counsel pointed out that this is not supported by any scientific literature; and said that this was an illogical statement. However, I note that this evidence was offered primarily in the context of questioning about 'the duration of the flare-up,' and in response to Dr. Esdaile's comment that the duration of an exacerbation would be short-lived. Further, placing a gloss on the 'statute of limitations' expression used by Dr. Gladman so as to mean that she was suggesting that the duration of time between the trauma is irrelevant conflicts with other testimony she gave. She acknowledged that when considering onset in relation to the time of trauma, the closer the time of onset to trauma, the greater the chance it was caused by it; and she also explained that in her opinion this "could be up to three years because psoriatic arthritis doesn't necessarily develop overnight." Considering Dr. Gladman's evidence as a whole, and especially what is relevant in this case, I took her to be saying, in effect, that the effects of trauma are not necessarily short lived but can influence the long term course of the disease. I did not find that she had become an advocate, rejecting without reason contrary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submit that no scientific data supports stress as an aggravating factor for psoriatic arthritis, as distinct from skin psoriasis. I commented earlier on stress as exacerbating factor; I cannot accept this defence argument. The scientific literature cited specifically references stress as a potential inciter of psoriatic arthritis. There does not appear to be any focused investigations that study the relationship between stress and exacerbations; but an absence of published research is far from determinative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already noted, some of the defendants own experts, such as Dr. O'Shaughnessy, acknowledged a connection between stress and exacerbation of a number of diseases (though he felt unqualified to comment on psoriasis as he had too little experience with that condition). However, Dr. O'Shaughnessy agreed that it was well recognized that the skin, like the heart, reacts strongly and reliably to stress, as evidenced by extensive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Given the evidence before me from rheumatologists and dermatologists, as well as Dr. O'Shaughnessy and other experts called, there are sound and substantial reasons for concluding that emotional trauma/stress, as well as physical trauma, may exacerbate both psoriasis and psoriatic arthritis,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With respect to the timing of the worsening of the plaintiff's psoriasis, defence counsel first submits that the plaintiff's worsened psoriasis symptoms arose well after the accident, that these symptoms related to his pre-existing condition; and that they followed a pattern similar to what the plaintiff had seen in the past. Counsel submits that any worsening is more likely due to factors unconnected with the defendants and the fault of no one but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However, I find the evidence, including the plaintiff's, persuades that the plaintiff's psoriasis and psoriatic arthritis worsened sufficiently soon after the accident. When Dr. Suleiman saw the plaintiff on November 12, 2005, he noted an extensive flare-up. This contrasts to the previous visit in June 2005, when he presented with a minor form of psoriasis "... more of scalp itchiness". He was referred to Dr. Hong, whose evidence I have already referred to. It is somewhat significant that the plaintiff had not had intensive phototherapy at the Willow Clinic since April 2004. A referral for treatment by Dr. Albrecht was made May 5, 2005, so some day care treatment must have been thought advisable at the time, but the fact remains that none took place; and the plaintiff managed without it. In any case, the plaintiff was functioning fairly well, comparatively speaking, even without the usual day care intensive treatment, when seen last seen by Dr. Suleiman pre-accident in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Alternatively, the defendants, conceding for argument's sake that there was a worsening in early 2005, says that this was followed by beneficial treatment at the Willow Clinic, with no further flare-ups reported until after the Summer of 2006. As mentioned earlier, several experts explained that there is a natural waxing and waning pattern associated with the disease. Further, the beneficial effects of summer sun on psoriasis has been established by the evidence. It is therefore not the waxing and waning of the plaintiff's condition, but the over-all changes he has experienced following the accident that should be the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is also true that he did suffer from serious psoriases (at times) that pre-dated the accident, but the evidence does not support a conclusion that it was "</w:t>
      </w:r>
      <w:r>
        <w:rPr>
          <w:rFonts w:ascii="arial" w:eastAsia="arial" w:hAnsi="arial" w:cs="arial"/>
          <w:i/>
          <w:color w:val="000000"/>
          <w:sz w:val="20"/>
          <w:lang w:val="en-US" w:eastAsia="en-US" w:bidi="ar-SA"/>
        </w:rPr>
        <w:t>bound</w:t>
      </w:r>
      <w:r>
        <w:rPr>
          <w:rFonts w:ascii="arial" w:eastAsia="arial" w:hAnsi="arial" w:cs="arial"/>
          <w:color w:val="000000"/>
          <w:sz w:val="20"/>
          <w:lang w:val="en-US" w:eastAsia="en-US" w:bidi="ar-SA"/>
        </w:rPr>
        <w:t xml:space="preserve"> to get worse" once he stopped treating it, as submitted. The evidence establishes that the course of the disease cannot be predicted that categorically. He functioned </w:t>
      </w:r>
      <w:r>
        <w:rPr>
          <w:rFonts w:ascii="arial" w:eastAsia="arial" w:hAnsi="arial" w:cs="arial"/>
          <w:i/>
          <w:color w:val="000000"/>
          <w:sz w:val="20"/>
          <w:lang w:val="en-US" w:eastAsia="en-US" w:bidi="ar-SA"/>
        </w:rPr>
        <w:t>comparatively</w:t>
      </w:r>
      <w:r>
        <w:rPr>
          <w:rFonts w:ascii="arial" w:eastAsia="arial" w:hAnsi="arial" w:cs="arial"/>
          <w:color w:val="000000"/>
          <w:sz w:val="20"/>
          <w:lang w:val="en-US" w:eastAsia="en-US" w:bidi="ar-SA"/>
        </w:rPr>
        <w:t xml:space="preserve"> well from January 2004, the date of his last period of intensive day care treatment to the date of the accident, considering that represents a gap of one year and eight months. However, I agree that it does seem likely that he would have required further treatment and likely would have derived benefit from day care treatment in January 2005, had he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What is important here is that the evidence sufficiently establishes that the plaintiff was struggling when he returned to work in mid-February 2006 experiencing joint pain and limitation that he thought he needed to hide for the sake of job security. He saw some improvement in the summer, to be expected because of the sun's benefits and the fact that he had most of June and July off work, presumably a time when he golfed and was in the sun more. As it is, I note that by early October 2006, he saw Dr. Hong, reporting a flare-up. I accept the plaintiff's evidence that over-all he had experienced a change in the pattern of the disease from a slow gradual worsening over time between treatments to one of intense flares involving both skin and joints. The basic pattern and course of the disease had manifestly altered; I accept the plaintiff's evidence that pre-accident he never had to abrade the skin for over two hours each day; that the plaques and other aspects of the disease had taken on an aggressive flaring pattern. This is not to overlook the fact that the worsening condition went largely untreated, which likely worsened his situation; but that points to questions of mitigation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Further, as also discussed below, I find that the evidence well establishes that accident-induced ongoing emotional trauma and persistent stress are the pre-dominant and most significant exacerbating factors of both the plaintiff's psoriasis and psoriatic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also reject the defence argument that the onset of psoriatic arthritis suffered by the plaintiff was too temporally removed from the accident to be related to it. There is sufficient accepted evidence to show that the plaintiff's psoriatic arthritis flared within a few weeks of the accident and involved new areas and that to the date of trial he has not returned to his pre-accident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defence argues that even if the plaintiff's psoriatic arthritis worsened in early 2005, any subsequent worsening was due to other stressors in the plaintiff's life (his mother's illness, financial stress etc.) and his failure to follow treatment recommendations. Once again, to the extent that a failure to follow treatment recommendations was a factor, this is question for mitigation of damages. The defence says that these stressors created a snowball effect, with the worsening of his condition causing stress that in turn caused worsening psoriasis, and so on. This analysis does make sense if it gives appropriate weight to the stressors relating to the plaintiff's concussive and psychological accident-induced injuries. In all events, it is argued that these non-tortious events in the plaintiff's life have overborne any effect of the accident, and that based upon the opinion of Dr. Esdaile, the plaintiff, leaving himself untreated and stressed by unrelated life events, stands where he would have been without the accident. The defence further maintains that that stress cannot change the course of the disease anyway. However, in that regard I prefer the evidence of Dr. Gladman and Dr. Shuckett and find that in some instances, it can, and here, did. I find, considering all the accepted evidence heard, that either or both of physical or emotional trauma and persistent stress can exacerbate psoriasis and psoriatic arthritis, and in some cases can influence the long term course of the disease in varying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will make findings with respect to the plaintiff's prognosis, the effect of refusals to take beneficial treatment and non-tortious stressors after considering the evidence relating to emotional trauma and stress. Given the importance of stress in this case, I will analyze this in relation to the evidence of both the lay witnesses and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ANALYSIS/DISCUSSION OF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has been subject to multiple sources of emotional trauma and stress, including obvious primary ones such as the initial pain, shock and emotional trauma of the accident and the resulting functional limitations experienced in the first weeks and months of the accident. Further, the presence of post traumatic stress disorder symptoms finds support, both from Dr. Lu, called by the plaintiff, and to a lesser extent from Dr. O'Shaughnessy, called for the defence. In Dr. O'Shaughnessy's case, he felt there were certain critical diagnostic features missing such as intrusive flashbacks and avoidance behaviour that he thought were necessary to support a full diagnosis of post traumatic stress disorder ("PTSD"). Accordingly, he opined that the evidence supported a diagnosis of sub clinical PTSD. I preferred the opinion of Dr. O'Shaughnessy to that of Dr. Lu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Further, functional limitations and manifestations of the plaintiff's brain injury, frustrations with ongoing pain and functional limitations (both psoriatic and soft tissue related), his fears, anxieties and eventual depression associated with the worsening of his psoriasis and psoriatic arthritis stand, on accepted evidence, as other potential sources of accident related stress and emotional trauma that would exacerbate the psoriasis or psoriatic arthritis. Next to these accident-related inducers of stress and emotional trauma stand the earlier mentioned allegedly non-tortious stressors. The defendants submit that if these non-tortious stressors were sufficiently stressful to account for causing a worsening of the plaintiff's condition on their own. The defendants submit also that whatever emotional trauma and stress flowed from the accident, the effect of some was spent not long after, as in the case of the concussion, or related to a failure to seek treatment, such as the plaintiff's worsening psoriasis and psoriatic arthritis and depression. Failing to seek treatment, or more accurately to follow treatment advice, remains as a matter for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 Lay witnesses evidence on the changes seen 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 number of witnesses who testified gave significant evidence describing the plaintiff's pre and post-accident functioning and/or regarding specific functional problems the plaintiff experienced after the accident. I have already referred to the evidence of Dan Walton, occupational therapist Crystal Mayfield, Director of Apprenticeship of Training, Al Philips. I turn now to the testimony of the Union business agent Brian Stocking, apprenticeship employer Rolando Casasola, friend and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co-worker Michael Hull, and </w:t>
      </w:r>
      <w:r>
        <w:rPr>
          <w:rFonts w:ascii="arial" w:eastAsia="arial" w:hAnsi="arial" w:cs="arial"/>
          <w:i/>
          <w:color w:val="000000"/>
          <w:sz w:val="20"/>
          <w:lang w:val="en-US" w:eastAsia="en-US" w:bidi="ar-SA"/>
        </w:rPr>
        <w:t>Lockerbie</w:t>
      </w:r>
      <w:r>
        <w:rPr>
          <w:rFonts w:ascii="arial" w:eastAsia="arial" w:hAnsi="arial" w:cs="arial"/>
          <w:color w:val="000000"/>
          <w:sz w:val="20"/>
          <w:lang w:val="en-US" w:eastAsia="en-US" w:bidi="ar-SA"/>
        </w:rPr>
        <w:t xml:space="preserve"> co-worker, mentor and friend Wayne Cyz; and the testimony of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Mr. Cyz, the plaintiff's former supervisor at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is well positioned to recognize changes in the plaintiff, who he has known for seven years. Mr. Cyr was the purchasing manager at </w:t>
      </w:r>
      <w:r>
        <w:rPr>
          <w:rFonts w:ascii="arial" w:eastAsia="arial" w:hAnsi="arial" w:cs="arial"/>
          <w:i/>
          <w:color w:val="000000"/>
          <w:sz w:val="20"/>
          <w:lang w:val="en-US" w:eastAsia="en-US" w:bidi="ar-SA"/>
        </w:rPr>
        <w:t>Lockerbie and Hole</w:t>
      </w:r>
      <w:r>
        <w:rPr>
          <w:rFonts w:ascii="arial" w:eastAsia="arial" w:hAnsi="arial" w:cs="arial"/>
          <w:color w:val="000000"/>
          <w:sz w:val="20"/>
          <w:lang w:val="en-US" w:eastAsia="en-US" w:bidi="ar-SA"/>
        </w:rPr>
        <w:t xml:space="preserve">, one of the largest B.C. plumbing supply companies, where he was involved in the logistics and procurement of materials. He met the plaintiff at </w:t>
      </w:r>
      <w:r>
        <w:rPr>
          <w:rFonts w:ascii="arial" w:eastAsia="arial" w:hAnsi="arial" w:cs="arial"/>
          <w:i/>
          <w:color w:val="000000"/>
          <w:sz w:val="20"/>
          <w:lang w:val="en-US" w:eastAsia="en-US" w:bidi="ar-SA"/>
        </w:rPr>
        <w:t>Lockerbie</w:t>
      </w:r>
      <w:r>
        <w:rPr>
          <w:rFonts w:ascii="arial" w:eastAsia="arial" w:hAnsi="arial" w:cs="arial"/>
          <w:color w:val="000000"/>
          <w:sz w:val="20"/>
          <w:lang w:val="en-US" w:eastAsia="en-US" w:bidi="ar-SA"/>
        </w:rPr>
        <w:t xml:space="preserve"> after the plaintiff started working there. They became friends; over time he became the plaintiff's mentor and they have remained friends and continue to socialize. He said that given the plaintiff's accumulated knowledge, dexterity, and family history he had encouraged him to "go into the field" for the "stability, opportunities, chance to supervise crews, move around the world, etc ... once you have a ticket it opens doors wherever you go." Mr. Cyr describes a winning approachable personality and willingness to move forward pre-accident. Post-accident, he became "irritable, depressed, with mood swings ... a definite change in his approach to life after the accident." He was "full of hope, with more focus pre-accident." Since the accident, he noticed memory problems and "confusion was an issue." He noticed that his psoriasis became visibly more noticeable and harder to manage after the accident: "Everything seemed to spin out of control. It has changed him." Mr. Cyr noticed these changes more about three or four months post-accident when the plaintiff had left his mother's home and convalescent support, though he said he had been worsening incrementally -- you could see "the frustration and the loss of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Cyr observed that the final decision to quit the program weighed on the plaintiff, who was "very frustrated about it." I found Mr. Cyr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Twenty nine year old salesman Michael Hull was a drywall applicator. He met the plaintiff before he started his apprenticeship. He lost contact for a while. When he renewed contact with the plaintiff in 2008 the accident had occurred. He meets with the plaintiff about twice a month now. In the plaintiff's place he noticed notes and note pads throughout the house and in his car as well. The plaintiff usually carries a notepad. Mr. Hull says the plaintiff is now argumentative, easily upset, "an ongoing theme." This led to a breakup of their friendship for a period of time, renewed again about six months ago. He noted that the plaintiff dwelt on minor things, was irritable and described abrupt behaviour in public with a waitress. Mr. Hull was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mother Mrs. C, says that she has always enjoyed a very good and close relationship with her son. She describes him post-accident as "swollen;" she took him home to her house, where he convalesced for about 2 1/2 months. She testified that there was "something going on she couldn't see apart from his bruises, pain and etc." He acted differently than before; he was "not her son." His concentration was not there, he lost the thread of conversations, was angry, demonstrated a poor memory, not at all like he was before. She described irritability, giving an example of playing games with the plaintiff and his brother, during which he became upset when he was unable to get the concept of the game; "... when everything he tried was not working, he almost snapped."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She describes her son's memory as bad. He does not seem to remember conversations, and becomes very emotional and upset with her. She sees him as lost: "It seems like he doesn't have any dreams, his goals are all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She found it difficult to say whether she had seen any improvement in the plaintiff's memory or moods, but notes that since he began seeing Dr. Buch in 2008 she could see that he was "really trying sometimes." She sees him, "struggling with his moods a lot. He has thrown things, but he is not violent."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Mrs. C is in regular contact with her son. Sometimes she will call him and he will not answer right away. When he finally answers, he just says, "I am not having a good day, I don't want to talk," and that's the end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Like other witnesses, she saw that the plaintiff puts disorganized notes everywhere. His place is messy. When he talks, he writes notes. She first noticed that after the accident; and this has remained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After the accident, she observed that his psoriasis got a lot worse. He "lost what little faith he had in the medical system." She rejected the defence's suggestion that there was a period after the accident when he got better, then worsened. She notes that he "is in pain all the time with the friction on his skin." When he sits, he leaves puddles of dust. In short, he is emotional, angry; and has lost hope. As far as taking medication is concerned, she stated that the plaintiff has never taken drugs, and she had to fight with him even to take Advil. She confirmed that she and the plaintiff had discussed methotrexate, which in concentrated doses is used for chemotherapy. He "saw what chemotherapy had done to her," which seemed to reinforce his negative attitude, although she had explained that without it she might have died. She testified that "he was terrified, his emotional balance is so unstable, and he was fearful that he would take it and it wouldn't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mentioned earlier, Mrs. C presented as a forthright credible witness. She acknowledged her memory was not perfect, due to the effects of chemotherapy. As one example of forthrightness, when asked about her son's pre-accident alcohol consumption, she testified that she was not aware of excess consumption, but readily conceded that he would have hidden this from her anyway, as he knew she would have been unhappy about it. Her evidence conforms to other accepted witness evidence, though provides more detail in some respects, which is what one might expect of a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found ample convincing evidence confirming that the plaintiff was struggling with memory, concentration, mood, organization and planning, irritability, anger, inhibition and frustration from the time of the accident. He continued to as at the date of trial. He became increasingly discouraged and despondent, partly in reaction to the worsening of his psoriasis; but his cognitive and mood problems were present from the time of the accident; with those aspects relating to emotion and mood gradually worsening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turn now to some of the various diagnoses potentially producing stress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 Concussion, PTSD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No expert disputes the fact that the plaintiff suffered at least a mild concussive brain injury. The arguments focused on the effects and duration of that injury. As mentioned earlier, of the various experts who opined on these questions, I preferred the conclusion of Dr. Travlos, who found that the plaintiff had ongoing head injury sequelae at the time he saw him on June 28, 2007. He disagreed with what he called "the supposition" that a brain injury eventually "goes away." He stated that the brain injury remains, and that one has to be cognizant that the brain never fully recovers; in any given case you may have sequelae or not, and be functional or not, depending on the injury. I found this harmonized with aspects of what Dr. O'Shaughnessy explained about the process of recovery from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must say that while all the various opinions offered some assistance, I found the foundations for some lacking, especially those suggesting that the plaintiff had recovered from his head injury within months and that all his symptoms were to be explained as just a facet of the pain and eventual depression he suffered. For example, Dr. J. Beckman, a neurologist called by the defendants, found that it was "clear that the plaintiff suffered a mild concussion and was becoming increasingly symptomatic from a concentration and irritability point of view when he returned to school in the Fall of 2006." At the same time, he found that it was "clear that the patient was able to return back to work in 2006 without any obvious cognitive deficits present at work ... and [that] he was able to complete his pipefitting exams and did well [suggesting a] good cognitive functioning at that time" (Pg. 7). In effect, the cornerstone assumption is that because the plaintiff did well in his course work in a way that Dr. Beckman perceived to be satisfactory and had returned to work, he had recovered from his head injury. However, this fails to account for the plaintiff's high intelligence, familiarity with the subject matter and the expectation that the plaintiff should have performed at an optimum level. According to the apprenticeship course supervisor Al Philips, the plaintiff performed at a level lower than would have been expected for a student with his experience and qualifications. The plaintiff testified that he did struggle with memory and organization on the job, "fussing over" trying to make joints fit and keeping instructions straight. Because of his difficulty learning and remembering new materials, he required his own set of books to mark up. At the same time, over-all, he did manage to grasp course concepts, as Dan Walton explained, which is what one would expect given the nature of his injury and the recorded improvements on testing. However, I accept Mr. Philip's assessment that the plaintiff had not performed to the level he would have expected. I further accept the plaintiff's evidence of his subjective difficulties, and reject the conclusion that he had symptomatically recovered from his head injury during the time he was taking his courses in the fall and winter of 2006/2007.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Dr. Beckman acknowledged the plaintiff's pain as a factor, and on cross-examination said that he felt his continuing problems with concentration were better explained by depression or PTSD. At the same time, he agreed that a major depressive disorder is common </w:t>
      </w:r>
      <w:r>
        <w:rPr>
          <w:rFonts w:ascii="arial" w:eastAsia="arial" w:hAnsi="arial" w:cs="arial"/>
          <w:i/>
          <w:color w:val="000000"/>
          <w:sz w:val="20"/>
          <w:lang w:val="en-US" w:eastAsia="en-US" w:bidi="ar-SA"/>
        </w:rPr>
        <w:t>sequelae</w:t>
      </w:r>
      <w:r>
        <w:rPr>
          <w:rFonts w:ascii="arial" w:eastAsia="arial" w:hAnsi="arial" w:cs="arial"/>
          <w:color w:val="000000"/>
          <w:sz w:val="20"/>
          <w:lang w:val="en-US" w:eastAsia="en-US" w:bidi="ar-SA"/>
        </w:rPr>
        <w:t xml:space="preserve"> of both mild traumatic brain injury ("MTBI") and PTSD. He also agreed that it is common to see notes "plastered all over the place" with patients with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Another respected neurologist, Dr. M. Jones, called by the plaintiff, likewise agreed that the plaintiff suffered a MTBI or concussion and that as of October 2008, he was continuing to experience a collection of symptoms (cognitive, somatic, and psychological) that one might see from a traumatic brain injury. But these he felt were related to the activation of his psoriasis and complications of the psoriatic arthritis, factors that he felt Dr. Read had not sufficiently considered when he formulated his opinion of a frontal lobe syndrome. Given the evidence, I agree that Dr. Read did not give sufficient weight to the plaintiff's physiological problems, but I do not agree either that the sequelae of the plaintiff's brain injury could be said to be spent and his cognitive and other sequelae totally attributable to his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O'Shaughnessy saw the plaintiff in December 2008, and at that point opined that while the plaintiff had suffered a concussion, by the time he had seen him it had fully resolved, "as one would expect given the nature of the concussion." He further suggested that any problems in his concentration or memory at this point would be surely due to a combination of pain, depression and perhaps substance abuse problems. He found that the cause of his then current complaints was the plaintiff's inability to work and social isolation, compounded by onset of alcohol abuse and inappropriate outbursts. He concluded that the psychiatric disorder came much later, caused by the pain, "which is not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On the question of PTSD, he found a subclinical PTSD in almost full remission at the time of his assessment. As earlier said, I found the opinion of Dr. O'Shaughnessy more persuasive than that of Dr. Lu., who diagnosed a fully operative diagnosis of PTSD that largely explained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note that the opinions of the psychologist Dr. Buch, called by the plaintiff, and Dr. O'Shaughnessy converge when it comes to the importance of the contribution made by his soft tissue physical injuries and psoriatic arthritis to his depression and its 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also noticed that, as Dr. O'Shaughnessy and others explained, the symptoms of depression, PTSD and brain injury occupy much of the same ground; that depression is both common and the most disabling reactive sequelae of MTBI; and likewise that PTSD, or symptoms of it, are commonly present in cases of MTBI -- making diagnosis, not to mention judicial findings, a challenge. Dr. O'Shaughnessy acknowledged that a kind of synergy can operate between these conditions, which I took to mean that sequelae from one of the conditions can be taken on and amplified to some extent by one or more of the others conditions. Psychological sequelae in that context can, in effect, take on a life of their own after the brain injury has completed whatever organic healing is going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Further, regarding the plaintiff's brain injury, Dr. O'Shaughnessy agreed on cross-examination that concussion can disrupt the cell itself, and that recovery from the microscopic lesions in the cellular from a MTBI can take up to two years. After that, "accommodation and plasticity comes into play." Still, the psychological consequences of the injury, (which may be organically based) include the likelihood of psychiatric disorder occurring within one year that can later become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As for the specific frontal lobe syndrome seen by Dr. Suleiman and Dr. Read, Dr. O'Shaughnessy agreed that upon seeing irritability and compulsiveness following an MTBI one would have to investigate the possibility of a frontal lobe syndrome. He agreed that collateral evidence can be significant in forming his opinion and bear on the final decision as to whether there is sequelae of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 Discussion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People, such as the plaintiff do not subjectively experience their symptoms within the constructed Cartesian categories of medicine or law, however useful they may be to those who employ them. But here, and because the symptoms of the plaintiff's head injury, his psychological reaction to chronic pain and emotional trauma, subclinical PTSD and depression together occupy much of the same ground, his head injury symptoms may be too quickly passed off and then subsumed under any one of the headings of a chronic pain response, PTSD, or depression. I heard no medical explanation to explain why the sequelae of the head injury should just come to an end within short months of the accident with other diagnoses then taking on the full burden of explanation for cognitive and emotional sequelae that the facts clearly demonstrated came on soon after the accident and persisted to trial. Of course I accept the explanation that the healing process of the plaintiff's head injury was completed within two years, but I am not persuaded that the best explanation for the plaintiff's on-going functional problems with memory and concentration, organization, irritability, mood, outbursts etc. is well enough explained as a response to pain alone -- thus failing to account for accepted observations of witnesses from the time of the accident onward, as well as the plaintiff's own subjective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accept Dr. O'Shaughnessy's explanation that after about two years, brain plasticity and adaptation should lead to an improved functional recovery. I also accept the opinion of Dr. Buch and Dr. O'Shaughnessy that the worsening of the plaintiff's mood and development of depression was in large measure a response to his worsening psoriatic pain, frustration with his limitations, loss of his work and life aspirations -- but not exclusively. I find the conclusion that most accords with the testimony and medical evidence that I have accepted is this: All of the plaintiff's injuries and associated symptoms, including those from his mild concussive frontal lobe injury, his subclinical PTSD and its symptoms, the stress and anxiety he experienced related to pain from his soft tissue injuries, his incrementally worsening psoriasis and psoriatic arthritis, and his inability to work operated over time to produce a serious depression. These factors in varying degrees punctuated the plaintiff's experiences from the time of the accident onwards, and produced the levels of psychological stress that produced the ongoing exacerbation of the plaintiff's condition that plaintiff experts identified as the cause of the worsening of the plaintiff's psoriasis and psoriatic arthritis. Given the extensive evidence heard, I find this consilient view of the evidence and medical opinions removes the need to reduce judicial findings to specific diagnostic categories; at the same time more accurately reflecting the actual subjective experiences of the plaintiff. These causative stressors were caused directly or indirectly by the accident, subject to consideration of mitigation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As for non-tortious stressors raised by the defendants, I agree that the serious cancer of the plaintiff's mother created additional stress in 2008; but this was introduced into the plaintiff's life at a time when he was already psychologically vulnerable and anxious, and I see no justification for privileging this alone as the explainer of the plaintiff's worsening mental and physical health, or of his cognitive problems. Likewise, the plaintiff's stress related to his financial problems when attending school are at least partly related to his accident, considering he was unable to work for four months following it. This likewise was an additional burden imposed on a person in a fragile situation. I am not persuaded, given evidence I have heard about the plaintiff's good mental and physical health (except for his psoriasis) pre-accident, that a temporary financial shortfall would have led to the worsening of the plaintiff's condition in anything like the way that ensued post-accident. Further, the evidence as a whole suggests that whatever contribution this factor made to the levels of stress he was experiencing, they were not sufficiently so as to justify reducing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turn now to consideration of mitigation of damages. I will then consider the plaintiff's prognosis with and without the accident and, finally award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submit that the plaintiff failed to mitigate his losses in refusing to undergo methotrexate and biologics treatment for his psoriatic conditions. As mentioned, the evidence shows that methotrexate is estimated by experts to be between 40-50% successful and biologics about 70% successful. Based upon these estimates, the defendants submit that it was unreasonable for the plaintiff to refuse these treatments as they had been recommended to him by various treating physicians, and that at any rate he should not have commenced medication treatment any later than January 2007, when Dr. Travlos recommended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difficulty in this case lies in the fact the plaintiff sincerely held strong negative views about taking medications in general and methotrexate in particular. His negative views about the potential ill-effects of methotrexate were fuelled in part by his own misleading internet research. In the circumstances of this case, there is no question that based on a pure objective test, the plaintiff ought to have followed his doctors' advice. Likewise, if that were all that needed to be considered, the correct result again is obvious because in Canada the law does not excuse objectively unreasonable choices, so long as the plaintiff has the requisite capacity to make them.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is the foundational case for the law of mitigation in Canada. Wilson J., speaking for the court explains: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Non-pathological but distinctive subjective attributes of the plaintiff's personality and mental composition are ignored in favour of an objective assessment of the reasonableness of his choice. So long as he is capable of choice the assumption of tort damages theory must be that he himself assumes the cost of any unreasonable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Wilson J. refers to </w:t>
      </w:r>
      <w:r>
        <w:rPr>
          <w:rFonts w:ascii="arial" w:eastAsia="arial" w:hAnsi="arial" w:cs="arial"/>
          <w:i/>
          <w:color w:val="000000"/>
          <w:sz w:val="20"/>
          <w:lang w:val="en-US" w:eastAsia="en-US" w:bidi="ar-SA"/>
        </w:rPr>
        <w:t>Morgan v. T. Wallis Ltd.</w:t>
      </w:r>
      <w:r>
        <w:rPr>
          <w:rFonts w:ascii="arial" w:eastAsia="arial" w:hAnsi="arial" w:cs="arial"/>
          <w:color w:val="000000"/>
          <w:sz w:val="20"/>
          <w:lang w:val="en-US" w:eastAsia="en-US" w:bidi="ar-SA"/>
        </w:rPr>
        <w:t>, [1974] 1 Lloyd's rep. 165 at p. 170 to explain the overarching test regarding mitigation: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must apply the objective test, in this sense, would a reasonable man in all the circumstances, receiving the advice which the plaintiff did receive, have refused the operation? I think this question must be considered as at the times when his decision was made and on the basis of the advice he then received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Another way of putting this is whether the reasonable person would refuse the treatment when faced with the risk-benefit equation before them at the time they are making the decision? The Court in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summarizes the relevant consideration at paragraph 31:</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his finding as to the reasonableness or otherwise of a refusal of medical treatment, the trier of fact will also, of course, take into consideration the degree of risk to the plaintiff from the surgery ..., the gravity of the consequences of refusing it ..., and the potential benefits to be derived from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However, the case becomes less obvious when accident-induced injuries take away the capacity to make the objectively rational decision. If the plaintiff's capacity is reduced completely, that is a straightforward case - but less so when accident-induced injuries have substantially inhibited, though not completely removed the plaintiff's capacity to think through rationally the risks and benefits of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Wilson J. said that in situations where there is evidence that a plaintiff's incapacity to rationally consider the risk-benefit equation may have been itself a consequence of the trauma induced by the accident, as opposed to a pre-condition, that "it would appear manifestly unjust to cut off his recovery for failure to mitigate his damages through a rational decision as to treatment":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at para. 25. The capacity of the plaintiff, is therefore a precondition to a risk-benefit analysis, and the central focus in this case, as explained in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Wilson J. refers to </w:t>
      </w:r>
      <w:r>
        <w:rPr>
          <w:rFonts w:ascii="arial" w:eastAsia="arial" w:hAnsi="arial" w:cs="arial"/>
          <w:i/>
          <w:color w:val="000000"/>
          <w:sz w:val="20"/>
          <w:lang w:val="en-US" w:eastAsia="en-US" w:bidi="ar-SA"/>
        </w:rPr>
        <w:t>Elloway v. Boomars</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(1968), 69 D.L.R. (2d) 605</w:t>
        </w:r>
      </w:hyperlink>
      <w:r>
        <w:rPr>
          <w:rFonts w:ascii="arial" w:eastAsia="arial" w:hAnsi="arial" w:cs="arial"/>
          <w:color w:val="000000"/>
          <w:sz w:val="20"/>
          <w:lang w:val="en-US" w:eastAsia="en-US" w:bidi="ar-SA"/>
        </w:rPr>
        <w:t xml:space="preserve"> (B.C.S.C.), where a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who suffered minor injuries in an automobile accident developed a psychosis of a schizophrenic nature which by the time of trial was largely disabling. McIntyre J. found on the medical evidence that the plaintiff suffered from a pre-existing condition which predisposed him to schizophrenic illness and that the accident, operating on that predisposition, brought about the full schizophrenic illness. The plaintiff had been advised to take treatment for his condition but he refused. McIntyre J. concluded, however, that his psychosis was itself a factor in his refusal and he could not therefore be held responsible for the worsening of his condition. Damages must be assessed on the basis that he had not wilfully failed in his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Wilson J. also refers to Cooper-Stevenson, Kenneth D. &amp; Susan B.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(Toronto: The Carswell Company Limited, 1981) and the analysis of the learned authors: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 [They] point out that no clear position has emerged from the Canadian jurisprudence in this area although cases such as Elloway,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McGrath</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[1973] N.J. No. 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suggest that a plaintiff in Canada may not be held to an objective standard of reasonableness which it is beyond his capacity to attain. This position would appear to most appropriately complement Fleming's assertion that where a plaintiff does not suffer from a constitutional incapacity to act reasonably he cannot make the defendant bear the burden of his unreasonable behaviour. </w:t>
      </w:r>
      <w:r>
        <w:rPr>
          <w:rFonts w:ascii="arial" w:eastAsia="arial" w:hAnsi="arial" w:cs="arial"/>
          <w:color w:val="000000"/>
          <w:sz w:val="20"/>
          <w:u w:val="single"/>
          <w:lang w:val="en-US" w:eastAsia="en-US" w:bidi="ar-SA"/>
        </w:rPr>
        <w:t>Thus, the analytic focus in each case is on the capacity of the plaintiff to make a reasonable choice.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Canadian law rejects the wholly subjective analytical approach of U.S. law.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however leaves the door open to a modified subjective approach where the plaintiff's decision-making capacity has been less than wholly incapacitated by accident-induced injuries. Where it is found on the evidence that the effect of accident induced injuries has been to inhibit </w:t>
      </w:r>
      <w:r>
        <w:rPr>
          <w:rFonts w:ascii="arial" w:eastAsia="arial" w:hAnsi="arial" w:cs="arial"/>
          <w:i/>
          <w:color w:val="000000"/>
          <w:sz w:val="20"/>
          <w:lang w:val="en-US" w:eastAsia="en-US" w:bidi="ar-SA"/>
        </w:rPr>
        <w:t>substantially</w:t>
      </w:r>
      <w:r>
        <w:rPr>
          <w:rFonts w:ascii="arial" w:eastAsia="arial" w:hAnsi="arial" w:cs="arial"/>
          <w:color w:val="000000"/>
          <w:sz w:val="20"/>
          <w:lang w:val="en-US" w:eastAsia="en-US" w:bidi="ar-SA"/>
        </w:rPr>
        <w:t xml:space="preserve"> the plaintiff's capacity to make the objectively reasonable choice,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in my view, leaves it open to the trier of fact to take that commensurately into account in assessing the degree to which damages should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this case, the plaintiff refused both methotrexate and biologics until January of 2009, when he saw Dr. Gladman in Toronto. He did not follow the earlier advice of Dr. Hong -- who in December 2005 had recommended medications as one treatment option (with phototherapy as another); and in April 2007 offered the plaintiff an opportunity to participate in a free trial of biologics. (The cost otherwise would have been financially prohibitive.) Despite this, the plaintiff refused. However, Dr. Gladman later on was able to convince the plaintiff to undergo the treatment. In fact, at the time of trial he had just started his first methotrexate treatments. Dr. Gladman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[methotrexate] could control skin psoriasis and joint inflammation to a certain degree ... [but] may not prevent progression of joint damage. Anti-TNF [i.e. biologic] agents are much better at controlling inflammation and preventing joint damage. Pg.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says that his meeting with Dr. Gladman is the point at which I should consider whether he mitigated his damages. He explains that this became the critical turning point for him because it was only then that he understood what was at stake; Dr. Gladman explained to him in clear terms the progression of his condition without medication. The implication of this testimony is that although the treatment option had been discussed earlier by his other doctors, especially Dr. Hong, he had not become fully cognizant of the grave risks his disease was presenting, nor of the potential benefits and comparatively low risks involved with the medications. To this, his counsel adds the fact that the plaintiff, his doctors, his mother and others have all testified to his loss of faith in medical options, distrust of medications, his complete loss of hope in controlling his condition, his anxiety, and serious depression and apathy related to his accident-induced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find I can only partially accept the plaintiff's argument that he should be excused for not taking the medications because he had not fully comprehended the risks and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Since his condition responded to light therapy in January of 2006 and did improve to some extent in the summer of 2006, I find it was certainly reasonable for the plaintiff to refuse to undergo the medications for at least a year and a half. In making this finding I note that phototherapy was still being presented to him as a treatment </w:t>
      </w:r>
      <w:r>
        <w:rPr>
          <w:rFonts w:ascii="arial" w:eastAsia="arial" w:hAnsi="arial" w:cs="arial"/>
          <w:i/>
          <w:color w:val="000000"/>
          <w:sz w:val="20"/>
          <w:lang w:val="en-US" w:eastAsia="en-US" w:bidi="ar-SA"/>
        </w:rPr>
        <w:t>option</w:t>
      </w:r>
      <w:r>
        <w:rPr>
          <w:rFonts w:ascii="arial" w:eastAsia="arial" w:hAnsi="arial" w:cs="arial"/>
          <w:color w:val="000000"/>
          <w:sz w:val="20"/>
          <w:lang w:val="en-US" w:eastAsia="en-US" w:bidi="ar-SA"/>
        </w:rPr>
        <w:t xml:space="preserve"> (albeit his physicians considered methotrexate/biologics the best choice), and also note his increasingly fragile psychological state. Until that point, I cannot find that the risk-benefit equation obligated him to take medications, especially if his physicians did not fully and clearly explain the risk/benefit equation to him in the way that the plaintiff says (and I accept) Dr. Gladman did in January 2009. There came an earlier point however, when it should have been sufficiently obvious to the plaintiff that his disease was changing, and that the risk-benefit equation he was facing was now very different from what it had been before the accident; he could no longer just cope with his symptoms and expect them to improve. This should have at least begun to be apparent to him by April 2007, when Dr. Hong offered the plaintiff an opportunity to participate in the free trial of a new form of biologics. The plaintiff declined then, citing having to cope with too many other problems then, and I note again his fragile 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 accept witnesses' testimony about the plaintiff's state of mind and also the fact that Dr. Gladman's forceful advice left a strong impression on him. But I remain unable to find that he was justified in waiting that long to commence treatment, especially considering that his increasingly fragile psychological state was in considerable measure related to his failure to follow earlier treatment advice. In my view,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Elloway</w:t>
      </w:r>
      <w:r>
        <w:rPr>
          <w:rFonts w:ascii="arial" w:eastAsia="arial" w:hAnsi="arial" w:cs="arial"/>
          <w:color w:val="000000"/>
          <w:sz w:val="20"/>
          <w:lang w:val="en-US" w:eastAsia="en-US" w:bidi="ar-SA"/>
        </w:rPr>
        <w:t xml:space="preserve"> lend support to making some allowance for the plaintiff's accident-induced psychological state where it substantially inhibited his capacity to make the rational decision, as was the case here; only to the extent the evidence justifies, and bearing in mind that his duty to mitigate is a positive one owed to the defendant. In this case, I find that allowance can be made for the effect of the plaintiff's accident-induced psychological state on his capacity only to the extent that it excuses some further delays in coming to the decision he ultimately made -- a decision that in itself demonstrated that Dr. Gladman was able to reason with the plaintiff; he was ultimately capable of weighing the risks and benefits even though he was in a fragile psychological state then too. Dr. Hong may have explained the risks and benefits in a less forceful way, but he impressed me as a caring and insightful dermatologist who was genuinely concerned about the plaintiff's well being. I find the principles laid out in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and the evidence, support a finding that within six months or so of the plaintiff's April 2007 discussion with Dr. Hong, he should have commenced a medication treatment regimen. This will enter accordingly into my assessment of what is a fair reduction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Further, it cannot be overlooked that the plaintiff was already fully aware of the benefits of light therapy treatments at the Willow Clinic, which did not involve the use of medications. He had not received any further treatments there since the spring of 2006. Although light therapy is not efficacious for psoriatic arthritis, his worsening skin condition contributed significantly to his worsening psychological state and stress. Since I have found that his emotional stress acted as a continuing exacerbater of his psoriatic arthritis, the defendants are entitled to see any effect of the plaintiff's failure to seek treatment for his skin condition taken into account as a contributor to his worsening psoriatic arthritis, and accordingly to see a reduction of the plaintiff's entitlement to recovery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find that the evidence justifies a finding that the plaintiff's failure to treat his worsening skin condition with a further round of day therapy at the Willow Clinic made a significant contribution to the mix of stressors that was exacerbating both his skin and joint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Considering and weighing all the circumstances, I assess a percentage total reduction of 30% for past loss of income, and 20% for non-pecuniary damages, (bearing in mind that non-pecuniary damages compensates for both past and 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Regarding the plaintiff's psychological problems, Dr. Travlos advised him that he should be on antidepressants. He did not follow this advice. The effect this refusal may have had on the plaintiff's post-accident history and future was not fully set out in evidence or argument, although I note that Dr. Travlos and others anticipated some psychological and pain-perception benefit. However, without clear evidence showing expected success rates or side effects, and considering also that the plaintiff did undertake beneficially alternative treatment in the form of counselling, I am unable to find a reduction on this basis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With respect to loss of earning capacity and loss of future earnings, I assume that the plaintiff will continue to mitigate his damages by continuing on a medication regimen, and by continuing with psychological counseling for a time, with damages assessed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defendants rely on Dr. Suleiman's July 12, 2006 medical legal report, wherein he anticipates a complete recovery without any permanent damage. On that basis, they propose damages between $20,000 - $30,000. However, that opinion was clearly premature and is overcome by specialist opinions and the fact that Dr. Suleiman no longer holds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defendants next say that should the Court accept that the accident aggravated the plaintiff's psoriasis/psoriatic arthritis, the defendants are still liable only for the aggravation caused and not the pre-existing illness. This is obviously not controversial. Counsel referred to </w:t>
      </w:r>
      <w:r>
        <w:rPr>
          <w:rFonts w:ascii="arial" w:eastAsia="arial" w:hAnsi="arial" w:cs="arial"/>
          <w:i/>
          <w:color w:val="000000"/>
          <w:sz w:val="20"/>
          <w:lang w:val="en-US" w:eastAsia="en-US" w:bidi="ar-SA"/>
        </w:rPr>
        <w:t>Kalaw v. Johnston</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[1988] B.C.J. No. 2</w:t>
        </w:r>
      </w:hyperlink>
      <w:r>
        <w:rPr>
          <w:rFonts w:ascii="arial" w:eastAsia="arial" w:hAnsi="arial" w:cs="arial"/>
          <w:color w:val="000000"/>
          <w:sz w:val="20"/>
          <w:lang w:val="en-US" w:eastAsia="en-US" w:bidi="ar-SA"/>
        </w:rPr>
        <w:t xml:space="preserve"> (S.C.), which found that a second accident "aggravated the psoriasis to a minor degree" and damages were assessed at $15,000. I find that case bears little resemblance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With respect to cases dealing with arthritis, counsel referred to </w:t>
      </w:r>
      <w:r>
        <w:rPr>
          <w:rFonts w:ascii="arial" w:eastAsia="arial" w:hAnsi="arial" w:cs="arial"/>
          <w:i/>
          <w:color w:val="000000"/>
          <w:sz w:val="20"/>
          <w:lang w:val="en-US" w:eastAsia="en-US" w:bidi="ar-SA"/>
        </w:rPr>
        <w:t>Robertson v. Robertson</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[1991] B.C.J. No. 317</w:t>
        </w:r>
      </w:hyperlink>
      <w:r>
        <w:rPr>
          <w:rFonts w:ascii="arial" w:eastAsia="arial" w:hAnsi="arial" w:cs="arial"/>
          <w:color w:val="000000"/>
          <w:sz w:val="20"/>
          <w:lang w:val="en-US" w:eastAsia="en-US" w:bidi="ar-SA"/>
        </w:rPr>
        <w:t xml:space="preserve"> (S.C.) and an inflation adjusted award of $40,000 for moderate soft tissue injury to the shoulder and an onset of psoriatic arthritis in that joint. In </w:t>
      </w:r>
      <w:r>
        <w:rPr>
          <w:rFonts w:ascii="arial" w:eastAsia="arial" w:hAnsi="arial" w:cs="arial"/>
          <w:i/>
          <w:color w:val="000000"/>
          <w:sz w:val="20"/>
          <w:lang w:val="en-US" w:eastAsia="en-US" w:bidi="ar-SA"/>
        </w:rPr>
        <w:t>Loxton v. Cunningham,</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[1992] B.C.J. No. 1100</w:t>
        </w:r>
      </w:hyperlink>
      <w:r>
        <w:rPr>
          <w:rFonts w:ascii="arial" w:eastAsia="arial" w:hAnsi="arial" w:cs="arial"/>
          <w:color w:val="000000"/>
          <w:sz w:val="20"/>
          <w:lang w:val="en-US" w:eastAsia="en-US" w:bidi="ar-SA"/>
        </w:rPr>
        <w:t xml:space="preserve"> (S.C.), an award was made of $25,000 that compensated for an acceleration of neck and back problems, "some of which [may have been] suffered in any event as a result of [the] psoriatic arthritic condition." The award in that case was $34,000-$35,000.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Given the small number of cases dealing with aggravation of psoriatic arthritis, counsel referred also to a number of cases dealing with aggravation of pre-existing osteoarthritic conditions. In </w:t>
      </w:r>
      <w:r>
        <w:rPr>
          <w:rFonts w:ascii="arial" w:eastAsia="arial" w:hAnsi="arial" w:cs="arial"/>
          <w:i/>
          <w:color w:val="000000"/>
          <w:sz w:val="20"/>
          <w:lang w:val="en-US" w:eastAsia="en-US" w:bidi="ar-SA"/>
        </w:rPr>
        <w:t>Nicholas v. Henry</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2006 BCSC 694</w:t>
        </w:r>
      </w:hyperlink>
      <w:r>
        <w:rPr>
          <w:rFonts w:ascii="arial" w:eastAsia="arial" w:hAnsi="arial" w:cs="arial"/>
          <w:color w:val="000000"/>
          <w:sz w:val="20"/>
          <w:lang w:val="en-US" w:eastAsia="en-US" w:bidi="ar-SA"/>
        </w:rPr>
        <w:t xml:space="preserve">, the plaintiff received an award of $20,000 for soft tissue injuries and aggravation of pre-existing symptomatic arthritis condition likely never to resolve. In </w:t>
      </w:r>
      <w:r>
        <w:rPr>
          <w:rFonts w:ascii="arial" w:eastAsia="arial" w:hAnsi="arial" w:cs="arial"/>
          <w:i/>
          <w:color w:val="000000"/>
          <w:sz w:val="20"/>
          <w:lang w:val="en-US" w:eastAsia="en-US" w:bidi="ar-SA"/>
        </w:rPr>
        <w:t>Wall v. Phan</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[1996] B.C.J. No. 1094</w:t>
        </w:r>
      </w:hyperlink>
      <w:r>
        <w:rPr>
          <w:rFonts w:ascii="arial" w:eastAsia="arial" w:hAnsi="arial" w:cs="arial"/>
          <w:color w:val="000000"/>
          <w:sz w:val="20"/>
          <w:lang w:val="en-US" w:eastAsia="en-US" w:bidi="ar-SA"/>
        </w:rPr>
        <w:t xml:space="preserve"> (S.C.) a plaintiff who suffered an aggravation of pre-existing asymptomatic osteoarthritis, accident related depression, and a disabling obsessive/compulsive disorder with a poor prognosis for return to work was awarded approximately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summary, the defendants submit that were I to find that the plaintiff's psoriatic arthritis was caused by the accident, the award should be $35,000 - $50,000 before taking into account deductions for failing to mitigate; and additionally were I to find the depression and aggravation of the psoriatic arthritis was caused by the accident, a suitable range of damages would be $50,000 -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Given my findings and the nature and extent of the injuries suffered in this case, I find these figures too low. The plaintiff submitted a number of cases falling in a much higher range. I did not find cases cited by counsel helpful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It must be borne in mind that although the plaintiff in this case did suffer from a psoriatic arthritis condition pre-accident, it was very mild; and he was able to work in what were heavy labor intensive positions. Accepted evidence indicates that the plaintiff's condition, both in relation to his psoriasis and psoriatic arthritis, were set upon a new and more aggressive course after the accident. This was not a short term exacerbation -- which said, is not to over look the contribution that the plaintiff's failure to seek or follow treatment advice played in his worsening condition psoriasis. Further, I find that the plaintiff suffered significant sequelae from his brain injury; and further, and very significantly, as earlier explained, that his other physiological and emotional accident-induced stressors amplified his symptoms, which gradually became worse over time. He has obviously suffered a serious depression and remains vulnerable in that regard. Moreover, he suffered significant soft tissue injuries, the ultimate prognosis for which is not certain. As Dr. Shahid explained, most people do make a good fairly uneventful recovery from compression fractures and are able to return to work; but a significant proportion of those people continue to suffer pain and disability and some of those are unable to return to labor intensive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Further, the plaintiff has suffered a substantial loss of enjoyment of life, is now unable to participate in golf and other activities he enjoyed before the accident. With successful treatment, he may be able to return. As I view the evidence, his suffering, both physiological and physical, has been quite intense, albeit partly in relation to his failure to follow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Considering all of the evidence and the submissions of counsel, for non-pecuniary damages I award $150,000, and taking into account the plaintiff's failure to mitigate before the date of trial, reduced to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defendants submitted that the plaintiff was entitled only to a modest wage loss that should exceed no more than $3,286. This calculation was based on the assumption that he had lost only a week's wages of $657 following the accident, because he was set to be laid off in the week following the injury. However, this overlooks the evidence of Ms. Fran Miller that </w:t>
      </w:r>
      <w:r>
        <w:rPr>
          <w:rFonts w:ascii="arial" w:eastAsia="arial" w:hAnsi="arial" w:cs="arial"/>
          <w:i/>
          <w:color w:val="000000"/>
          <w:sz w:val="20"/>
          <w:lang w:val="en-US" w:eastAsia="en-US" w:bidi="ar-SA"/>
        </w:rPr>
        <w:t>Mitchell Installations,</w:t>
      </w:r>
      <w:r>
        <w:rPr>
          <w:rFonts w:ascii="arial" w:eastAsia="arial" w:hAnsi="arial" w:cs="arial"/>
          <w:color w:val="000000"/>
          <w:sz w:val="20"/>
          <w:lang w:val="en-US" w:eastAsia="en-US" w:bidi="ar-SA"/>
        </w:rPr>
        <w:t xml:space="preserve"> where she kept employee records and where the plaintiff worked, is a large and busy company. She agreed that it was possible the plaintiff could have been hired back within a week or so. The defendants' position also assumes that the plaintiff would not have found work elsewhere from the time of his lay off until his return to work in February 2006. The defendants further submitted that any residual wage loss calculation should be based on return to work in mid-December. I find the accepted evidence does not support that at all. The plaintiff suffered significant injuries that included an as yet undiagnosed lumber fracture and he convalesced at his mother's for about 2 1/2 months. I did not note any evidence, either in direct or drawn from cross-examination, suggesting that the plaintiff should have returned to work earlier than he did. As it was, he was struggling with the heavy work required, and perhaps he returned prematurely. I find the evidence warrants an allowance of $10,500 (no mitigation reductions) until his return to work in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For the period following the plaintiff's return to work to the date of trial, the plaintiff submits the plaintiff is not entitled to any award for loss of income because his failure to treat his pre-accident condition was the sole cause of his deterioration in the Fall of 2006 through to the summer of 2007. Alternatively, the defendants submit that the plaintiff should have treated his psoriatic arthritis as of the time of the advice of Dr. Travlos around June 28, 2007. For reasons already discussed, I reject the submission that the actions of the plaintiff alone are burdened with responsibility for his worsened condition that prevented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According to Union business agent Brian Stocking the plaintiff should have completed his union apprenticeship by March 2009. The plaintiff, who was credited for some hours worked before starting his apprenticeship, testified that he thought he would have completed his apprenticeship in the summer of 2008. He hoped to work out-of-province to earn as much as possible. As an eighth term apprentice, his hourly rate would have been $23.36, plus benefits of $6.69 per hour and vacation/statutory pay at $2.10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Uncertainty surrounds assessment of the plaintiff's loss of income following his last day of work, which was about June 1, 2007. For example, while he had before him the possibility that he would find work through the union in Alberta, with the potential for a six figure income that was by no means certain, although some of his colleagues had done so. He has had some earnings with odd jobs, but the earnings from those do not amount to a great deal. I leave it to counsel to deduct those from my award for loss of income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With about 100 weeks from the plaintiff's last day at work to the date of trial, weekly earnings of 1,286 gross, yields $129,334.86 gross. I round this up to $140,000 to give some recognition to the likelihood he would have had the opportunity to work in Alberta or in northern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Counsel can calculate the amount net of taxes and have liberty to apply if they cannot agree on the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This amount is to be reduced by 30% to $98,000 for the plaintiff's failure to mitigate his damages as discussed. To this should be added the plaintiff's loss of income from the date of the accident to the date of his return to work in the amount of $10,500.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 Loss of earning capacity/future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argues that he has lost the opportunity to pursue a career in plumbing, or any trade like it. The defendants counter this submission by arguing that the plaintiff has not suffered a loss of earning capacity at all. The defence submissions rest on a number of premises. First, they say that the plaintiff's disabling condition is psoriatic arthritis and as regards that, the plaintiff stands where he would be without the accident. Of course, it is trite law that the defendants are liable only for the damages caused. I have found on the balance of probabilities that the accident exacerbated the plaintiff's condition and set it on a more aggressive course. Further, the defendants' sweeping statement fails to account for the plaintiff's physical and psychological injuries, which also hold significant implications for the plaintiff's capacity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defendants next say that there is no compelling evidence that the plaintiff is permanently disabled from working. I did not understand that to be the plaintiff's position, which I understood to be that as a result of the accident he can no longer work as a plumber or similar heavy work, that his remaining options are less remunerative, that he has lost an opportunity; and that his training has been thrown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defendants point out that Dr. Shojania testified that many patients with psoriatic arthritis work in the trades. True: but what is the nature and extent of their condition? In what trades to they work? And to what extents might their capacities be limited? This evidence is both too broad and shallow to lend any acuity to the analysis needed here. However, counsel fairly points out the expert's evidence that the plaintiff is capable of at least sedentary employment; that he is bright and capable of post secondary education. Further, the defence points out that if his medication regimen is successful, his functioning and mobility should improve and he should be able return to work, perhaps plumbing. But these assumptions can be fairly advanced only to the extent that they account for: the plaintiff's accident-induced psychological disabilities that must be first remedied; the physical limitations and risks related to his lumbar fracture; the time and money required to advantage his training; the very much alive risks that his medications will not terminate the advance of his arthritis or undo enough of the damage, (which would not all be the defendants' fault); and the delay in the advancement of his career. I agree with defence counsel that the plaintiff still owns the capacity to educate himself, perhaps even to a university level, and earn a decent white collar income, perhaps even as a union official. This possibility however, requires the building of some new bridges without disregarding the fact that before the accident the plaintiff was fully capable of taking advantage of this option without giving up his current career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also agree with the defence that Mr. Hildebrand's reports and evidence provided useful information about the plaintiff's without accident earnings. But Mr. Hildebrand's figure for the average earnings of plumbers in B.C. at $52,565 (2009 dollars) in my view does not fairly represent the plaintiff's without accident potential: this figure represents the average for the whole province; does not incorporate the higher earnings of pipefitters and gas fitters, work that the plaintiff would have been able to do; it does not differentiate between union and non-union workers; or higher earnings of industrial and commercial plumbers vs. residential ones; or for the potential for high out of province overtime earnings and living costs compensation; for higher pay for foreman positions; the value of benefits; the widely varying talents and experience of individual plumbers; differing work ethics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find it likely that but for the accident the plaintiff would have had ample opportunity to work in the industrial plumbing area. The evidence shows he was well thought of by employers who could have offered him work in that area. His experience, sociability and native intelligence would have served him well and opened doors to new opportunities. The evidence spoke of his suitability for an eventual career as a union agent. Further, colleagues and union witnesses confirmed some availability of very high paying jobs in northern B.C. and Alberta. Plumbers leading their own crew can earn higher wages. The evidence shows that some plumbers can earn exceptionally high incomes in excess of $ 200,000 per annum at times. However, defence counsel rightly point out that these are as anecdotal and exceptional as I find Mr. Hildebrand's figures to be too average. Nonetheless, the plaintiff himself and the evidence as a whole leave the impression of an individual who would have been more exceptional than ordinary in this field. But the plaintiff was also exceptional in the sense that he was burdened with an unordinary illness that could have hampered his capacity to work and earn the high wages he was anticipating. Dr. Gladman refused to give an opinion about the plaintiff's without-accident income because she felt the course of his illness was impossible to predict. Further, the plaintiff was not a very compliant patient pre-accident. The evidence as a whole does support a finding that he certainly faced more than a speculative possibility of a worsening of his condition without the accident that would have required time off from work for treatment. As it was, pre-accident, he had to take time to attend day care at Willow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Weighing all in the balance of reason and with the moderation required when dealing with uncertain future events, I find that $60,000 per annum fairly represents the plaintiff's capacity for future earnings as a plumber. The possibility of extraordinary earnings in northern B.C. or Alberta in his younger years can be represented with a gross up to $62,000 per annum over lifetime earnings, which in my view should be discounted not in the annual amount of earnings but in the number of earning years. This yields a multiplier to age 60 of $17,422 and potential earnings as a plumber of about $1,080,000. However, assessing negative contingencies relating to health as whole should see this figure reduced by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Any assessment must also account for the likelihood of success of the plaintiff's methotrexate and (if methotrexate is unsuccessful) biologics treatment regimen. The plaintiff's response as at the time of trial is unknown. More likely than not, the plaintiff will have to undergo both treatments in order to gain the maximum chance of recovery, along with their respective failure rates. The assessment of residual earning capacity must also allow for the strong possibility that the plaintiff's soft tissue and mechanical injuries would still disable him to some degree from full time future employment. Finally, it must consider the effect of the plaintiff's potentially persisting cognitive and mentation limitations as a result of the combined residue of his fragile psychological state and his brain injury. Dr. Travlos opined in his report that the residue of his brain injury could make retraining more challenging and necessitate tutoring. But I take Dr. O'Shaughnessy's evidence that brain plasticity and adaption usually enables good functional recovery into account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remaining future possibilities therefore include: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highest and best chance of recovery is 70%, with a 30% chance biologics will not be effective, within what is a developing area of medical science. Assessing for both the positive and negative contingencies in this case, I make my assessment of loss of earning capacity on the assumption that all things considered, the plaintiff faces a 50% chance that the medications will be sufficiently effective to allow him to return to work as a plumber, albeit with some still remaining accident induced limitations not present before the accident.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or without recovery with the aid of medication, the plaintiff faces a strong possibility that as a result of his injuries he will be unable to return to plumbing or any other similar trade, losing that opportunity, with all of the benefits accompanying it. In this case, the plaintiff will have to find sedentary work that would undoubtedly pay lower wages without extensive retraining and further education. I find that the plaintiff still possesses the intelligence required to succeed in post secondary education, though there I find the evidence strongly points in the direction of a further requirement for counselling and some tutoring. This will take time and money. I have no particulars of what would be suitable or about what the cost is likely to be, but this is a factor that has to be taken into account in any assessment.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pessimistic and least likely possibility is that the combination of the plaintiff's physical and psychological injuries and his ensuing depression, in combination with his worsened psoriatic arthritis could render him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law's wisdom in saying an award for loss of earnings capacity may be supported by a calculation of figures that propose with and without accident potential incomes, but finally must be assessed based on all the evidence, not calculated, is demonstrated in a case such as this. No matter how many columns and rows in the spread sheet or how intricate the 'what if scenarios calculated,' an over-all assessment is more likely to be more fair to both sides -- so long as the numbers and income potentials involved are kept in view so as not to result in either inadequate or excessive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All considered, I award $275,000 under the head of loss of earning capacity. This amount includes, (besides all the factors discussed in these reasons), some allowance for the likelihood the plaintiff will have lost the opportunity of some extra high earnings following completion of his apprenticeship; some consideration for the substantial possibility that time and money will be required for further retraining for an alternative career; and has not overlooked either the possibility of a return to plumbing if the medications are effective; or that he may return, but with a reduced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 Cost of care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evidence fully justifies an allowance for further psychological counselling. Although no specific figures were proposed, based on amounts paid to Dr. Buch to date, I award $2,000 for future counselling. I find the evidence otherwise too thin to support any other allowance for cost of future care. The cost of biologics will be borne by Pharmacare if methotrexate is proven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All the special damages claimed are allowed, save and except travel costs to Dr. Gladman, mileage to and from medical legal assessments, form fees, special shoes, exercise ball, insole with arch, Blackville shoes, Nutrition House, Natural Therapeutics, and moving expenses. Although, as the defence points out, there is "no affidavit evidence for mileage," the amounts claimed appear to accord with the number of visits. If the kilometres are off slightly, that is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I find the amounts claimed by Crystal Mayfield appropriate in a case such as this. While some of her services may have touched on case management, they substantially related to assistance required for organization of school work and to help the plaintiff function better, largely in relation to sequelae from his concussion. For those services that could fairly be said to relate to case management, the amounts claimed are reduced by $1,000. Counsel can make the necessary calculations and incorporate them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Counsel are at liberty to speak to arithmetic errors/clarifications, tax issues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summary I award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167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823"/>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$108,500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(Less income earned,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calculated by counsel)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(Net of tax to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calculated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146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$275,000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be calculated in accord</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the above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115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Counselling</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September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the Honourable Mr. Justice N. Brown, dated August 25, 2009 have been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last line of paragraph 215, the word "not" has been added. The sentence now reads: "I did not find cases cited by counsel helpful in this case."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Lee Estate v. G.Y. Lee &amp; Associates Ltd., [2013] B.C.J. No. 2674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30 and November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S113261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2674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2217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Lee, Executrix of the Estate of Donald Yick Tong Lee, and the said Linda Lee, Plaintiffs, and G.Y. Lee &amp; Associates Ltd., Gilbert Y. Lee, and The Four L's Investments (1978)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6" w:name="Keywords_23"/>
      <w:bookmarkEnd w:id="156"/>
      <w:r>
        <w:rPr>
          <w:rFonts w:ascii="arial" w:eastAsia="arial" w:hAnsi="arial" w:cs="arial"/>
          <w:b/>
          <w:color w:val="000000"/>
          <w:sz w:val="20"/>
          <w:lang w:val="en-US" w:eastAsia="en-US" w:bidi="ar-SA"/>
        </w:rPr>
        <w:t>Civil litigation — Civil procedure — Parties — Adding or substituting — After expiry of limitation period — Pleadings — Amendment of — Statement of claim — Adding new cause of action — To alter or add to claim for relief — To raise additional issues — Leave to amend — After expiry of limitation period — Material facts — Particulars — Application by plaintiffs to amend notice of civil claim and add parties allowed in part — Most additional causes of action resulted from events taking place between 10 and 25 years in past — Amendments where limitation periods expired prior to commencement of original claim, were too vague, failed to plead material facts, pled legal conclusions, were inconsistent with original claim or plain and obvious no cause of action dismissed — Recent breach of fiduciary duty, breach of contract and some amendments related to plaintiff's estate retainer allowed — New parties not added as amendments involving new parties dismissed — Supreme Court Civil Rules, Rules 6-1(1)(b)(i) and 6(2).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Expiry of limitation periods — Effect of — Application by plaintiffs to amend notice of civil claim and add parties allowed in part — Most additional causes of action resulted from events taking place between 10 and 25 years in past — Amendments where limitation periods expired prior to commencement of original claim, were too vague, failed to plead material facts, pled legal conclusions, were inconsistent with original claim or plain and obvious no cause of action dismissed — Recent breach of fiduciary duty, breach of contract and some amendments related to plaintiff's estate retainer allowed — New parties not added as amendments involving new parties dismissed — Supreme Court Civil Rules, Rules 6-1(1)(b)(i) and 6(2).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7" w:name="Case Summary_23"/>
            <w:bookmarkEnd w:id="1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leave to amend their notice of civil claim and to add new parties. The proposed amendments included new facts, causes of action and involved the addition of new parties. The application to amend was brought approximately two years after the claim was filed and most of the additional causes of action resulted from events which took place between 10 and 25 years prior to the commencement of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8" w:name="Holdings of Court_20"/>
            <w:bookmarkEnd w:id="158"/>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lacked discretion to permit amendments concerning claims respecting which limitation periods expired prior to the original notice of civil claim being filed. The plaintiffs failed to plead sufficient particulars to postpone the commencement of such limitation periods. Other proposed amendments were dismissed because they were too vague to permit the defendant to respond, failed to plead sufficient particulars or material facts, were inconsistent with the original pleading, pled legal conclusions or involved causes of action which were plain and obvious not to succeed. Breach of contract and fiduciary duty claims which arose from facts recent enough not to fall outside of the limitation period were allowed. Amendments relating to a retainer concerning the plaintiff's estate was allowed except for fraud and misrepresentation allegations where no material facts or particulars were provided. The application to add new parties was dismissed because the proposed amendments which included causes of actions involving those parties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9" w:name="Legislation Cited_14"/>
      <w:bookmarkEnd w:id="1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5"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3(3), s. 3(5), s. 3(6), s. 4(4), s. 6(1), s. 6(2),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3-7</w:t>
      </w:r>
      <w:r>
        <w:rPr>
          <w:rFonts w:ascii="arial" w:eastAsia="arial" w:hAnsi="arial" w:cs="arial"/>
          <w:color w:val="000000"/>
          <w:sz w:val="20"/>
          <w:lang w:val="en-US" w:eastAsia="en-US" w:bidi="ar-SA"/>
        </w:rPr>
        <w:t>(6), Rule 3-7(9), Rule 3-7(18), Rule 6-1, Rule 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0" w:name="Counsel_23"/>
      <w:bookmarkEnd w:id="1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T.J. Maledy, J.D. Maledy.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Respondents: D. LeDressay.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1" w:name="Judgment_23"/>
      <w:bookmarkEnd w:id="161"/>
      <w:r>
        <w:pict>
          <v:line id="_x0000_s1147" style="position:absolute;z-index:251836416" from="0,12pt" to="512pt,12pt" strokecolor="#009ddb" strokeweight="1.5pt">
            <v:stroke linestyle="single"/>
          </v:line>
        </w:pic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Relevant Legislation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Law on amendments to pleadings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Discretion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Necessary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Disclose a cause of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Grounds to refuse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Particulars required in relation to certain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claims</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Periods</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Legal Principles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Kamloops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Point Roberts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ML Plaza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Credit Line Loan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Other Loan Agreements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West 34th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Retainer related to estate of Donald Lee</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 of Parties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2" w:name="M.A. MAISONVILLE J."/>
            <w:bookmarkEnd w:id="162"/>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concern the plaintiffs' application to amend their Notice of Civil Claim to include many new facts, causes of action and three new parties. For the reasons that follow, I am dismissing the application to amend the majority of the pleadings as presently framed and am similarly dismissing the application to add certain parties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was an application to add defendants to an action, brought pursuant to Rule 6-2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and to have leave to amend the notice of claim filed May 19, 2011, pursuant to Rule 6-1(1)(b)(i)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trial of this matter is scheduled for 15 days starting January 12, 2015. This application to amend was brought approximately two years after the Original Notice of Civil Claim ("Original Notice") was filed on May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proposed Amended Notice of Claim ("proposed Amended Notice") is complicated, and increases the size of the claim from 28 paragraphs in the Original Notice to 108 paragraphs in the proposed Amended Notice; and from four causes of action in the Original Notice, to in excess of 25 causes of action in the proposed Amended Notice. The complicated nature of these amendments is exacerbated by the fact that the plaintiffs are claiming additional causes of action stemming from events that occurred anywhere from ten to 25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Donald Lee and Gilbert Lee (the "defendant Lee") were brothers. Donald Lee was a longshoreman, now deceased, and the defendant Lee, his younger brother, is a chartered accountant and a principal of the defendant G.Y. Lee &amp; Associates and the defendant Four-L's Investments Inc. ("4L"). The plaintiff Linda Lee is the widow, executrix and sole beneficiary of Donald Lee's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proposed Amended Notice also seeks to add the following parties as defendants: Lilly Joyce Lee, the wife of the defendant Lee, Stacey Samantha Lee, the daughter of the defendant Lee, and Patrick Sam Wong, the husband of Stacey Samantha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Original Notice alleged, firstly, that there was a joint venture between Donald Lee and the defendant Lee with respect to certain property in Kamloops. Secondly, it was alleged that there was a credit line obtained by the defendant Lee that was secured against the residential premises of Donald Lee and the plaintiffs. Thirdly, it was alleged that the defendant Lee was retained to assist the plaintiffs with the administration of Donald Lee's estate, and that he prepared and submitted a probate application with respect to this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alleged that Donald Lee was a partner in the joint venture for the Kamloops property and held a beneficial interest in that property. It is alleged that the defendant Lee has failed to provide any accounting with regards to this property. The plaintiffs also alleged that the defendant Lee had failed to repay the line of credit, although the specific amount owing was not described in the Original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further alleged that, in his capacity assisting the plaintiffs in administering the estate, the defendant Lee owed a fiduciary duty, which he had breached. Consequently, relief was sought in the nature of general and special damages, as well as an order that the defendant Lee produce proper accounting on all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proposed Amended Notice adds numerous facts, causes of action and seeks to add the parties outlined above. Almost all of these additional causes of action arose out of events between ten and 25 years ago, and appear to have limitation periods which long ago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assert that the limitation periods which were in effect at the time the causes of action arose,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had not begun to run until recently, and thus have not expired. For all of these new actions, the plaintiffs' claim is that the defendant Lee and Donald Lee were in a trustee-beneficiary relationship, with the defendant Lee as trustee. Section 6(1)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,then in effect, provided that a limitation period for fraud or the fraudulent transfer of trust property, involving a trustee as a party, would only begin to run when the beneficiary became aware of wrongdoing. Further, according to s. 6(2)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onus of demonstrating the limitation period has begun running rests on the trustee, in this case the defendant Lee. The plaintiffs submit that the defendant has not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result of this submission respecting the trustee relationship between the brothers, it is not necessary to go through every proposed amendment. If there are no material facts on which to base the claim of a trustee relationship, then the limitation periods for causes of action relying on the alleged trustee relationship, all expired before the Original Notice was filed. Based on the case law outlined below, those causes of action will therefore not be allowed 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are two related legal issues to be decided in this case: first, should all the proposed amendments be allowed; and, second, should the new parties be added as defendants in the claim. As will be shown below, the result of disposing of the first issue, will make it unnecessary to deal with the second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Amendments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Relevant Legislation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SUPREME COURT CIVIL RULES</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B.C. Reg. 168/2009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3-7 - Pleadings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Inconsistent allegations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must not plead an allegation of fact or a new ground or claim inconsistent with the party's previous pleading.</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Pleading conclusions of law</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of law must not be pleaded unless the material facts supporting them are pleaded.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When particulars necessary</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6-1 - Amendment of Pleadings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When pleadings may be amended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the earlier of the following:</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service of the notice of trial,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 case planning conference is held,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earlier of the dates referred to in paragraph (a) of this subrule, only with</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 of record.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6-2 - Change of Parties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Adding, removing or substituting parties by order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 that, in the opinion of the court, it would be just and convenient to determine as between the person and that party.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36" w:history="1">
        <w:r>
          <w:rPr>
            <w:rFonts w:ascii="arial" w:eastAsia="arial" w:hAnsi="arial" w:cs="arial"/>
            <w:b/>
            <w:i/>
            <w:color w:val="0077CC"/>
            <w:sz w:val="20"/>
            <w:u w:val="single"/>
            <w:shd w:val="clear" w:color="auto" w:fill="FFFFFF"/>
            <w:lang w:val="en-US" w:eastAsia="en-US" w:bidi="ar-SA"/>
          </w:rPr>
          <w:t>R.S.B.C. 1996, c. 266</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After the expiration of 10 years after the date on which the right to do so arose a person may not bring any of the following actions:</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personal representatives of a deceased person for a share of the estate;</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trustee in respect of any fraud or fraudulent breach of trust to which the trustee was party or privy;</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trustee for the conversion of trust property to the trustee's own use;</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trust property or property into which trust property can be traced against a trustee or any other person;</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money on account of a wrongful distribution of trust property against the person to whom the property is distributed, or a successor;</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local judgment for the payment of money or the return of personal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(1) If, after time has begun to run with respect to a limitation period set by this Act, but before the expiration of the limitation period, a person against whom an action lies confirms the cause of action, the time during which the limitation period runs before the date of the confirmation does not count in the reckoning of the limitation period for the action by a person having the benefit of the confirmation against a person bound by the confirmation.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confirms a cause of action only if the person</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acknowledges a cause of action, right or title of another, or</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 payment in respect of a cause of action, right or title of another,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acknowledgment of a judgment or debt has effect</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a promise to pay can be implied from it, and</w:t>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it is accompanied by a refusal to pay,</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confirmation of a cause of action to recover interest on principal money operates also as a confirmation of a cause of action to recover the principal money, and</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confirmation of a cause of action to recover income falling due at any time operates also as a confirmation of a cause of action to recover income falling due at a later time on the same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(1) The running of time with respect to the limitation period set by this Act for an action</w:t>
      </w:r>
    </w:p>
    <w:p>
      <w:pPr>
        <w:numPr>
          <w:numId w:val="4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4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numPr>
          <w:numId w:val="4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burden of proving that time has begun to run so as to bar an action rests on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Applicable Law on amendments to 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decision of whether to allow amendments or not is a matter of discretion. This discretion is wide, in order for the court to determine what is in the interests of justice and to do what is just and convenient between the parties: </w:t>
      </w:r>
      <w:r>
        <w:rPr>
          <w:rFonts w:ascii="arial" w:eastAsia="arial" w:hAnsi="arial" w:cs="arial"/>
          <w:i/>
          <w:color w:val="000000"/>
          <w:sz w:val="20"/>
          <w:lang w:val="en-US" w:eastAsia="en-US" w:bidi="ar-SA"/>
        </w:rPr>
        <w:t>Jones v. Lululemon Athletica Inc.</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2008 BCSC 719</w:t>
        </w:r>
      </w:hyperlink>
      <w:r>
        <w:rPr>
          <w:rFonts w:ascii="arial" w:eastAsia="arial" w:hAnsi="arial" w:cs="arial"/>
          <w:color w:val="000000"/>
          <w:sz w:val="20"/>
          <w:lang w:val="en-US" w:eastAsia="en-US" w:bidi="ar-SA"/>
        </w:rPr>
        <w:t xml:space="preserve">, at para. 35. The overriding concern in determining whether to allow amendments is whether it is just and convenient that the amendment be granted: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at paras. 18 and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principles relating to an application for leave to amend pleadings were summarized by McLachlin J., as she then was, in </w:t>
      </w:r>
      <w:r>
        <w:rPr>
          <w:rFonts w:ascii="arial" w:eastAsia="arial" w:hAnsi="arial" w:cs="arial"/>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 at pp. 46 and 47. There the Chief Justice stated that the court should adopt a generous approach to amendments. The question is whether the amendments are necessary to determine the real question in issue between the parties, and permit a just and speedy determination of the dispute on its merits. However, the Court also said that pleadings which violate the rules will not be allowed. In regards to claims disclosing no reasonable claims, if there is any doubt on either the facts or law, the matter should be allowed to proceed for determination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proposed amendment must meet the general standard of pleadings, i.e. that they disclose a reasonable cause of action: </w:t>
      </w:r>
      <w:r>
        <w:rPr>
          <w:rFonts w:ascii="arial" w:eastAsia="arial" w:hAnsi="arial" w:cs="arial"/>
          <w:i/>
          <w:color w:val="000000"/>
          <w:sz w:val="20"/>
          <w:lang w:val="en-US" w:eastAsia="en-US" w:bidi="ar-SA"/>
        </w:rPr>
        <w:t>Omineca Enterprises Ltd. v. British Columbia Development Corporation</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[1999] B.C.J. No. 755</w:t>
        </w:r>
      </w:hyperlink>
      <w:r>
        <w:rPr>
          <w:rFonts w:ascii="arial" w:eastAsia="arial" w:hAnsi="arial" w:cs="arial"/>
          <w:color w:val="000000"/>
          <w:sz w:val="20"/>
          <w:lang w:val="en-US" w:eastAsia="en-US" w:bidi="ar-SA"/>
        </w:rPr>
        <w:t xml:space="preserve"> (S.C.), at para. 7. In </w:t>
      </w:r>
      <w:r>
        <w:rPr>
          <w:rFonts w:ascii="arial" w:eastAsia="arial" w:hAnsi="arial" w:cs="arial"/>
          <w:i/>
          <w:color w:val="000000"/>
          <w:sz w:val="20"/>
          <w:lang w:val="en-US" w:eastAsia="en-US" w:bidi="ar-SA"/>
        </w:rPr>
        <w:t>Virk v. Brar</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2011 BCSC 301</w:t>
        </w:r>
      </w:hyperlink>
      <w:r>
        <w:rPr>
          <w:rFonts w:ascii="arial" w:eastAsia="arial" w:hAnsi="arial" w:cs="arial"/>
          <w:color w:val="000000"/>
          <w:sz w:val="20"/>
          <w:lang w:val="en-US" w:eastAsia="en-US" w:bidi="ar-SA"/>
        </w:rPr>
        <w:t>, Adair J. explained this requirement: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court will not give its sanction to amendments which violate the rules that govern pleadings. These include the requirements relating to conciseness and the pleading of material facts (Rule 3-1(2)(a)); that a pleading must not contain the evidence by which the facts alleged in it are to be proved (Rule 3-7(1)); that a party must not plead an allegation of fact inconsistent with the party's previous pleading, although a party is permitted to plead in the alternative (Rule 3-7(6) and (7)); the requirement to provide particulars (Rule 3-7(18)); and the prohibition against pleadings which disclose no reasonable claim or are otherwise scandalous, frivolous or vexatious or embarrassing (Rule 9-5(1)).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A statement of claim (now a notice of civil claim) must plead the causes of action in the traditional way so that the defendant may know the case it has to meet, to the end that clear issues of fact and law are presented for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Accordingly, in an application to amend, the Court must look, firstly, to see whether the proposed amendment states the material facts and, secondly, plead the law enabling the defendants to meaningfully respond.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Grounds to refuse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Before the courts will strike out a pleading or refuse an amendment on the ground that it discloses no reasonable cause of action or defence, the case must be perfectly clear: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at 25 (C.A.). Madam Justice Wilson explained the standard needed to be met for striking a pleading that discloses no reasonable cause of action in </w:t>
      </w:r>
      <w:r>
        <w:rPr>
          <w:rFonts w:ascii="arial" w:eastAsia="arial" w:hAnsi="arial" w:cs="arial"/>
          <w:i/>
          <w:color w:val="000000"/>
          <w:sz w:val="20"/>
          <w:lang w:val="en-US" w:eastAsia="en-US" w:bidi="ar-SA"/>
        </w:rPr>
        <w:t>Hunt v. Carey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R.S.C.O. 18, r. 19: assuming that the facts as stated in the statement of claim can be proved, is it "plain and obvious" that the plaintiff's statement of claim discloses no reasonable cause of action? ...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However, as stated above, the amendments must still conform to the legislation governing civil procedure in the relevant jurisdiction. In British Columbia, by Rule 3-7(9), conclusions of law are not to be pleaded unless there are material facts to support this conclusion. For example, in order to advance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must be material facts which, if assumed to be true, could give rise to a duty of care: </w:t>
      </w:r>
      <w:r>
        <w:rPr>
          <w:rFonts w:ascii="arial" w:eastAsia="arial" w:hAnsi="arial" w:cs="arial"/>
          <w:i/>
          <w:color w:val="000000"/>
          <w:sz w:val="20"/>
          <w:lang w:val="en-US" w:eastAsia="en-US" w:bidi="ar-SA"/>
        </w:rPr>
        <w:t>F.G.M. Holdings Ltd. v. British Columbia (Workers' Compensation Board)</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2000 BCSC 1188</w:t>
        </w:r>
      </w:hyperlink>
      <w:r>
        <w:rPr>
          <w:rFonts w:ascii="arial" w:eastAsia="arial" w:hAnsi="arial" w:cs="arial"/>
          <w:color w:val="000000"/>
          <w:sz w:val="20"/>
          <w:lang w:val="en-US" w:eastAsia="en-US" w:bidi="ar-SA"/>
        </w:rPr>
        <w:t xml:space="preserve">, at para. 18. As well, the bare statement of a cause of action, such as bad faith or fraud, is insufficient to allow the claim to stand: </w:t>
      </w:r>
      <w:r>
        <w:rPr>
          <w:rFonts w:ascii="arial" w:eastAsia="arial" w:hAnsi="arial" w:cs="arial"/>
          <w:i/>
          <w:color w:val="000000"/>
          <w:sz w:val="20"/>
          <w:lang w:val="en-US" w:eastAsia="en-US" w:bidi="ar-SA"/>
        </w:rPr>
        <w:t>Coast Dryland Services Ltd. v. Canada (Ministry of Fisheries and Oceans)</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2007 FC 16</w:t>
        </w:r>
      </w:hyperlink>
      <w:r>
        <w:rPr>
          <w:rFonts w:ascii="arial" w:eastAsia="arial" w:hAnsi="arial" w:cs="arial"/>
          <w:color w:val="000000"/>
          <w:sz w:val="20"/>
          <w:lang w:val="en-US" w:eastAsia="en-US" w:bidi="ar-SA"/>
        </w:rPr>
        <w:t>,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 Court of Appeal looked at the issue of a lack of material facts in relationship to the rule set out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discussed above. The case was an appeal from a decision of Mr. Justice Bouck dismissing an action on the grounds that the statement of claim alleged no cause of action, that the action was unnecessary, frivolous, vexatious, and the action was an abuse of the court's process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at para. 1). At para. 20, the Court of Appeal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adopted the definition of a material fact as, "one that is essential in order to formulate a complete cause of action. </w:t>
      </w:r>
      <w:r>
        <w:rPr>
          <w:rFonts w:ascii="arial" w:eastAsia="arial" w:hAnsi="arial" w:cs="arial"/>
          <w:color w:val="000000"/>
          <w:sz w:val="20"/>
          <w:u w:val="single"/>
          <w:lang w:val="en-US" w:eastAsia="en-US" w:bidi="ar-SA"/>
        </w:rPr>
        <w:t>If a material fact is omitted, a cause of action is not effectively pleaded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After discussing the law relating to intentional infliction of mental distress, one of the claims made, Thackray J.A., writing for the court, turned to the case law around the rule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The court discussed the previous Supreme Court of Canada case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and the subsequent Court of Appeal case </w:t>
      </w:r>
      <w:r>
        <w:rPr>
          <w:rFonts w:ascii="arial" w:eastAsia="arial" w:hAnsi="arial" w:cs="arial"/>
          <w:i/>
          <w:color w:val="000000"/>
          <w:sz w:val="20"/>
          <w:lang w:val="en-US" w:eastAsia="en-US" w:bidi="ar-SA"/>
        </w:rPr>
        <w:t>Rogers v. Bank of Montreal</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(1986), 9 B.C.L.R. (2d) 190</w:t>
        </w:r>
      </w:hyperlink>
      <w:r>
        <w:rPr>
          <w:rFonts w:ascii="arial" w:eastAsia="arial" w:hAnsi="arial" w:cs="arial"/>
          <w:color w:val="000000"/>
          <w:sz w:val="20"/>
          <w:lang w:val="en-US" w:eastAsia="en-US" w:bidi="ar-SA"/>
        </w:rPr>
        <w:t xml:space="preserve"> (C.A.). Thackray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It is clear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in proceedings of this kind. However, my consideration of the above authorities leads me to the conclusion that </w:t>
      </w:r>
      <w:r>
        <w:rPr>
          <w:rFonts w:ascii="arial" w:eastAsia="arial" w:hAnsi="arial" w:cs="arial"/>
          <w:color w:val="000000"/>
          <w:sz w:val="20"/>
          <w:u w:val="single"/>
          <w:lang w:val="en-US" w:eastAsia="en-US" w:bidi="ar-SA"/>
        </w:rPr>
        <w:t>it is not fundamentally wrong to look behind the allegations in some cases</w:t>
      </w:r>
      <w:r>
        <w:rPr>
          <w:rFonts w:ascii="arial" w:eastAsia="arial" w:hAnsi="arial" w:cs="arial"/>
          <w:color w:val="000000"/>
          <w:sz w:val="20"/>
          <w:lang w:val="en-US" w:eastAsia="en-US" w:bidi="ar-SA"/>
        </w:rPr>
        <w:t xml:space="preserve">. This can be taken from the statement of Estey J. in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that the "rule ... does not require that allegations based on assumptions and speculation be taken as true. ... No violence is done to the rule where allegations, incapable of proof, are not taken as proven." This is also supported by the comment of Esson J.A. in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that, "the process ... of subjecting the allegations in the pleadings to sceptical analysis in order to determine their true character, I consider that to have been an entirely appropriate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t>
      </w:r>
      <w:r>
        <w:rPr>
          <w:rFonts w:ascii="arial" w:eastAsia="arial" w:hAnsi="arial" w:cs="arial"/>
          <w:color w:val="000000"/>
          <w:sz w:val="20"/>
          <w:u w:val="single"/>
          <w:lang w:val="en-US" w:eastAsia="en-US" w:bidi="ar-SA"/>
        </w:rPr>
        <w:t>Therefore, in my opinion, considering the circumstances, litigation history and allegations in the case at bar it is appropriate to subject them to a sceptical analysis.</w:t>
      </w:r>
      <w:r>
        <w:rPr>
          <w:rFonts w:ascii="arial" w:eastAsia="arial" w:hAnsi="arial" w:cs="arial"/>
          <w:color w:val="000000"/>
          <w:sz w:val="20"/>
          <w:lang w:val="en-US" w:eastAsia="en-US" w:bidi="ar-SA"/>
        </w:rPr>
        <w:t xml:space="preserve"> Paragraphs 40, 41, 45, 46 and 47 of the statement of claim allege, against all of the defendants, intolerance, deceit, harassment, intimidation, writing malicious letters, falsifying documents and, in general, in disrupting the appellants' lives. They include an allegation that all of the defendants allowed, encouraged and influenced some of the Youngs' neighbours in "attempts to collide with the Plaintiffs' moving car, vandalism to the Plaintiff's property, uttering threats, trespassing, and watching of the Plaintiffs and their home." Paragraph 63 alleges that the "corporate" defendants, "under advice of Defendant Mr. Borzoni, fabricated and falsified documents destined" for the Tribunal and the Supreme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went on to find that most of the allegations could only be seen as "wild speculation", words not reality, and were therefore subject to a sceptical analysis. Thackray J.A. also held that, even if the facts were taken to be true, they do not provide the material facts necessary for a complete cause of action, as they do not ground all the elements which the plaintiffs are required to establish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Particulars required in relation to certain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Proposed amendments must also comply with Rule 3-7(18), which states that it is necessary to provide full particulars when claiming certain causes of action, such as fraud or breach of trust, or when necessary in general. The general function of particulars was explained by Madam Justice MacKenzie in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2009 BCSC 839</w:t>
        </w:r>
      </w:hyperlink>
      <w:r>
        <w:rPr>
          <w:rFonts w:ascii="arial" w:eastAsia="arial" w:hAnsi="arial" w:cs="arial"/>
          <w:color w:val="000000"/>
          <w:sz w:val="20"/>
          <w:lang w:val="en-US" w:eastAsia="en-US" w:bidi="ar-SA"/>
        </w:rPr>
        <w:t>,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function of particulars in B.C. is set out in [</w:t>
      </w:r>
      <w:r>
        <w:rPr>
          <w:rFonts w:ascii="arial" w:eastAsia="arial" w:hAnsi="arial" w:cs="arial"/>
          <w:i/>
          <w:color w:val="000000"/>
          <w:sz w:val="20"/>
          <w:lang w:val="en-US" w:eastAsia="en-US" w:bidi="ar-SA"/>
        </w:rPr>
        <w:t>Cansulex Ltd. v. Perry</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Mr. Justice Lambert, for the court, set out the following purposes of particulars at para. 15:</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the trial;</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4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discussed the issue of sufficiency of particulars, for a cause of action not listed in Rule 3-7(18), in </w:t>
      </w:r>
      <w:r>
        <w:rPr>
          <w:rFonts w:ascii="arial" w:eastAsia="arial" w:hAnsi="arial" w:cs="arial"/>
          <w:i/>
          <w:color w:val="000000"/>
          <w:sz w:val="20"/>
          <w:lang w:val="en-US" w:eastAsia="en-US" w:bidi="ar-SA"/>
        </w:rPr>
        <w:t>British Columbia Society of the Prevention of Cruelty to Animals v. Stone</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2009 BCSC 725</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In this case, the defendants applied for leave to amend their statements of defence in a defamation action. The plaintiffs argued that the particulars given in the amendment were too vague for them to be able to meet the case against them. The trial judge, Madam Justice Fenlon, agreed that some of the particulars were too vague, and that the defendants would have to supply details of the place, time, or people involved in the alleged events for the pleadings to suffice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also argued that any complaint the plaintiffs had regarding the sufficiency of particulars could be addressed by a further request for particulars, and not by refusing to allow the pleadings. Fenlon J. rejected this argument at para. 42,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accept the defendants' argument that it is up to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xml:space="preserve"> to ask for further particulars, or to obtain those particulars on examination for discovery. In approaching its pleadings in this way, the defendants overlook the very specific role of particulars in defamation cases. Particulars must be provided in the first instance if the pleading is to stand. It is no answer for the defendants to say that they will provide further details later if asked and if they are able to obtain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test was set out and applied by the Fenlon J.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sufficiency of the particulars is whether the plaintiff is able to identify in a reasonable way the incident described by the defendants. It will not be necessary in every case for the defendants to provide the exact date, place, name of employee, or name of animal, but enough of these details should be available to the plaintiff to put it in a position to investigate the allegation. For example, in subparagraph 42C(s) the defendants state</w:t>
      </w:r>
    </w:p>
    <w:p>
      <w:pPr>
        <w:numPr>
          <w:numId w:val="4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Victoria Branch, a Weimeraner in distress was left in its cage without treatment on the orders of Dr. Jamie Lawson. The dog was found dead from torsion in its cage the following morning. Dr. Lawson was not fired or sanctioned as a result of this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incident is not described in sufficient detail. The defendants must provide </w:t>
      </w:r>
      <w:r>
        <w:rPr>
          <w:rFonts w:ascii="arial" w:eastAsia="arial" w:hAnsi="arial" w:cs="arial"/>
          <w:i/>
          <w:color w:val="000000"/>
          <w:sz w:val="20"/>
          <w:lang w:val="en-US" w:eastAsia="en-US" w:bidi="ar-SA"/>
        </w:rPr>
        <w:t>BC SPCA</w:t>
      </w:r>
      <w:r>
        <w:rPr>
          <w:rFonts w:ascii="arial" w:eastAsia="arial" w:hAnsi="arial" w:cs="arial"/>
          <w:color w:val="000000"/>
          <w:sz w:val="20"/>
          <w:lang w:val="en-US" w:eastAsia="en-US" w:bidi="ar-SA"/>
        </w:rPr>
        <w:t xml:space="preserve"> with a reasonable timeframe within which the incident is alleged to have occurred. While in this instance a precise day or month is not required, the approximate year is necessary. That information, in conjunction with the name of the veterinarian, the breed of the dog, and the branch should enable </w:t>
      </w:r>
      <w:r>
        <w:rPr>
          <w:rFonts w:ascii="arial" w:eastAsia="arial" w:hAnsi="arial" w:cs="arial"/>
          <w:i/>
          <w:color w:val="000000"/>
          <w:sz w:val="20"/>
          <w:lang w:val="en-US" w:eastAsia="en-US" w:bidi="ar-SA"/>
        </w:rPr>
        <w:t>BC SPCA</w:t>
      </w:r>
      <w:r>
        <w:rPr>
          <w:rFonts w:ascii="arial" w:eastAsia="arial" w:hAnsi="arial" w:cs="arial"/>
          <w:color w:val="000000"/>
          <w:sz w:val="20"/>
          <w:lang w:val="en-US" w:eastAsia="en-US" w:bidi="ar-SA"/>
        </w:rPr>
        <w:t xml:space="preserve"> to identify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the Court was dealing with an amended statement of defence that added 80 pages to the defendant's pleadings. Rather than deal with every amendment contained in that 80 pages, Fenlon J. stated that the issue was whether the defendants should be given leave to amend the statement of defence "in the form proposed" (at para. 9.) After finding that the pleadings lacked particularity and were generally confusing and repetitive, Her Ladyship dismissed the defendants' application to amend their statements of defence in the form attached to the notice of motion but leave to reapply was granted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xml:space="preserve"> dealt with a cause of action not listed under Rule 3-7(18), it follows that the test for sufficiency of particulars would be even more stringent in cases where a cause of action is explicitly listed in Rule 3-7(18), and thus legislatively requires full particulars. There are cases where a plaintiff may be allowed to plead causes of action, including those that require full particulars such as fraud, without all the particulars, if there is evidence that the defendants themselves are the sole depository of the particulars asked for: see </w:t>
      </w:r>
      <w:r>
        <w:rPr>
          <w:rFonts w:ascii="arial" w:eastAsia="arial" w:hAnsi="arial" w:cs="arial"/>
          <w:i/>
          <w:color w:val="000000"/>
          <w:sz w:val="20"/>
          <w:lang w:val="en-US" w:eastAsia="en-US" w:bidi="ar-SA"/>
        </w:rPr>
        <w:t>Central Power Products v. 238022 B.C. Ltd.</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2003 BCSC 1088</w:t>
        </w:r>
      </w:hyperlink>
      <w:r>
        <w:rPr>
          <w:rFonts w:ascii="arial" w:eastAsia="arial" w:hAnsi="arial" w:cs="arial"/>
          <w:color w:val="000000"/>
          <w:sz w:val="20"/>
          <w:lang w:val="en-US" w:eastAsia="en-US" w:bidi="ar-SA"/>
        </w:rPr>
        <w:t xml:space="preserve">, at para. 21, where McEwan J. quoted from an earlier Court of Appeal case, </w:t>
      </w:r>
      <w:r>
        <w:rPr>
          <w:rFonts w:ascii="arial" w:eastAsia="arial" w:hAnsi="arial" w:cs="arial"/>
          <w:i/>
          <w:color w:val="000000"/>
          <w:sz w:val="20"/>
          <w:lang w:val="en-US" w:eastAsia="en-US" w:bidi="ar-SA"/>
        </w:rPr>
        <w:t>British Columbia Liquors Company Limited v. Consolidated Exporters Corporation Limited et al.</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[1930] 2 W.W.R. 379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same passage from </w:t>
      </w:r>
      <w:r>
        <w:rPr>
          <w:rFonts w:ascii="arial" w:eastAsia="arial" w:hAnsi="arial" w:cs="arial"/>
          <w:i/>
          <w:color w:val="000000"/>
          <w:sz w:val="20"/>
          <w:lang w:val="en-US" w:eastAsia="en-US" w:bidi="ar-SA"/>
        </w:rPr>
        <w:t>Consolidated Exporters</w:t>
      </w:r>
      <w:r>
        <w:rPr>
          <w:rFonts w:ascii="arial" w:eastAsia="arial" w:hAnsi="arial" w:cs="arial"/>
          <w:color w:val="000000"/>
          <w:sz w:val="20"/>
          <w:lang w:val="en-US" w:eastAsia="en-US" w:bidi="ar-SA"/>
        </w:rPr>
        <w:t xml:space="preserve"> begins by finding that, in cases of such as fraud, the plaintiff ought to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particularize (</w:t>
      </w:r>
      <w:r>
        <w:rPr>
          <w:rFonts w:ascii="arial" w:eastAsia="arial" w:hAnsi="arial" w:cs="arial"/>
          <w:i/>
          <w:color w:val="000000"/>
          <w:sz w:val="20"/>
          <w:lang w:val="en-US" w:eastAsia="en-US" w:bidi="ar-SA"/>
        </w:rPr>
        <w:t>Central Power</w:t>
      </w:r>
      <w:r>
        <w:rPr>
          <w:rFonts w:ascii="arial" w:eastAsia="arial" w:hAnsi="arial" w:cs="arial"/>
          <w:color w:val="000000"/>
          <w:sz w:val="20"/>
          <w:lang w:val="en-US" w:eastAsia="en-US" w:bidi="ar-SA"/>
        </w:rPr>
        <w:t xml:space="preserve">, at para. 21). Accordingly, if the plaintiffs wish to plead such an alleged cause of action, hoping to get further particulars on examination for discovery, the onus is on the plaintiff to demonstrate the factual basis for believing such a cause exists, and that the defendant is the sole depository for those particulars. To hold otherwise would allow a plaintiff to make a claim, simply stating that the defendant is the sole depository, in order to conduct a "fishing expedition". As stated by Madam Justice Southin, as she then was, in </w:t>
      </w:r>
      <w:r>
        <w:rPr>
          <w:rFonts w:ascii="arial" w:eastAsia="arial" w:hAnsi="arial" w:cs="arial"/>
          <w:i/>
          <w:color w:val="000000"/>
          <w:sz w:val="20"/>
          <w:lang w:val="en-US" w:eastAsia="en-US" w:bidi="ar-SA"/>
        </w:rPr>
        <w:t>Proconic Electronics Ltd. v. Wong</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[1985] B.C.J. No. 2863</w:t>
        </w:r>
      </w:hyperlink>
      <w:r>
        <w:rPr>
          <w:rFonts w:ascii="arial" w:eastAsia="arial" w:hAnsi="arial" w:cs="arial"/>
          <w:color w:val="000000"/>
          <w:sz w:val="20"/>
          <w:lang w:val="en-US" w:eastAsia="en-US" w:bidi="ar-SA"/>
        </w:rPr>
        <w:t>,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expression "a fishing expedition" is hallowed by usage, it really does not provide a principle upon which a decision can be founded. Some fishing expeditions are, if I may put it so, licensed by the Rules of Court and authority; others are not. </w:t>
      </w:r>
      <w:r>
        <w:rPr>
          <w:rFonts w:ascii="arial" w:eastAsia="arial" w:hAnsi="arial" w:cs="arial"/>
          <w:color w:val="000000"/>
          <w:sz w:val="20"/>
          <w:u w:val="single"/>
          <w:lang w:val="en-US" w:eastAsia="en-US" w:bidi="ar-SA"/>
        </w:rPr>
        <w:t>Perhaps it is not too fanciful to say that a litigant cannot have a licence to fish in his opponent's private swimming pool unless he can provide some evidence from which it can be inferred that there may be fish in that pool</w:t>
      </w:r>
      <w:r>
        <w:rPr>
          <w:rFonts w:ascii="arial" w:eastAsia="arial" w:hAnsi="arial" w:cs="arial"/>
          <w:color w:val="000000"/>
          <w:sz w:val="20"/>
          <w:lang w:val="en-US" w:eastAsia="en-US" w:bidi="ar-SA"/>
        </w:rPr>
        <w:t>. If there is no such evidence, the defendant need not let him in to see if there is a fish.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Proconic</w:t>
      </w:r>
      <w:r>
        <w:rPr>
          <w:rFonts w:ascii="arial" w:eastAsia="arial" w:hAnsi="arial" w:cs="arial"/>
          <w:color w:val="000000"/>
          <w:sz w:val="20"/>
          <w:lang w:val="en-US" w:eastAsia="en-US" w:bidi="ar-SA"/>
        </w:rPr>
        <w:t xml:space="preserve"> the plaintiff alleged that the defendants breached their fiduciary duty. However, the plaintiff also stated that the particulars of the claims were unknown, that the matters were within the sole knowledge of the defendants, and that particulars should not be required until after the examination for discovery. Southin J. (as she then was) dismissed this argument, and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 think a plaintiff who makes serious allegations of misconduct against someone who stands in a fiduciary relationship to him and who says he cannot give any particulars of those allegations must adduce some evidence even if very little in order to require a defendant to answer. </w:t>
      </w:r>
      <w:r>
        <w:rPr>
          <w:rFonts w:ascii="arial" w:eastAsia="arial" w:hAnsi="arial" w:cs="arial"/>
          <w:color w:val="000000"/>
          <w:sz w:val="20"/>
          <w:u w:val="single"/>
          <w:lang w:val="en-US" w:eastAsia="en-US" w:bidi="ar-SA"/>
        </w:rPr>
        <w:t>Defendants are not to be called upon to answer a bald allegation of breach of fiduciary duty of which there is no evidence and of which no particulars are given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If that were not so, every person who had ever stood in a fiduciary relationship to anyone else could be forced to account for all his own personal financial affairs to establish his own innocence. [Emphasis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expiration of a limitation period does not necessarily lead to a refusal of the amendment. The court has discretion, as granted by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to allow an amendments that court considers just, for a cause of action for which the limitation period has expired between the original claim and the application to amend. This does not apply, however, to limitation periods which expired before the initial cause of action. As stated by the Court of Appeal in </w:t>
      </w:r>
      <w:r>
        <w:rPr>
          <w:rFonts w:ascii="arial" w:eastAsia="arial" w:hAnsi="arial" w:cs="arial"/>
          <w:i/>
          <w:color w:val="000000"/>
          <w:sz w:val="20"/>
          <w:lang w:val="en-US" w:eastAsia="en-US" w:bidi="ar-SA"/>
        </w:rPr>
        <w:t>ASM Capital Corp. v. Mercer International Inc.</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[1999] B.C.J. No. 1276</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Section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confers a discretionary jurisdiction on the court to permit a defendant to amend a counterclaim to allege a cause of action which has become statute-barred since </w:t>
      </w:r>
      <w:r>
        <w:rPr>
          <w:rFonts w:ascii="arial" w:eastAsia="arial" w:hAnsi="arial" w:cs="arial"/>
          <w:color w:val="000000"/>
          <w:sz w:val="20"/>
          <w:u w:val="single"/>
          <w:lang w:val="en-US" w:eastAsia="en-US" w:bidi="ar-SA"/>
        </w:rPr>
        <w:t>the commencement of the plaintiff's action but not before</w:t>
      </w:r>
      <w:r>
        <w:rPr>
          <w:rFonts w:ascii="arial" w:eastAsia="arial" w:hAnsi="arial" w:cs="arial"/>
          <w:color w:val="000000"/>
          <w:sz w:val="20"/>
          <w:lang w:val="en-US" w:eastAsia="en-US" w:bidi="ar-SA"/>
        </w:rPr>
        <w:t xml:space="preserve">. This interpretation of s. 4(4) is supported by the language of the section; by reference to the 1974 proposals of the B.C. Law Reform Commission in its Report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this Court's decision in </w:t>
      </w:r>
      <w:r>
        <w:rPr>
          <w:rFonts w:ascii="arial" w:eastAsia="arial" w:hAnsi="arial" w:cs="arial"/>
          <w:i/>
          <w:color w:val="000000"/>
          <w:sz w:val="20"/>
          <w:lang w:val="en-US" w:eastAsia="en-US" w:bidi="ar-SA"/>
        </w:rPr>
        <w:t>Daco Developments Ltd. et al. v. Norman Lewis Co. Ltd.</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(1982), 33 B.C.L.R. 273</w:t>
        </w:r>
      </w:hyperlink>
      <w:r>
        <w:rPr>
          <w:rFonts w:ascii="arial" w:eastAsia="arial" w:hAnsi="arial" w:cs="arial"/>
          <w:color w:val="000000"/>
          <w:sz w:val="20"/>
          <w:lang w:val="en-US" w:eastAsia="en-US" w:bidi="ar-SA"/>
        </w:rPr>
        <w:t xml:space="preserve"> (C.A.) (also see </w:t>
      </w:r>
      <w:r>
        <w:rPr>
          <w:rFonts w:ascii="arial" w:eastAsia="arial" w:hAnsi="arial" w:cs="arial"/>
          <w:i/>
          <w:color w:val="000000"/>
          <w:sz w:val="20"/>
          <w:lang w:val="en-US" w:eastAsia="en-US" w:bidi="ar-SA"/>
        </w:rPr>
        <w:t>Hogan v. McKay</w:t>
      </w:r>
      <w:r>
        <w:rPr>
          <w:rFonts w:ascii="arial" w:eastAsia="arial" w:hAnsi="arial" w:cs="arial"/>
          <w:color w:val="000000"/>
          <w:sz w:val="20"/>
          <w:lang w:val="en-US" w:eastAsia="en-US" w:bidi="ar-SA"/>
        </w:rPr>
        <w:t xml:space="preserve"> (1984), 42 C.P.C. 264 (B.C.S.C.) and </w:t>
      </w:r>
      <w:r>
        <w:rPr>
          <w:rFonts w:ascii="arial" w:eastAsia="arial" w:hAnsi="arial" w:cs="arial"/>
          <w:i/>
          <w:color w:val="000000"/>
          <w:sz w:val="20"/>
          <w:lang w:val="en-US" w:eastAsia="en-US" w:bidi="ar-SA"/>
        </w:rPr>
        <w:t>Lewis v. McGhan Medical Corp.</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(1995), 37 C.P.C. (3d) 22</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discretion to permit amendments where the limitation period has expired since the commencement of the plaintiffs' action is broad. The court must consider factors, including (see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Fenwick</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numPr>
          <w:numId w:val="4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4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5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5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numPr>
          <w:numId w:val="5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is not an exhaustive list, and the overriding concern is whether the proposed amendment will be just and convenient: </w:t>
      </w:r>
      <w:r>
        <w:rPr>
          <w:rFonts w:ascii="arial" w:eastAsia="arial" w:hAnsi="arial" w:cs="arial"/>
          <w:i/>
          <w:color w:val="000000"/>
          <w:sz w:val="20"/>
          <w:lang w:val="en-US" w:eastAsia="en-US" w:bidi="ar-SA"/>
        </w:rPr>
        <w:t>Chouinard</w:t>
      </w:r>
      <w:r>
        <w:rPr>
          <w:rFonts w:ascii="arial" w:eastAsia="arial" w:hAnsi="arial" w:cs="arial"/>
          <w:color w:val="000000"/>
          <w:sz w:val="20"/>
          <w:lang w:val="en-US" w:eastAsia="en-US" w:bidi="ar-SA"/>
        </w:rPr>
        <w:t>, at paras. 17-21.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If there is a question as to whether the new amendment is statute barred then the Court should examine whether, in the exercise of its discretion under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 would nevertheless permit the amendment. If the answer is yes, the amendment should be allowed; if the answer is no, then the amendments should still be allowed without prejudice to the defendant to raise the limitation defence at trial: see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para. 47, per Bauman J.A. as he then was.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of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will discuss the proposed amendments under the headings they are discussed in the proposed Amended Notice. All reference to paragraphs, unless specifically referring to the Original Notice, will refer to the proposed Amended Notice. I will not deal with every single paragraph, but will focus, first, on the amendments which allow for the plaintiffs to claim that the limitation periods on many of these actions have not expired. As will be shown below, I am of the opinion that the plaintiffs have failed to provide sufficient particulars to show that the limitation periods have not expired. The limitation periods on some have expired well before the Original Notice was filed. As a result, most of these claims must be dismissed, as there is no discretion based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 4(4) to allow claims where the limitation period expired before the Original Notice was filed (see </w:t>
      </w:r>
      <w:r>
        <w:rPr>
          <w:rFonts w:ascii="arial" w:eastAsia="arial" w:hAnsi="arial" w:cs="arial"/>
          <w:i/>
          <w:color w:val="000000"/>
          <w:sz w:val="20"/>
          <w:lang w:val="en-US" w:eastAsia="en-US" w:bidi="ar-SA"/>
        </w:rPr>
        <w:t>ASM</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To begin, the proposed Amended Notice includes general amendments that come before the various headings with regards to causes of action. Paragraphs 12-15 are generally inadequate. The plaintiffs state that, "at all material times", with regard to a claim that spans at least 25 years, the following are alleged: 1) that the defendant "held himself out" to the plaintiffs and Donald Lee as an experienced financial advisor, without any particulars of how this was done or when. Was this a matter of a sibling relationship or a professional representation? 2) That Donald Lee and the plaintiffs were "unsophisticated investors". It is difficult to believe that for the entire time from 1988 to 2008, when Donald Lee died, or 1988 to 2011, when the Original Notice was filed, Donald Lee could be considered unsophisticated investors. The investment experience, based on the facts provided by the plaintiffs, over that period of time and concerning the large amounts of money alleged, would make the claim of being an unsophisticated investor for the entire period difficult to assert without more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is entitled to be skeptical with regard to this pleading, based on the decision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as these claims appear to be an attempt to paint every aspect of a sibling relationship over a quarter century with the brush of a fiduciary relationship and duty, and thus make every claim between them a breach of that duty. This duty may exist in cases that involve an alleged professional relationship, based on para. 12 of the proposed Notice of Claim for example, but must be supported with more specific material facts in the case of brothers, especially where it is submitted that Donald Lee looked up to the defendant Lee as a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application to amend paras. 14 and 15 are therefore dismissed. It would not be just and convenient to allow amendments which do not properly delineate the issues for trial, and are too vague to allow the defendant to know what evidence they would need to counter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regard to para. 18, though the defendant claims there are no facts to support the claim of a fiduciary duty, I disagree. It may be possible that the relationship between financial advisor and advisee, like solicitor-client, could give rise to a fiduciary relationship. However, this statement in this Notice as proposed is again too broad, as it uses the words "at all material times", which covers a 25 year span. As stated above, not all interaction between siblings for a quarter of a century can be described as a fiduciary relationship simply because the siblings, from time to time, they have a professional relationship as well. More particulars, such as dates and times, are required. I would therefore dismiss the application to amend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Though para. 19 is also vague, and deals with two corporations incorporated at different dates, it is uncontested and is thus would be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Kamloops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issue, and the events surrounding it, were discussed briefly in the Original Notice. This is the largest issue and the alleged facts regarding it start at para. 20, and go to para. 48 of the proposed Amended Notice. These facts are repetitive and mix together many causes of action and events. In the discussion below I will separate out which aspects are allowable and which are not, and will end by giving a list of the paragraphs of the proposed Amended Notice that are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alleged that the defendant Lee convinced Donald Lee to invest in a joint venture in 1988 (para. 20 &amp; 23). The defendant Lee allegedly represented to Donald Lee various terms that would be part of this joint venture agreement (para. 22). There are factual allegations regarding obtaining various mortgages on the Kamloops property, starting in 1988, with the last one occurring in 2008. In turn, based on these factual allegations, there are allegations made, indiscriminately, against all the defendants, 4L, the defendant Lee and Lee and Associates, of the following causes of action: breach fiduciary duty, the misappropriation of funds for personal use, fraudulent appropriation of funds for the defendant's use, and breach of the terms of the joint venture agreement. The allegations of these causes of action are then repeated at paras. 44-48.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the alleged facts that the defendant Lee was a financial advisor to Donald Lee, and that the claims with regard to the Kamloops property are in relation to a business deal, it is not plain and obvious that there is no cause of action in regard to the breach of fiduciary duty. The same can be said with regard to a breach of contract. Assuming the terms alleged were in fact represented by the defendant Lee to the deceased as part of an investment deal, then a failure to account for proceeds and a failure to pay any profits of the venture, if true, would be a breach of those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also alleges the conclusion of law that the Kamloops property was held as a "bare trust" by the defendant 4L for the partners of the joint venture. Not only are there no material facts to support this claim and which could establish that a trust was formed, the claim is contradictory. A bare trust is one "where the trustee holds property but has no responsibility except to convey the property to the beneficiary": </w:t>
      </w:r>
      <w:r>
        <w:rPr>
          <w:rFonts w:ascii="arial" w:eastAsia="arial" w:hAnsi="arial" w:cs="arial"/>
          <w:i/>
          <w:color w:val="000000"/>
          <w:sz w:val="20"/>
          <w:lang w:val="en-US" w:eastAsia="en-US" w:bidi="ar-SA"/>
        </w:rPr>
        <w:t>Halsbury's Laws of Canada - Trusts</w:t>
      </w:r>
      <w:r>
        <w:rPr>
          <w:rFonts w:ascii="arial" w:eastAsia="arial" w:hAnsi="arial" w:cs="arial"/>
          <w:color w:val="000000"/>
          <w:sz w:val="20"/>
          <w:lang w:val="en-US" w:eastAsia="en-US" w:bidi="ar-SA"/>
        </w:rPr>
        <w:t xml:space="preserve"> (Markham, ON: LexisNexis Canada Inc.) at 510 (indexed as </w:t>
      </w:r>
      <w:hyperlink r:id="rId595" w:history="1">
        <w:r>
          <w:rPr>
            <w:rFonts w:ascii="arial" w:eastAsia="arial" w:hAnsi="arial" w:cs="arial"/>
            <w:i/>
            <w:color w:val="0077CC"/>
            <w:sz w:val="20"/>
            <w:u w:val="single"/>
            <w:shd w:val="clear" w:color="auto" w:fill="FFFFFF"/>
            <w:lang w:val="en-US" w:eastAsia="en-US" w:bidi="ar-SA"/>
          </w:rPr>
          <w:t>HTR-14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allege, however, that the defendant 4L was to manage this property as an investment, which is inferred from the alleged duty to pay out percentages of profit to the investors, and make and produce accounts (para. 22 of the proposed Amended Notice). Further, the plaintiffs allege at para. 43(b), that the defendants "have failed to invest" the mortgage proceeds from the property, as the basis for the both the alleged breach of fiduciary duty and alleged breach of contract. These allegations support the position that the Kamloops Property was a business investment managed by an investment firm, the defendant 4L, not a bare trust property held by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turn now to the question of whether or not the limitation period has expired with regard to these causes of action. The plaintiffs have attempted to get around the limitation period by claiming a trustee relationship and relying s. 6(1) and (2)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which puts the onus on the trustee to show that the limitation period has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have stated that there may be a fiduciary relationship, based on the relationship of financial advisor and advisee. However, not every fiduciary relationship is a trustee relationship; for example, the solicitor-client relationship is a fiduciary relationship. The legal relationship of trustee and beneficiary is a specific legal entity which carries with it a fiduciary duty. Even the language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itself supports this view. At s. 6(3)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discusses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trust not covered within s. 6(1). That is, not every relationship of trust involves a trustee-beneficiary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presently proposed to be pleaded, there are no material facts which could support that this business relationship is a trustee-beneficiary relationship, the normal limitation periods apply, in this case six years for both breach of fiduciary duty and breach of contract, with an onus on the plaintiffs to show why those periods should be postponed. No argument in relation to postponement was made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Any cause of action stemming directly from the alleged representation by the defendant Lee, whether fraud or misrepresentation, could only stem from the alleged 1988 representations by the defendant Gilbert Lee to the deceased. The limitation period with regards to these causes of action expired approximately 17 years before the Original Notice of claim was filed. Thus, there is no discretion with regards to allowing the amendments to include these actions under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only alleged cause of action that was within the limitation period at the time the Original Notice was filed, is the breach of contract and breach of fiduciary duty arising from the alleged mortgage of May 6, 2008 (at para. 42). This was also pleaded in the Original Notice. However, part of this paragraph alleges that the defendants behaved fraudulently. As will be dealt with below, this allegation must be struck from para. 42 in order for the amendment to be allowed. Again, no particulars have been provided. Particulars of fraud should be provided. The failure to provide financial statements and profits from the contract is ongoing, assuming the truth of the alleged facts regarding the terms of the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There do not appear to be sufficient material facts on the proposed Amended Claim on which to base a cause of action for fraud. The following statement by Madam Justice Adair, at para. 11 of </w:t>
      </w:r>
      <w:r>
        <w:rPr>
          <w:rFonts w:ascii="arial" w:eastAsia="arial" w:hAnsi="arial" w:cs="arial"/>
          <w:i/>
          <w:color w:val="000000"/>
          <w:sz w:val="20"/>
          <w:lang w:val="en-US" w:eastAsia="en-US" w:bidi="ar-SA"/>
        </w:rPr>
        <w:t>Virks,</w:t>
      </w:r>
      <w:r>
        <w:rPr>
          <w:rFonts w:ascii="arial" w:eastAsia="arial" w:hAnsi="arial" w:cs="arial"/>
          <w:color w:val="000000"/>
          <w:sz w:val="20"/>
          <w:lang w:val="en-US" w:eastAsia="en-US" w:bidi="ar-SA"/>
        </w:rPr>
        <w:t xml:space="preserve"> applies equally well to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causes of action alleged are not novel. As against the Opponents, the plaintiffs allege fraud, fraudulent misrepresentation and conspiracy. There is ample guidance in texts on pleadings and in the case law on how to plead such causes of action, what material facts must be alleged and what particulars must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Fraud is a serious allegation and should not be alleged lightly. It is hence a cause of action which requires full particulars under Rule 3-7(18). Despite the argument of the plaintiffs that the defendant Lee is the sole depository of the particulars, there are no facts pleaded which would support a cause of action in fraud. Nor are there any alleged facts which explain why the plaintiffs claim this cause of action, how they know that the defendant has information about such a cause, and why they did not plead that cause in the Original Notice. As in </w:t>
      </w:r>
      <w:r>
        <w:rPr>
          <w:rFonts w:ascii="arial" w:eastAsia="arial" w:hAnsi="arial" w:cs="arial"/>
          <w:i/>
          <w:color w:val="000000"/>
          <w:sz w:val="20"/>
          <w:lang w:val="en-US" w:eastAsia="en-US" w:bidi="ar-SA"/>
        </w:rPr>
        <w:t>Proconic</w:t>
      </w:r>
      <w:r>
        <w:rPr>
          <w:rFonts w:ascii="arial" w:eastAsia="arial" w:hAnsi="arial" w:cs="arial"/>
          <w:color w:val="000000"/>
          <w:sz w:val="20"/>
          <w:lang w:val="en-US" w:eastAsia="en-US" w:bidi="ar-SA"/>
        </w:rPr>
        <w:t>, the defendant in this case cannot be called upon to answer a bald allegation of fraud, without any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same applies to the allegations regarding the misappropriation of funds. There are no material facts on which to base the claim that funds were misappropriated by defendant Lee or Lee and Associates. This is a legal conclusion which is simply stated as speculation, and cannot be assumed to be true in order to ground itself or another conclusion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Therefore, all amendments which allege misappropriation of funds and fraud should be dismissed. This does not necessarily bar the plaintiffs from asking about the use of mortgage funds with regard to the Kamloops Property in examination for discovery. Such questions could be based on the alleged terms of the investment agreement, which, if true, would require the defendant 4L to prepare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not clear what is meant by a "secret commission" in para. 26 of the proposed Amended Notice. There are no particulars (date, time, from whom the commission came) with regards to this alleged commission. This is not a cause of action and there are no facts alleged that would show that any of the defendants were not entitled to receive a commission in regards to this deal. The plaintiffs may allege that a commission was received, but cannot, without more, allege a legal conclusion with regards to it. Therefore the application to amend paras. 26 and 27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application to amend para. 34, which contains allegations of breach of fiduciary duty and breach of contract, in relation to a specific percentage of something unknown, must also be dismissed. First, it is unclear what is alleged in para. 34 as there is no word following the percentage given. Second, as there is no date given it is impossible to know if the limitation period has expired. These allegations are made alongside allegations regarding two mortgages, the latest being 1998, and I am therefore left to infer that the alleged facts in para. 34 happened at the same time, and the limitation period with regards to these causes of action (six years) have therefore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Based on the above discussion, the only amendments in this part of the proposed Amended Notice which should be allowed are: 20, 21 (with all mention of trust and beneficial interest removed), 22, 23, 25, 42 (with removal of word fraudulently), and 45. These proposed amendments are allowed as specified.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Point Roberts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proposed amended pleadings with regards to this property are found at paras. 49 to 55, and are all new to the proposed Amended Notice. The plaintiffs allege that Donald Lee and the plaintiffs agreed to provide $50,000 to invest in a property in Point Roberts, Washington, sometime around 1994. The plaintiffs allege that, as a term of that agreement the plaintiffs and Donald Lee were to receive </w:t>
      </w:r>
      <w:r>
        <w:rPr>
          <w:rFonts w:ascii="arial" w:eastAsia="arial" w:hAnsi="arial" w:cs="arial"/>
          <w:i/>
          <w:color w:val="000000"/>
          <w:sz w:val="20"/>
          <w:lang w:val="en-US" w:eastAsia="en-US" w:bidi="ar-SA"/>
        </w:rPr>
        <w:t>pro rata</w:t>
      </w:r>
      <w:r>
        <w:rPr>
          <w:rFonts w:ascii="arial" w:eastAsia="arial" w:hAnsi="arial" w:cs="arial"/>
          <w:color w:val="000000"/>
          <w:sz w:val="20"/>
          <w:lang w:val="en-US" w:eastAsia="en-US" w:bidi="ar-SA"/>
        </w:rPr>
        <w:t xml:space="preserve"> interest. However, there is no allegation that the plaintiffs and Donald Lee did not in fact receive that interest. There is only the claim that they did not receive accounting with regards to the property; yet, there is no fact alleged that Donald Lee was supposed to receive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allege that the defendants have been unjustly enriched and hold the property in trust for the plaintiffs. There are no material facts pleaded to justify these legal conclusions. The plaintiffs allege in the alternative that funds "properly belonging" to Donald Lee and/or the plaintiffs were used to purchase or improve this property. However, there is no damage or alternative cause of action said to flow from this allegation. Finally, there is a claim of fraudulent misappropriation without any material facts on which to found it. I am of the view that it is plain and obvious that there are no causes of action in relation to this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Even if there were a viable cause of action, the only date provided in relation to these events and this property is 1994, which is 19 years ago, or 17 years before the Original Notice. This is the only date given on which to base the beginning of the limitation period, which would therefore have expired for all alleged causes of action. As with the Kamloops Property, the plaintiffs have not provided any facts on which to found a trustee relationship, and therefore the onus is on the plaintiffs to show that the limitation period should be postponed, which they have not done. The rule in </w:t>
      </w:r>
      <w:r>
        <w:rPr>
          <w:rFonts w:ascii="arial" w:eastAsia="arial" w:hAnsi="arial" w:cs="arial"/>
          <w:i/>
          <w:color w:val="000000"/>
          <w:sz w:val="20"/>
          <w:lang w:val="en-US" w:eastAsia="en-US" w:bidi="ar-SA"/>
        </w:rPr>
        <w:t>Stone Venegal</w:t>
      </w:r>
      <w:r>
        <w:rPr>
          <w:rFonts w:ascii="arial" w:eastAsia="arial" w:hAnsi="arial" w:cs="arial"/>
          <w:color w:val="000000"/>
          <w:sz w:val="20"/>
          <w:lang w:val="en-US" w:eastAsia="en-US" w:bidi="ar-SA"/>
        </w:rPr>
        <w:t>, regarding allowing the amendments without prejudice to the defendants right to raise the limitation defence, does not apply to situations where the limitation period expired before the Original Notice of claim was made, as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Therefore, the application to amend paras. 49-55 should be dismissed as showing no cause of action, or alternatively, as being past the limitation period when the Original Notice was filed.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ML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amended pleadings with regards to this property are found at paras. 56 to 65, and are all new to the proposed Amended Notice. ML is a corporation. It is alleged that, in 1995, Donald Lee had a written agreement to purchase all or a portion of shares in ML for $250,000, or contributed to the purchase of the shares (the "ML agreement"). ML is the registered owner of various properties. It is also alleged that, at the same time, Donald Lee assigned the "ML agreement" to the defendant Lee for inadequate or no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note that not all assignments require consideration: </w:t>
      </w:r>
      <w:r>
        <w:rPr>
          <w:rFonts w:ascii="arial" w:eastAsia="arial" w:hAnsi="arial" w:cs="arial"/>
          <w:i/>
          <w:color w:val="000000"/>
          <w:sz w:val="20"/>
          <w:lang w:val="en-US" w:eastAsia="en-US" w:bidi="ar-SA"/>
        </w:rPr>
        <w:t>Halsbury's Laws of Canada - Contracts</w:t>
      </w:r>
      <w:r>
        <w:rPr>
          <w:rFonts w:ascii="arial" w:eastAsia="arial" w:hAnsi="arial" w:cs="arial"/>
          <w:color w:val="000000"/>
          <w:sz w:val="20"/>
          <w:lang w:val="en-US" w:eastAsia="en-US" w:bidi="ar-SA"/>
        </w:rPr>
        <w:t xml:space="preserve"> (Markham, ON: LexisNexis Canada Inc., 2013) at 291-296. The plaintiffs do not specify what type of assignment is being alleged and whether consideration was required; it is therefore unclear that a cause action arises from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need not describe all the alleged causes of action, as the limitation period with regard to this claim had expired by the time the Original Notice was filed, 16 years after the alleged events. There is no argument by the plaintiffs with regard to postponement, except to say, in their written submission, that the burden is on the defendant and they have not fulfilled this burden. That shift of burden would require a trustee relationship, as discussed above, and there are no material facts on which to base such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Therefore, the application to amend paragraphs 56 to 65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Credit Line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This issue, and the events surrounding it, was discussed briefly in the Original Notice. However, the amended pleadings are inconsistent with the pleadings in the Original Notice. At para. 66 of the proposed Amended Notice, it alleges that </w:t>
      </w:r>
      <w:r>
        <w:rPr>
          <w:rFonts w:ascii="arial" w:eastAsia="arial" w:hAnsi="arial" w:cs="arial"/>
          <w:i/>
          <w:color w:val="000000"/>
          <w:sz w:val="20"/>
          <w:lang w:val="en-US" w:eastAsia="en-US" w:bidi="ar-SA"/>
        </w:rPr>
        <w:t>Donald Lee and the plaintiffs obtained</w:t>
      </w:r>
      <w:r>
        <w:rPr>
          <w:rFonts w:ascii="arial" w:eastAsia="arial" w:hAnsi="arial" w:cs="arial"/>
          <w:color w:val="000000"/>
          <w:sz w:val="20"/>
          <w:lang w:val="en-US" w:eastAsia="en-US" w:bidi="ar-SA"/>
        </w:rPr>
        <w:t xml:space="preserve"> a line of credit on the defendant Lee's behalf. However, at para. 12 of the Original Notice it alleges that the </w:t>
      </w:r>
      <w:r>
        <w:rPr>
          <w:rFonts w:ascii="arial" w:eastAsia="arial" w:hAnsi="arial" w:cs="arial"/>
          <w:i/>
          <w:color w:val="000000"/>
          <w:sz w:val="20"/>
          <w:lang w:val="en-US" w:eastAsia="en-US" w:bidi="ar-SA"/>
        </w:rPr>
        <w:t>defendant Lee obtained</w:t>
      </w:r>
      <w:r>
        <w:rPr>
          <w:rFonts w:ascii="arial" w:eastAsia="arial" w:hAnsi="arial" w:cs="arial"/>
          <w:color w:val="000000"/>
          <w:sz w:val="20"/>
          <w:lang w:val="en-US" w:eastAsia="en-US" w:bidi="ar-SA"/>
        </w:rPr>
        <w:t xml:space="preserve"> a line of credit for an undisclosed amount. In both cases, the loan was secured against residential property of the plaintiffs and the deceased. This inconsistency is contrary to Rule 3-7(6), which states that a party must not plead a new fact, ground or claim inconsistent with their previous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Original Notice did not raise a cause of action with regard to the alleged credit line. The Original Notice simply alleged that the defendant Lee obtained a line of credit and had not fully paid it back yet. It is unclear what has changed since the Original Notice. Given the current pleadings state that the plaintiffs obtained the line of credit, why the plaintiffs were unaware of this in the Original Notice is left unexplained. If the plaintiffs obtained the credit line, why was it claimed that the credit line was in an undisclosed amount? There is no explanation for the inconsistent changes to the proposed Amended Notice from the Original Notice. As the amendment at para. 66 is in direct violation of Rule 3-7(6) it is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argues that no damages flow from these alleged facts. Assuming all the alleged facts are true in the proposed Amended Notice, there would be some support for an alleged cause of action that there had been a breach of an agreement to make all payments on the line of credit. Such an allegation would not be beyond the limitation period, as the alleged breach would have occurred sometime after February 1, 2012, when the last payment was made. However, there is no allegation that the Bank of Montreal, to which the money is owed, has made a claim against the residential premises of the plaintiffs, or made any other claim against the plaintiffs. Nor is there any other claim that this alleged breach has caused damage of any other sort. If there is no alleged damage to the plaintiffs, there is no cause of action. Thus, the application to amend paras. 66-71 should therefore be dismissed for failing to set out any damage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Loan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are allegations regarding three other loan agreements from paras. 72-87. These are the $100,000 loan, the $130,000 loan and the $30,000 loan, all of which are alleged to be from the plaintiffs and Donald Lee to the defendant Lee for the improvement of his and his wife's then personal residence, the West 34th Property. None of these loans was discussed in the Original Notice. There is furthermore, no explanation as to why these claims were not pleaded in the Original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$100,000 loan was made in November 1994, the $130,000 loan was made in September 1995, and there is no date attached to the $30,000 loan, though presumably it must have been made, at the latest, before the alleged transfer of the West 34th property in 2003. As the plaintiffs admit, the limitation period with regard to these debts is 6 years, whether as debt owed or breach of fiduciary duty. The plaintiffs further argue that, since some money has been paid in partial satisfaction of these debts as late as of December 2008, the limitation period was suspended based on s. 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and has not yet elapsed.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claim, however, contradicts what is actually alleged in the pleadings. At para. 76 of the amended pleadings it states that, "[t]o date no monies under the $100,000 Loan Agreement have been repaid." The same is alleged for $130,000 loan agreement at para. 80, and the same for the $30,000 loan agreement at para. 84. If these alleged facts are untrue then the plaintiffs are responsible for having them corrected so that the pleadings accurately reflect the reality of what money has been paid. As the proposed Amended Notice stands, none of the limitation periods of the loans have been suspended and all of them were well past their 6 year limitation period in 2011, when the original pleading was filed. As a result, there can be no discretion with regard to allowing these amendments, even without prejudice to the limitation defence. Therefore, the application to amend paras. 72 through 87 should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West 34th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Paragraphs 88 through 94 are in regards to the former residential property of the defendant Lee and his wife. The allegation is that this property was transferred, fraudulently and for below market value, to the children of the defendant Lee in 2003, in order to avoid liability. There are no material facts to support a claim of fraudulent transfer, nor any alleged facts of what the true market value of the property was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only alleged interest the plaintiffs have in the property was based on the loan agreements discussed above (not including the line of credit). This interest is alleged to be in the form of unjust enrichment or resulting and/or constructive trust, due to the debt owed on the loan agreements. There are no particulars with regards to how this trust arises in fact or law from personal loans, which were unsecured, and for which there are no alleged terms. However, as there is no cause of action for the debt due to the loan agreements, there is also no basis for the claim on the West 34th Property. As such, there is no cause of action on which to justify adding the children or wife of the defendant Lee to the proposed Amended Notice. Therefore, it would not be just or convenient to allow the application to amend paras. 88-94, and the application in respect of those paragraphs is therefore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Retainer related to estate of Donald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This issue, and the events surrounding it, were discussed in the Original Notice. There does not appear to be any issue relating to limitation periods with regards to the allegations about the mishandling of the retainer agreement. There are no dates with regard to when the alleged representations regarding the defendant Lee's expertise were made, when the probate application was made, when the plaintiffs found out about the alleged concealments, or when the plaintiff Linda Lee as executrix requested an accounting of the Estate assets. There are also missing particulars with regards to what alleged facts ground the claim that the representations made by the defendant Lee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defendants, however, do not seem to oppose any of the amendments in this section. They do argue against some of the original claims regarding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in the Original Notice, at the beginning of their written submissions. However, the Original Notice did not have all of the alleged facts that have been set out in the proposed Amended Notice, for example, the claim that the defendant Lee was the financial advisor to the plaintiffs in para. 12 of the proposed Amended Notice. This may, if assumed to be true, give rise to a cause of action in breach of fiduciary duty, and as such it is better left for trial. Similarly, the defendants do not take issue with the added paras. 100-101, where the plaintiffs set out what they allege were missing from the probate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discussed above, fraud is a very serious claim, and all particulars must be provided. Full particulars are also required for claims of misrepresentation. This is not a situation where the plaintiffs can claim that the missing information resides solely with the defendant. The plaintiffs were the one to whom the alleged representations were made. There is therefore no justification for the lack of particulars with regards to the serious allegations of fraud. The claims relating to the claim of fraud and misrepresentation are thus not allowed 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However, assuming all the alleged facts to be true, it is not plain and obvious that there is no cause of action in breach of contract or breach of fiduciary duty in respect of this part of the claim. Turning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cause is not specifically listed as a heading under part three of the proposed Amended Notice, Legal Basis. The defendants do not claim to have a problem with this aspect and, in any event, a specific cause of action need not be pleaded, just the material facts which could possibly found such an action. If I assume that the alleged material facts are true, that the plaintiffs retained the defendant Lee to assist with the administration of the estate, the defendant failed to perform that retained in a competent manner, and damage to the plaintiffs resulted, then there is a basis on which to allow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application to amend paras. 95-108 is allowed. However, all mention of fraud and misrepresentation in the amended paragraphs should be struck from the amended pleadings, as there are not enough particulars to ground those alleged causes of action. As well, all mention of the properties for which the limitation periods have expired must be struck, including mention of the Point Roberts Property, the ML properties, the Loans and the West 34th Property in paras. 100 and 101. The mention of the Kamloops Property is allowed as there were some permitted allegations with regards to that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Addition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is no longer an issue as the cause of action which would include the new parties has not been allowed. There is thus no related cause of action which would justify the inclusion of the new parties. It is, therefore, not necessary for the resolution of any real issue to have the new defendants added, and it is not just or convenient to add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discussion above with regards to which amendments I have dismissed was quite long owing to the length and, perhaps unnecessary, complexity of the proposed amendments, even leaving aside the issue of the proposed relief. However, it was not necessary to deal with that issue in the end. This case is similar to the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xml:space="preserve"> case discussed above. As in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xml:space="preserve">, this case involves amendments which vastly expand on the original pleadings, are confusing and sometimes contradictory, and lack sufficient particulars for most of the claims. Thus, given the complexity and confusing nature of this application, it seems to me appropriate to hold, as Madam Justice Fenlon did in </w:t>
      </w:r>
      <w:r>
        <w:rPr>
          <w:rFonts w:ascii="arial" w:eastAsia="arial" w:hAnsi="arial" w:cs="arial"/>
          <w:i/>
          <w:color w:val="000000"/>
          <w:sz w:val="20"/>
          <w:lang w:val="en-US" w:eastAsia="en-US" w:bidi="ar-SA"/>
        </w:rPr>
        <w:t>BCSPCA</w:t>
      </w:r>
      <w:r>
        <w:rPr>
          <w:rFonts w:ascii="arial" w:eastAsia="arial" w:hAnsi="arial" w:cs="arial"/>
          <w:color w:val="000000"/>
          <w:sz w:val="20"/>
          <w:lang w:val="en-US" w:eastAsia="en-US" w:bidi="ar-SA"/>
        </w:rPr>
        <w:t xml:space="preserve"> at para. 83, that the application to amend is dismissed with leave to reapply should they be able to correct the deficiencies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sought special costs, in addition to dismissal of the application, due to the allegations offered. The plaintiffs while having had some limited success, the defendants have been primarily successful. If the parties are unable to agree to costs, they may contact the Registry within 30 days of this Ruling to arrange for costs to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Mather v. MacDonald, [2016] B.C.J. No. 1082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29-31, April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M122443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Alfred Charles Mather, Plaintiff, and Andrew MacDonald, 7258356 Canada Inc, Iain Edward MacRitchie,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3" w:name="Keywords_24"/>
      <w:bookmarkEnd w:id="163"/>
      <w:r>
        <w:rPr>
          <w:rFonts w:ascii="arial" w:eastAsia="arial" w:hAnsi="arial" w:cs="arial"/>
          <w:b/>
          <w:color w:val="000000"/>
          <w:sz w:val="20"/>
          <w:lang w:val="en-US" w:eastAsia="en-US" w:bidi="ar-SA"/>
        </w:rPr>
        <w:t>Damages — Physical and psychological injuries — Physical injuries — Body injuries — Back and spine — Neck — Soft tissue — Considerations impacting on award — Degree of impairment — Credibility — Determination of damages for injuries arising from motor vehicle accidents — Plaintiff was awarded $15,000 in non-pecuniary damages — Plaintiff was injured in two motor vehicle accidents four days apart — His chiropractor testified, but there were no expert reports — Plaintiff suffered mild soft tissue injuries to neck, shoulder and back that substantially resolved within nine months — His exaggeration of past income and fraudulent claims for social assistance undermined his evidence — Paucity of medical evidence was problematic.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Non-pecuniary loss — Determination of damages for injuries arising from motor vehicle accidents — Plaintiff was awarded $15,000 in non-pecuniary damages — Plaintiff was injured in two motor vehicle accidents four days apart — His chiropractor testified, but there were no expert reports — Plaintiff suffered mild soft tissue injuries to neck, shoulder and back that substantially resolved within nine months — His exaggeration of past income and fraudulent claims for social assistance undermined his evidence — Paucity of medical evidence was problematic.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4" w:name="Case Summary_24"/>
            <w:bookmarkEnd w:id="1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motor vehicle accidents. The plaintiff was injured in two motor vehicle accidents four days apart. He was often unemployed for several months at a time and had not been employed since the year before the accident. His chiropractor testified, but there were no expert reports.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5" w:name="Holdings of Court_21"/>
            <w:bookmarkEnd w:id="165"/>
            <w:r>
              <w:rPr>
                <w:rFonts w:ascii="arial" w:eastAsia="arial" w:hAnsi="arial" w:cs="arial"/>
                <w:color w:val="000000"/>
                <w:sz w:val="20"/>
                <w:lang w:val="en-US" w:eastAsia="en-US" w:bidi="ar-SA"/>
              </w:rPr>
              <w:t>HELD: The plaintiff was awarded $15,000 in non-pecuniary damages, $0 for past income loss, $0 for loss of future earning capacity, $0 for cost of future care and $3788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mild soft tissue injuries to his neck, shoulder and back that substantially resolved within nine months. His sporadic employment history, lengthy periods of unemployment, reliance on social assistance and inadequate medical evidence did not support an award for past income loss. He failed to show that he was less capable, marketable, valuable or able to take advantage of all job opportunities. His exaggeration of his past income and fraudulent claims for social assistance undermined his evidence of the extent of his injury. The paucity of medical evidence was problematic.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6" w:name="Legislation Cited_15"/>
      <w:bookmarkEnd w:id="1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11-6, Rule 11-7, Rule 11-7(6)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7" w:name="Counsel_24"/>
      <w:bookmarkEnd w:id="1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Alfred Charles Mather: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Bruneau.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8" w:name="Judgment_24"/>
      <w:bookmarkEnd w:id="168"/>
      <w:r>
        <w:pict>
          <v:line id="_x0000_s1152"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9" w:name="R.D. PUNNETT J._1"/>
            <w:bookmarkEnd w:id="169"/>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sues for damages arising from two motor vehicle accidents that occurred within four days of each other. Liability for both accidents is admitted. However, the defendants deny that any damages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case is an example of the difficulties that arise when individuals represent themselves and for financial and other reasons are restricted in the evidence they can place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Mather is 53 years of age. The first motor vehicle accident occurred on August 27, 2010 when the vehicle he was driving was side swiped by a commercial truck driven by the defendant Andrew MacDonald. The second accident occurred September 1, 2010 when his rental vehicle was rear-ended by the defendant Iain MacRitchie.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alleges that the accidents caused a number of soft tissue injuries. He claims for injuries to his neck, shoulders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1990's he was employed seasonally in a cannery in Prince Rupert, British Columbia. He estimates he worked approximately seven weeks each year and as a result did not qualify for employment insurance, relying on welfare during the rest of each year. In 2000 he moved to the lower mainland eventually obtaining employment in demolition work and then in construction. During the years 2000-2003 he worked but was also in receipt of social assistance. Between 2003 and 2009 he was not in receipt of social assistance but he was often unemployed for several months at a time. He was collecting employment insurance benefits at least 50%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has not been employed since 2009. In May of 2009 he began collecting social assistance. Between September 2009 and January 2010 he attended a course and relied on student loans for his support. He testified that he was planning to take a further course at Kwantlen Polytechnic University but did not produce any evidence in support of his proposed course of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Mather called his former employer, Ray Murphy, who provided evidence that Mr. Mather ran crews for him in construction but that there were periods of unemployment that lasted up to several months at various times. His evidence was however of limited assistance as he had not employed the plaintiff since approximately four years before the accidents. Mr. Mather's brother who had worked with the plaintiff in the past provided similar evidence but again it was of limited relevance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has not worked since the dates of the accidents nor has he sought employment. He alleges that is so because of restrictions on his mobility that prevent him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produced no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Notwithstanding the lack of expert reports Mr. Mather was not seeking an adjournment. That is understandable as the matter was originally set for trial November 26, 2013. It was adjourned. On November 26, 2014, the next trial date, it was once again adjourned. It is clear from the history of this matter that despite those adjournments Mr. Mather has not taken any steps of substance to produce documents or expert reports. This despite being informed to do so in case planning and trial management hearings. In any event a further adjournment would not have changed that given his acknowledged lack of funds to retain experts and fund their reports and his inability to retain counsel. Up to and including the plaintiff's discovery, counsel represented the plaintiff. Following discovery they ceased to act. According to the plaintiff three other law firms subsequently refused to represent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 case planning conference on July 8, 2015, Master MacNaughton directed that defence counsel provide Mr. Mather with a list of dates by which various steps in the matter were to be completed. I am advised that was done, including dates for expert reports to be served. In addition Mr. Mather was directed to sign various authorizations for the release of information. Master MacNaughton also seized herself of the matter pending trial and conducted a trial management conference as well on February 22, 2016. It was only at the trial management conference that Mr. Mather signed the earlier required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course of those proceedings the Master extensively canvassed this matter with Mr. Mather. She also provided to him a document checklist to assist him in his trial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chose not to heed such advice. It was apparent that his preparation for trial was limited. With respect to his failure to obtain certain records or to produce expert reports the plaintiff asserted that various health providers discriminated him against because he is of First Nations descent. I do not accept that to be the case because, as acknowledged by the plaintiff, he lacked the funds to order and pay for document production and expert reports. That is clearly the reason for the lack of such documentation and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claims for non-pecuniary damages, past wage loss, future wage loss and future care costs. He alleges that his current physical state and alleged inability to work relate solely to the effects of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admit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both accidents and acknowledge that neither accident was what has been described as a low velocity claim. They submit however that the plaintiff, due to his lack of credibility and lack of expert evidence has failed to prove his claimed injuries arise from the accidents. In the alternative if causation is established they submit that the plaintiff is only entitled to limited non-pecuniary damages and has failed to establish his claims for past and future wage loss and past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lead by the plaintiff was confined to his evidence, that of a co-worker, his brother and his former chiropractor. Mr. Mather's claim turns on his reliability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submits that the plaintiff's credibility is such that his evidence is not in harmony with the preponderance of probabilities. As a result they submit there is insufficient evidence to support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Perrone</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2014 MBCA 74</w:t>
        </w:r>
      </w:hyperlink>
      <w:r>
        <w:rPr>
          <w:rFonts w:ascii="arial" w:eastAsia="arial" w:hAnsi="arial" w:cs="arial"/>
          <w:color w:val="000000"/>
          <w:sz w:val="20"/>
          <w:lang w:val="en-US" w:eastAsia="en-US" w:bidi="ar-SA"/>
        </w:rPr>
        <w:t xml:space="preserve"> (aff'd </w:t>
      </w:r>
      <w:hyperlink r:id="rId604" w:history="1">
        <w:r>
          <w:rPr>
            <w:rFonts w:ascii="arial" w:eastAsia="arial" w:hAnsi="arial" w:cs="arial"/>
            <w:i/>
            <w:color w:val="0077CC"/>
            <w:sz w:val="20"/>
            <w:u w:val="single"/>
            <w:shd w:val="clear" w:color="auto" w:fill="FFFFFF"/>
            <w:lang w:val="en-US" w:eastAsia="en-US" w:bidi="ar-SA"/>
          </w:rPr>
          <w:t>2015 SCC 8</w:t>
        </w:r>
      </w:hyperlink>
      <w:r>
        <w:rPr>
          <w:rFonts w:ascii="arial" w:eastAsia="arial" w:hAnsi="arial" w:cs="arial"/>
          <w:color w:val="000000"/>
          <w:sz w:val="20"/>
          <w:lang w:val="en-US" w:eastAsia="en-US" w:bidi="ar-SA"/>
        </w:rPr>
        <w:t>), the Manitoba Court of Appeal addressed the issues of credibility and reliability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Jurisprudence recognizes that there is a difference between credibility and reliability. In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xml:space="preserve"> (C.A.), Doherty J.A. wrote (at p. 526):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Testimonial evidence can raise veracity and accuracy concerns. The former relate to the witness's sincerity, that is, his or her willingness to speak the truth as the witness believes it to be. The latter concerns relate to the actual accuracy of the witness's testimony. The accuracy of a witness's testimony involves considerations of the witness's ability to accurately observe, recall and recount the events in issue. When one is concerned with a witness's veracity, one speaks of the witness's credibility. When one is concerned with the accuracy of a witness's testimony, one speaks of the reliability of that testimony. Obviously a witness whose evidence on a point is not credible cannot give reliable evidence on that point. The evidence of a credible, that is, honest witness, may, however, still be unreliable. In this case, both the credibility of the complainants and the reliability of their evidence were attacked on cross-examination.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R. v. H.C.</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2009 ONCA 56</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244 O.A.C. 288</w:t>
        </w:r>
      </w:hyperlink>
      <w:r>
        <w:rPr>
          <w:rFonts w:ascii="arial" w:eastAsia="arial" w:hAnsi="arial" w:cs="arial"/>
          <w:color w:val="000000"/>
          <w:sz w:val="20"/>
          <w:lang w:val="en-US" w:eastAsia="en-US" w:bidi="ar-SA"/>
        </w:rPr>
        <w:t>, Watt J.A. described the difference between credibility and reliability (at para. 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Credibility and reliability are different. Credibility has to do with a witness's veracity, reliability with the accuracy of the witness's testimony. Accuracy engages consideration of the witness's ability to accurately</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recall;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events in issue. Any witness whose evidence on an issue is not credible cannot give reliable evidence on the same point. Credibility, on the other hand, is not a proxy for reliability: a credible witness may give unreliable evidence: </w:t>
      </w:r>
      <w:r>
        <w:rPr>
          <w:rFonts w:ascii="arial" w:eastAsia="arial" w:hAnsi="arial" w:cs="arial"/>
          <w:b/>
          <w:color w:val="000000"/>
          <w:sz w:val="20"/>
          <w:lang w:val="en-US" w:eastAsia="en-US" w:bidi="ar-SA"/>
        </w:rPr>
        <w:t>R. v. Morrissey (R.J.)</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(1995), 80 O.A.C. 161</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22 O.R. (3d) 514</w:t>
        </w:r>
      </w:hyperlink>
      <w:r>
        <w:rPr>
          <w:rFonts w:ascii="arial" w:eastAsia="arial" w:hAnsi="arial" w:cs="arial"/>
          <w:color w:val="000000"/>
          <w:sz w:val="20"/>
          <w:lang w:val="en-US" w:eastAsia="en-US" w:bidi="ar-SA"/>
        </w:rPr>
        <w:t xml:space="preserve"> (C.A.), at 526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short, the fact that a witness may be found to be credible does not answer the question of whether the evidence provided is reliable (see </w:t>
      </w:r>
      <w:r>
        <w:rPr>
          <w:rFonts w:ascii="arial" w:eastAsia="arial" w:hAnsi="arial" w:cs="arial"/>
          <w:i/>
          <w:color w:val="000000"/>
          <w:sz w:val="20"/>
          <w:lang w:val="en-US" w:eastAsia="en-US" w:bidi="ar-SA"/>
        </w:rPr>
        <w:t>R. v. Vickerson (W.)</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(2005), 200 O.A.C.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Dahliwal v. Greyhound Transportation Corp</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2015 BCSC 2147</w:t>
        </w:r>
      </w:hyperlink>
      <w:r>
        <w:rPr>
          <w:rFonts w:ascii="arial" w:eastAsia="arial" w:hAnsi="arial" w:cs="arial"/>
          <w:color w:val="000000"/>
          <w:sz w:val="20"/>
          <w:lang w:val="en-US" w:eastAsia="en-US" w:bidi="ar-SA"/>
        </w:rPr>
        <w:t>, Mr. Justice Silverman summarized the principles to be applied in assessing credibility in a case such 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[280] A number of principles emerge from the case law which address the question of assessing credibility in a case such as this, all of which I am guided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 is well accepted that courts should be careful in assessing compensation where there is little to no objective medical evidence supporting a plaintiff's self-reported symptoms, particularly where those symptoms persist beyond the usual course of recovery: </w:t>
            </w:r>
            <w:r>
              <w:rPr>
                <w:rFonts w:ascii="arial" w:eastAsia="arial" w:hAnsi="arial" w:cs="arial"/>
                <w:i/>
                <w:color w:val="000000"/>
                <w:sz w:val="18"/>
                <w:lang w:val="en-US" w:eastAsia="en-US" w:bidi="ar-SA"/>
              </w:rPr>
              <w:t>Price v. Kostryba</w:t>
            </w:r>
            <w:r>
              <w:rPr>
                <w:rFonts w:ascii="arial" w:eastAsia="arial" w:hAnsi="arial" w:cs="arial"/>
                <w:color w:val="000000"/>
                <w:sz w:val="18"/>
                <w:lang w:val="en-US" w:eastAsia="en-US" w:bidi="ar-SA"/>
              </w:rPr>
              <w:t xml:space="preserve">, </w:t>
            </w:r>
            <w:hyperlink r:id="rId12" w:history="1">
              <w:r>
                <w:rPr>
                  <w:rFonts w:ascii="arial" w:eastAsia="arial" w:hAnsi="arial" w:cs="arial"/>
                  <w:i/>
                  <w:color w:val="0077CC"/>
                  <w:sz w:val="18"/>
                  <w:u w:val="single"/>
                  <w:shd w:val="clear" w:color="auto" w:fill="FFFFFF"/>
                  <w:lang w:val="en-US" w:eastAsia="en-US" w:bidi="ar-SA"/>
                </w:rPr>
                <w:t>(1982) 70 B.C.L.R. 397</w:t>
              </w:r>
            </w:hyperlink>
            <w:r>
              <w:rPr>
                <w:rFonts w:ascii="arial" w:eastAsia="arial" w:hAnsi="arial" w:cs="arial"/>
                <w:color w:val="000000"/>
                <w:sz w:val="18"/>
                <w:lang w:val="en-US" w:eastAsia="en-US" w:bidi="ar-SA"/>
              </w:rPr>
              <w:t xml:space="preserve"> (SC), at 399 [</w:t>
            </w:r>
            <w:r>
              <w:rPr>
                <w:rFonts w:ascii="arial" w:eastAsia="arial" w:hAnsi="arial" w:cs="arial"/>
                <w:i/>
                <w:color w:val="000000"/>
                <w:sz w:val="18"/>
                <w:lang w:val="en-US" w:eastAsia="en-US" w:bidi="ar-SA"/>
              </w:rPr>
              <w:t>Price</w:t>
            </w:r>
            <w:r>
              <w:rPr>
                <w:rFonts w:ascii="arial" w:eastAsia="arial" w:hAnsi="arial" w:cs="arial"/>
                <w:color w:val="000000"/>
                <w:sz w:val="18"/>
                <w:lang w:val="en-US" w:eastAsia="en-US" w:bidi="ar-SA"/>
              </w:rPr>
              <w:t xml:space="preserve">] </w:t>
            </w:r>
            <w:r>
              <w:rPr>
                <w:rFonts w:ascii="arial" w:eastAsia="arial" w:hAnsi="arial" w:cs="arial"/>
                <w:i/>
                <w:color w:val="000000"/>
                <w:sz w:val="18"/>
                <w:lang w:val="en-US" w:eastAsia="en-US" w:bidi="ar-SA"/>
              </w:rPr>
              <w:t>Tai v. De Busscher</w:t>
            </w:r>
            <w:r>
              <w:rPr>
                <w:rFonts w:ascii="arial" w:eastAsia="arial" w:hAnsi="arial" w:cs="arial"/>
                <w:color w:val="000000"/>
                <w:sz w:val="18"/>
                <w:lang w:val="en-US" w:eastAsia="en-US" w:bidi="ar-SA"/>
              </w:rPr>
              <w:t xml:space="preserve">, </w:t>
            </w:r>
            <w:hyperlink r:id="rId609" w:history="1">
              <w:r>
                <w:rPr>
                  <w:rFonts w:ascii="arial" w:eastAsia="arial" w:hAnsi="arial" w:cs="arial"/>
                  <w:i/>
                  <w:color w:val="0077CC"/>
                  <w:sz w:val="18"/>
                  <w:u w:val="single"/>
                  <w:shd w:val="clear" w:color="auto" w:fill="FFFFFF"/>
                  <w:lang w:val="en-US" w:eastAsia="en-US" w:bidi="ar-SA"/>
                </w:rPr>
                <w:t>2007 BCCA 371</w:t>
              </w:r>
            </w:hyperlink>
            <w:r>
              <w:rPr>
                <w:rFonts w:ascii="arial" w:eastAsia="arial" w:hAnsi="arial" w:cs="arial"/>
                <w:color w:val="000000"/>
                <w:sz w:val="18"/>
                <w:lang w:val="en-US" w:eastAsia="en-US" w:bidi="ar-SA"/>
              </w:rPr>
              <w:t>, at para 41 [</w:t>
            </w:r>
            <w:r>
              <w:rPr>
                <w:rFonts w:ascii="arial" w:eastAsia="arial" w:hAnsi="arial" w:cs="arial"/>
                <w:i/>
                <w:color w:val="000000"/>
                <w:sz w:val="18"/>
                <w:lang w:val="en-US" w:eastAsia="en-US" w:bidi="ar-SA"/>
              </w:rPr>
              <w:t>Tai</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justify an award of damages in the absence of corroborating evidence, the plaintiff's own evidence must be examined with "a skeptical eye": </w:t>
      </w:r>
      <w:r>
        <w:rPr>
          <w:rFonts w:ascii="arial" w:eastAsia="arial" w:hAnsi="arial" w:cs="arial"/>
          <w:i/>
          <w:color w:val="000000"/>
          <w:sz w:val="20"/>
          <w:lang w:val="en-US" w:eastAsia="en-US" w:bidi="ar-SA"/>
        </w:rPr>
        <w:t>Sevinski v. Vance</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2011 BCSC 892</w:t>
        </w:r>
      </w:hyperlink>
      <w:r>
        <w:rPr>
          <w:rFonts w:ascii="arial" w:eastAsia="arial" w:hAnsi="arial" w:cs="arial"/>
          <w:color w:val="000000"/>
          <w:sz w:val="20"/>
          <w:lang w:val="en-US" w:eastAsia="en-US" w:bidi="ar-SA"/>
        </w:rPr>
        <w:t>, at paras 42-46.</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plaintiff's self-report is in doubt, the court should place the most reliance on objective medical evidence that does not depend on the credibility of the plaintiff: </w:t>
      </w:r>
      <w:r>
        <w:rPr>
          <w:rFonts w:ascii="arial" w:eastAsia="arial" w:hAnsi="arial" w:cs="arial"/>
          <w:i/>
          <w:color w:val="000000"/>
          <w:sz w:val="20"/>
          <w:lang w:val="en-US" w:eastAsia="en-US" w:bidi="ar-SA"/>
        </w:rPr>
        <w:t>Sharifi v. Chaklader</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2012 BCSC 685</w:t>
        </w:r>
      </w:hyperlink>
      <w:r>
        <w:rPr>
          <w:rFonts w:ascii="arial" w:eastAsia="arial" w:hAnsi="arial" w:cs="arial"/>
          <w:color w:val="000000"/>
          <w:sz w:val="20"/>
          <w:lang w:val="en-US" w:eastAsia="en-US" w:bidi="ar-SA"/>
        </w:rPr>
        <w:t>, at paras 97-98.</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compelling evidence that the plaintiff's complaints are a true reflection of a continuing injury: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at p. 398-399.</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Mr. Dhaliwal's physicians are entitled to take Mr. Dhaliwal's complaints at face value, this court is required to take a more critical view: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613"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involves an assessment of the reliability of a witness' testimony based on their apparent sincerity and truthfulness and the accuracy of their evidence: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as cited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Karim</w:t>
      </w:r>
      <w:r>
        <w:rPr>
          <w:rFonts w:ascii="arial" w:eastAsia="arial" w:hAnsi="arial" w:cs="arial"/>
          <w:color w:val="000000"/>
          <w:sz w:val="20"/>
          <w:lang w:val="en-US" w:eastAsia="en-US" w:bidi="ar-SA"/>
        </w:rPr>
        <w:t>] at para 88.</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starting point, a witness is presumed to be truthful; however, this presumption is displaced by evidence of deliberate falsehood: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at para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[281] The plaintiff acknowledges that when dealing with chronic pain cases, there are few objective symptoms of injury and that, therefore, the Court must be extremely cautious in assessing the credibility of the claimant.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[282] The Court must review the evidence in this case as a whole when looking at Mr. Dhaliwal's credibility, rather than looking at small inconsistencies here and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Mr. Mather's credibility is suspect for several reasons. The first is that Mr. Mather stated that he had always had a vehicle and driver's licence in the years prior to the accident but in fact the 2006 Ford Mustang he was driving in the first accident was in his uncle's name and had been purchased by his uncle who had co-signed the loan with him. The intention was it would be transferred into his name once all payments were made. However Mr. Mather had not been able to make payments on the vehicle debt for the six months prior to the accident. Mr. Mather also explained that he did not advise social services of his interest in the vehicle referring to it as a "grey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produced his BC Hydro account information as evidence of the stability of his personal and financial wherewithal but only admitted on cross-examination that he was unable to pay on occasion and relied on social services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third issue relates to Mr. Mather's claim that he had been earning $40,000 to $50,000 per year in some years before the accidents. He produced no records or tax returns substantiating this claim. Such a claim was inconsistent with his evidence that he did not work full-time and took extensive time off between construction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Of greater concern are his fraudulent claims for social assistance on more than one occasion. He freely acknowledged that he had failed to report his true income in order to obtain funds explaining that as a single parent he required the funds to live and support his children and his work had been insufficient to qualify him for employment insurance benefits. He acknowledged on cross-examination that he had drawn on welfare while he was working and that he was knowingly misleading social services to obtain welfare. He agreed that he would misreport his income in order to get additional money. He clearly felt he was justified in doing so and willingly acknowledged that he would misreport his circumstances to social services in order to obtain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1998 he was injured in a motor vehicle accident and settled the claim for $10,000 but only reported $2,000 of that to social services. He agreed that showed that he manipulated the receipt of funds in order to get additional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conclude that Mr. Mather is willing to mislead by omission and to misstate his financial circumstances in order to obtain funds. He also, as evidenced by his statements regarding his employment history and his good work record, exaggerates that record and his earnings. He clearly has not earned an income anywhere near what he says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a result I must approach Mr. Mather's evidence with great scepticism and care. I am not persuaded that Mr. Mather suffered injuries as severe or for as prolonged a time as he asserts. I have concerns respecting his credibility and his willingness to deceive in order to obtain funds. The reliability of his evidence is also suspect. This is of particular importance given the evidence of Mr. Mather is generally uncorroborated and is unsupported by either documentary or expert evidence and does not meet in many respects the test of cogent or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admit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accidents but say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any damage to the plaintiff. The defendants submit that the absence of a medical report results in there being an absence of evidence of the plaintiff's injuries and particularly the causes of those injuries. They submit that while the plaintiff may complain of pain there is not enough evidence respecting the injuries and their causes to oblige the defendants to compensate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as a result of the accidents within a couple of weeks his whole body hurt because of the combined injuries. He stated that he suffered from and continues to suffer from pain in his shoulder blades and a constant burning sensation in that area as well as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he did not attend at a hospital after the accidents he did attend on his doctor at the Old Orchard Medical Clinic on September 2, 2010 after the second accident complaining of neck pain and stiffness from the accident. He also attended on September 7, 2010 for similar complaints and later in the month for back pain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 chiropractor Dr. Mann testified that Mr. Mather attended on him on September 30, 2010 as a result of a referral from his then counsel. The plaintiff sought to have Dr. Mann provide opinion evidence that I refused given there had been no compliance with Rules 11-7 and 11-6 and because the admission of the expert evidence did not fit within of the exceptions set out in Rule 11-7(6) (</w:t>
      </w:r>
      <w:r>
        <w:rPr>
          <w:rFonts w:ascii="arial" w:eastAsia="arial" w:hAnsi="arial" w:cs="arial"/>
          <w:i/>
          <w:color w:val="000000"/>
          <w:sz w:val="20"/>
          <w:lang w:val="en-US" w:eastAsia="en-US" w:bidi="ar-SA"/>
        </w:rPr>
        <w:t>Murray v. Byrd</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2009 BCCA 189</w:t>
        </w:r>
      </w:hyperlink>
      <w:r>
        <w:rPr>
          <w:rFonts w:ascii="arial" w:eastAsia="arial" w:hAnsi="arial" w:cs="arial"/>
          <w:color w:val="000000"/>
          <w:sz w:val="20"/>
          <w:lang w:val="en-US" w:eastAsia="en-US" w:bidi="ar-SA"/>
        </w:rPr>
        <w:t>). In any event I note where the discharge notes of Dr. Mann contain opinion they are not supportive of the plaintiff's complaint of ongoing symptoms given they indicate when discharged the plaintiff in Dr. Mann's opinion had made good progress, had no restrictions with daily activities or housework and was expected to fully recover. I do accept that Dr. Mann informed Mr. Mather respecting these matters when they concluded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Dr. Mann's evidence is limited to his treatments, the plaintiff's complaints to him and any objective signs of injury. He testified that he treated the plaintiff with both chiropractic and kinesiology treatment in the year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confirmed that Mr. Mather complained to him of neck and back pain, shoulder pain radiating into his arms, headaches and difficulty sleeping. He treated Mr. Mather for a total of 86 chiropractic treatments and 12 times in a gym environment for exercise. He stated he treated him for what seemed to be whiplash and lumbar strain. He accepted that Mr. Mather put sufficient effort into his treatments and that over a year period his condition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Mann stated that he observed a loss of range of motion in Mr. Mather's neck and back, and tenderness in his neck, back and shoulders. He testified that objectively the response of the muscles reflected the complaint of tenderness although he acknowledged that other than that he was relying on Mr. Mather's subjective complaints. When he discharged Mr. Mather in May of 2011, nine months following the accidents, he noted that Mr. Mather had normal range of motion and strength and improvements in his shoulder and that he should resume regular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must prove on a balance of probabilities that the accident resulted in the harm alleged. That is, the plaintiff must show a causal connection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either the cause or a cause of the injury. That is,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would the plaintiff not have suffered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 Mr. Justice Sopinka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of the opinion that the dissatisfaction with the traditional approach to causation stems to a large extent from its too rigid application by the courts in many cases. Causation need not be determined by scientific precision. It is, as stated by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essentially a practical question of fact which can best be answered by ordinary common sense rather than abstract metaphysical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I accept the plaintiff's evidence on the balance of probabilities that the accidents caused the plaintiff's injuries then the defendants' responsibility for those injuries is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Fancy v. Gareau</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2014 BCSC 584</w:t>
        </w:r>
      </w:hyperlink>
      <w:r>
        <w:rPr>
          <w:rFonts w:ascii="arial" w:eastAsia="arial" w:hAnsi="arial" w:cs="arial"/>
          <w:color w:val="000000"/>
          <w:sz w:val="20"/>
          <w:lang w:val="en-US" w:eastAsia="en-US" w:bidi="ar-SA"/>
        </w:rPr>
        <w:t>, where the lack of medical opinions on causation and the lack of credibility of the plaintiff and her spouse led to dismissal of the claim for failure to establish causation. The Court found the plaintiff's evidence of her symptoms and when they arose was unreliable and calculated to advance her financial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accident in </w:t>
      </w:r>
      <w:r>
        <w:rPr>
          <w:rFonts w:ascii="arial" w:eastAsia="arial" w:hAnsi="arial" w:cs="arial"/>
          <w:i/>
          <w:color w:val="000000"/>
          <w:sz w:val="20"/>
          <w:lang w:val="en-US" w:eastAsia="en-US" w:bidi="ar-SA"/>
        </w:rPr>
        <w:t>Fancy</w:t>
      </w:r>
      <w:r>
        <w:rPr>
          <w:rFonts w:ascii="arial" w:eastAsia="arial" w:hAnsi="arial" w:cs="arial"/>
          <w:color w:val="000000"/>
          <w:sz w:val="20"/>
          <w:lang w:val="en-US" w:eastAsia="en-US" w:bidi="ar-SA"/>
        </w:rPr>
        <w:t xml:space="preserve"> was a low-impact collision. The plaintiff at the time of the accident was participating in a graduated return to work program relating to a previous injury arising from a workplace injury. The Court noted that there was no evidence from the plaintiff's family doctor who had assessed and treated the plaintiff both before and after the workplace injury and the motor vehicle accident. The plaintiff alleged that she suffered increased or aggravated symptoms and new injuries as a result of the motor vehicle accident. However, her credibility suffered significantly. The trial judge found inconsistencies between her discovery evidence and her evidence at trial as well as a reversal by her of some of her evidence on cross-examination. The trial judge was unable to accept the plaintiff's evidence and concluded her evidence was calculated to advance the financial interests of herself and her husband. A medical report relied on by the plaintiff was rejected given the factual assumptions and underpinnings for the report which came from the plaintiff were false and untrue. In addition the doctor had not seen the plaintiff until 28 months after the accident. As result there was no medical evidence and no opinion relating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Fancy</w:t>
      </w:r>
      <w:r>
        <w:rPr>
          <w:rFonts w:ascii="arial" w:eastAsia="arial" w:hAnsi="arial" w:cs="arial"/>
          <w:color w:val="000000"/>
          <w:sz w:val="20"/>
          <w:lang w:val="en-US" w:eastAsia="en-US" w:bidi="ar-SA"/>
        </w:rPr>
        <w:t xml:space="preserve"> is distinguishable on its facts. While Mr. Mather's credibility and the reliability of his evidence are in issue I accept that the accidents were not low-impact accidents, that he did suffer injury, that he had no pre-existing injuries and that there is some objective evidence from Dr. Mann evidencing soft tissue injuries. In addition, at least in the months immediately following the accidents, Mr. Mather was not contradicted on the effect of the accidents, as was the case in </w:t>
      </w:r>
      <w:r>
        <w:rPr>
          <w:rFonts w:ascii="arial" w:eastAsia="arial" w:hAnsi="arial" w:cs="arial"/>
          <w:i/>
          <w:color w:val="000000"/>
          <w:sz w:val="20"/>
          <w:lang w:val="en-US" w:eastAsia="en-US" w:bidi="ar-SA"/>
        </w:rPr>
        <w:t>Fancy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Therefore, notwithstanding issues of both reliability and credibility I do not reject Mr. Mather's evidence outright.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evidence that the plaintiff's description of the accidents was incorrect, misleading or unreliable. The contentious issue is the plaintiff's evidence of the effect of the injuries on his daily life. He claims that he cannot sit or stand for long periods, that he cannot turn his head from side to side, and that the weather significantly affects his level of functioning and his levels of pain. It appeared from his descriptions of his condition that he is of the view that he is incapable of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concluded that Mr. Mather's exaggeration of his past income, his lack of forthright disclosure of the arrangement with the 2006 Mustang, and his repeated fraudulent claims for social assistance undermine his evidence of the extent of his injuries. I am not however satisfied that he advanced this claim as a calculated exercise to advance his financial interests, at least with respect to the issue of causation; however, such considerations factor into the grossly exaggerated amount of his claim. The latter appears to be based on his view that his case is similar to a claim he learned about the in the newspaper involving an award in excess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testified that he is significantly restricted on a daily basis because of his injuries. Although his evidence was unclear it is implicit that he blames the effect of the accident for his unemployed state and by inference his inability to work. The extent of and length of the continuation of symptoms are undermined by the following: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in the years after the accident he acknowledges an incident where he was upset and pushed an individual considerably bigger than him over a pony wall;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living in Prince Rupert in 2014 despite claiming he could not stay there any longer than he did because "atmospheric" conditions and the rain made his symptoms intolerable he was for several months caring for two young grandchildren and walking his grandson to school each day;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2011 he was able to push and pull an exercise machine with a weight of 50-60 lbs;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travelled from Prince Rupert to Vancouver, BC for discoveries he was able to sit for 16 hours on a bus without complaint;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of 2011 his chiropractor Dr. Mann advised him that as a result of his chiropractic and kinesiology sessions he was no longer restricted in his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noted earlier the normal medical evidence and other expert reports are absent from this case. The limited medically related evidence consisted of the evidence of Dr. Mann (who was not qualified as an expert nor did he provide expert opinion) and the clinical records of Dr. Mann and Mr. Mather's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the records of Mr. Mather's general practitioner, Dr. Mothelesi, were in evidence they were only admitted to prove the factual record of treatment, not for the truth of their contents (</w:t>
      </w:r>
      <w:r>
        <w:rPr>
          <w:rFonts w:ascii="arial" w:eastAsia="arial" w:hAnsi="arial" w:cs="arial"/>
          <w:i/>
          <w:color w:val="000000"/>
          <w:sz w:val="20"/>
          <w:lang w:val="en-US" w:eastAsia="en-US" w:bidi="ar-SA"/>
        </w:rPr>
        <w:t>Egli et al v. Egli et al</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2003 BCSC 1716</w:t>
        </w:r>
      </w:hyperlink>
      <w:r>
        <w:rPr>
          <w:rFonts w:ascii="arial" w:eastAsia="arial" w:hAnsi="arial" w:cs="arial"/>
          <w:color w:val="000000"/>
          <w:sz w:val="20"/>
          <w:lang w:val="en-US" w:eastAsia="en-US" w:bidi="ar-SA"/>
        </w:rPr>
        <w:t>). Dr. Mothelesi did not commence treating Mr. Mather until May of 2012 when Mr. Mather moved to Prince Rupert. At that time Mr. Mather was complaining of back and neck pain when moving continuously. The complaints of back pain ceased shortly thereafter although Mr. Mather continued to see Dr. Mothelesi about complaints of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paucity of medical evidence is problematic. As noted by the trial judge in </w:t>
      </w:r>
      <w:r>
        <w:rPr>
          <w:rFonts w:ascii="arial" w:eastAsia="arial" w:hAnsi="arial" w:cs="arial"/>
          <w:i/>
          <w:color w:val="000000"/>
          <w:sz w:val="20"/>
          <w:lang w:val="en-US" w:eastAsia="en-US" w:bidi="ar-SA"/>
        </w:rPr>
        <w:t>Murray v. Byrd</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2008 BCSC 895</w:t>
        </w:r>
      </w:hyperlink>
      <w:r>
        <w:rPr>
          <w:rFonts w:ascii="arial" w:eastAsia="arial" w:hAnsi="arial" w:cs="arial"/>
          <w:color w:val="000000"/>
          <w:sz w:val="20"/>
          <w:lang w:val="en-US" w:eastAsia="en-US" w:bidi="ar-SA"/>
        </w:rPr>
        <w:t xml:space="preserve">, and quoted by the Court of Appeal, </w:t>
      </w:r>
      <w:hyperlink r:id="rId618" w:history="1">
        <w:r>
          <w:rPr>
            <w:rFonts w:ascii="arial" w:eastAsia="arial" w:hAnsi="arial" w:cs="arial"/>
            <w:i/>
            <w:color w:val="0077CC"/>
            <w:sz w:val="20"/>
            <w:u w:val="single"/>
            <w:shd w:val="clear" w:color="auto" w:fill="FFFFFF"/>
            <w:lang w:val="en-US" w:eastAsia="en-US" w:bidi="ar-SA"/>
          </w:rPr>
          <w:t>2009 BCCA 189</w:t>
        </w:r>
      </w:hyperlink>
      <w:r>
        <w:rPr>
          <w:rFonts w:ascii="arial" w:eastAsia="arial" w:hAnsi="arial" w:cs="arial"/>
          <w:color w:val="000000"/>
          <w:sz w:val="20"/>
          <w:lang w:val="en-US" w:eastAsia="en-US" w:bidi="ar-SA"/>
        </w:rPr>
        <w:t xml:space="preserve"> at para. 8, his award was based on the admissible evidence and without the benefit of a medical report he was not able to make a finding of continuing pain and discomfort. Mr. Justice Brine in the Supreme Court decision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absence of such a report might, in certain circumstances, give rise to an adverse inference. I do not, however, choose to do so here. It is not necessary as there is no convincing objective, independent evidence of injury exceeding a very few months in duration. I cannot base a decision upon speculation, supposition, or facts not in evidence before me. Mr. Murray is possibly going to be under-compensated due to the absence of such evidence, particularly the absence of a medical report. Nevertheless, the defendant's obligation to compensate Mr. Murray can only be based upon evidence properly placed before the court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Likewise an adverse inference does not arise in this case, given the failure of Mr. Mather to obtain an expert report relates to his status as a lay litigant and his limited financial resources. In addition as in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the same concerns arise respecting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that Mr. Mather did suffer from soft tissue injuries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submits in the alternative that if causation is found that they are in the mild to moderate range of damages with resolution of the effects of the accident within nine months of the second collision. They suggest a range for non-pecuniary damages of $10,000 to $18,000 with no awards for past income loss, future loss of capacity 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rely on two cases in support of the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Morrison v. Peng</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2010 BCSC 562</w:t>
        </w:r>
      </w:hyperlink>
      <w:r>
        <w:rPr>
          <w:rFonts w:ascii="arial" w:eastAsia="arial" w:hAnsi="arial" w:cs="arial"/>
          <w:color w:val="000000"/>
          <w:sz w:val="20"/>
          <w:lang w:val="en-US" w:eastAsia="en-US" w:bidi="ar-SA"/>
        </w:rPr>
        <w:t>, the plaintiff husband suffered soft tissue injuries. He had severe headaches for about six months. His symptoms were largely resolved within one year of the accident. An award of $9,000 for non-pecuniary damages was made. The plaintiff wife was found to have suffered soft tissue injuries to her neck and upper and lower back with the symptoms lasting for a year. The trial judge characterized the injuries as mild to moderate in severity and awarded $18,000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Kapelus v. Hu</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2013 BCCA 86</w:t>
        </w:r>
      </w:hyperlink>
      <w:r>
        <w:rPr>
          <w:rFonts w:ascii="arial" w:eastAsia="arial" w:hAnsi="arial" w:cs="arial"/>
          <w:color w:val="000000"/>
          <w:sz w:val="20"/>
          <w:lang w:val="en-US" w:eastAsia="en-US" w:bidi="ar-SA"/>
        </w:rPr>
        <w:t xml:space="preserve">, the plaintiff suffered soft tissue injuries which were substantially resolved within approximately 14 months. An award of $15,000 for non-pecuniary damages was upheld on appeal. In </w:t>
      </w:r>
      <w:r>
        <w:rPr>
          <w:rFonts w:ascii="arial" w:eastAsia="arial" w:hAnsi="arial" w:cs="arial"/>
          <w:i/>
          <w:color w:val="000000"/>
          <w:sz w:val="20"/>
          <w:lang w:val="en-US" w:eastAsia="en-US" w:bidi="ar-SA"/>
        </w:rPr>
        <w:t>Kapelus</w:t>
      </w:r>
      <w:r>
        <w:rPr>
          <w:rFonts w:ascii="arial" w:eastAsia="arial" w:hAnsi="arial" w:cs="arial"/>
          <w:color w:val="000000"/>
          <w:sz w:val="20"/>
          <w:lang w:val="en-US" w:eastAsia="en-US" w:bidi="ar-SA"/>
        </w:rPr>
        <w:t>, as in this case, there was limited evidence of the precise nature and effect of the plaintiff's injuries although there was a supporting medical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have also reviewed </w:t>
      </w:r>
      <w:r>
        <w:rPr>
          <w:rFonts w:ascii="arial" w:eastAsia="arial" w:hAnsi="arial" w:cs="arial"/>
          <w:i/>
          <w:color w:val="000000"/>
          <w:sz w:val="20"/>
          <w:lang w:val="en-US" w:eastAsia="en-US" w:bidi="ar-SA"/>
        </w:rPr>
        <w:t>Hrnic v. Fast</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2004 BCSC 1411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Saluja v. Wise</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2007 BCSC 706</w:t>
        </w:r>
      </w:hyperlink>
      <w:r>
        <w:rPr>
          <w:rFonts w:ascii="arial" w:eastAsia="arial" w:hAnsi="arial" w:cs="arial"/>
          <w:color w:val="000000"/>
          <w:sz w:val="20"/>
          <w:lang w:val="en-US" w:eastAsia="en-US" w:bidi="ar-SA"/>
        </w:rPr>
        <w:t>, the latter of which contains a summary of cases involving low-mid neck, back and shoulder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the basis of the evidence before me I am of the view that the plaintiff suffered mild soft tissue injuries to his neck, shoulder and back which over a period of nine months substantially resolved. I award non-pecuniary damages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burden of proof on the plaintiff for a claim for past wage loss requires that he "establish on the balance of probabilities, that the injuries he sustained in the accident impaired his ability" to earn income. He must then establish a basis for the Court to assess the chances of him obtaining employment. In addition, any award for past wage loss must "be guided to some extent by the claimant's actual earnings prior to the accident"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34-37).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medical evidence that the plaintiff was or is physically incapable of working. There is no evidence of any his earnings since February 2009, almost a year and one half before the accidents. Of significance is Mr. Mather's limited history of employment which reveals that from 1990-2000 he worked approximately seven weeks a year in seasonal cannery work and relied on either employment insurance or social assistance for the balance of each year. Between 2003 and 2009 he did not collect social assistance but did work periodically in construction however he was on employment insurance for at least 50% of the time. In May of 2009 he was collecting social assistance and between September 2009 and January 2010 he relied on student loans. He was unemployed from January 2010 to August 2010. A planned course with eventual enrolment in Kwantlen Polytechnic University for certification in Warehousing and Logistics never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that when he did work there were times when Mr. Mather was employed as a "lead hand" or foremen on construction sites. However there is insufficient evidence to determine his actual earnings. As noted he failed to produce his tax returns for any years nor did he produce any notices of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proposed course at Kwantlen was not supported with any evidence respecting its specifics and potential employment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I accept based on Mr. Mather's evidence, his brother's evidence and that of his former employer that when he worked he was a good and reliable worker he has failed to show that the accident caused his post-accident unemployment or that the injuries he sustained impaired his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conclude that given Mr. Mather's sporadic employment history, lengthy periods of unemployment, reliance on social assistance and employment insurance along with the inadequate medical evidence the evidence does not support an award for past wage loss (</w:t>
      </w:r>
      <w:r>
        <w:rPr>
          <w:rFonts w:ascii="arial" w:eastAsia="arial" w:hAnsi="arial" w:cs="arial"/>
          <w:i/>
          <w:color w:val="000000"/>
          <w:sz w:val="20"/>
          <w:lang w:val="en-US" w:eastAsia="en-US" w:bidi="ar-SA"/>
        </w:rPr>
        <w:t>Hough v. Wyatt</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2011 BCSC 910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Income Loss and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are no expert reports respecting future income loss, there are no vocational assessments nor is there any medical evidence supporting a claim for loss of future earning capacity. The evidence of the plaintiff, given my findings respecting the injuries, does not justify an award under this heading. The plaintiff has failed to show that he is less capable, marketable, valuable or able to take advantage of all job opportunities. There must be a real and substantial possibility of such a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claim for damages for loss of future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test for an award of damages for future care was summarized in </w:t>
      </w:r>
      <w:r>
        <w:rPr>
          <w:rFonts w:ascii="arial" w:eastAsia="arial" w:hAnsi="arial" w:cs="arial"/>
          <w:i/>
          <w:color w:val="000000"/>
          <w:sz w:val="20"/>
          <w:lang w:val="en-US" w:eastAsia="en-US" w:bidi="ar-SA"/>
        </w:rPr>
        <w:t>Peters v. Ortner</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plaintiff is entitled to compensation for the cost of future care based on what is reasonably necessary to restore him to his pre-accident condition in so far as that is possible.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test for determining the appropriate award under the heading of cost of future care is an objective one based on the medical evidence. For an award of future care: there must be a medical justification for claims for cost of future care and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or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absence of any evidence of medically necessary future care is fatal to the claim for such. The plaintiff has failed to meet the evidentiary burden required to support such a claim.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Mather failed to produce evidence of his expenditures for extra strength Tylenol, Tylenol 3 and muscle relaxants. He also stated that all such expenses are currently covered under his First Nations medical coverage. He did produce evidence of his chiropractic and kinesiology treatments with Dr. Mann totaling $3,788.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the test for determining a defendant's liability for special damages was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Generally speaking, claims for special damages are subject only to the standard of reasonableness. However, as with claims for the cost of future care (see </w:t>
      </w:r>
      <w:r>
        <w:rPr>
          <w:rFonts w:ascii="arial" w:eastAsia="arial" w:hAnsi="arial" w:cs="arial"/>
          <w:i/>
          <w:color w:val="000000"/>
          <w:sz w:val="20"/>
          <w:lang w:val="en-US" w:eastAsia="en-US" w:bidi="ar-SA"/>
        </w:rPr>
        <w:t>Juraski v. Beek</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when a claimed expense has been incurred in relation to treatment aimed at promotion of a plaintiff's physical or mental well-being, evidence of the medical justification for the expense is a factor in determining reasonableness. I accept the argument expressed through Dr. Frobb, that a patient may be in the best position to assess her or his subjective need for palliative therapy. I also accept the plaintiff's counsel's argument that in the circumstances of any particular case, it may be possible for a plaintiff to establish that reasonable care equates with a very high standard of care. In the words of Prof. K.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1996) at p. 166: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prior to the Supreme Court's endorsement of the restitution principle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in the area of special damages the courts had been prepared to allow optimum care, and damages were awarded for expenses of a character that stretched far beyond the resources of even an affluent Canadian.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being said, and while Dr. Frobb's paradigm of the patient becoming their own physician may have at least a superficial appeal, plaintiffs are not given </w:t>
      </w:r>
      <w:r>
        <w:rPr>
          <w:rFonts w:ascii="arial" w:eastAsia="arial" w:hAnsi="arial" w:cs="arial"/>
          <w:i/>
          <w:color w:val="000000"/>
          <w:sz w:val="20"/>
          <w:lang w:val="en-US" w:eastAsia="en-US" w:bidi="ar-SA"/>
        </w:rPr>
        <w:t>carte blanche</w:t>
      </w:r>
      <w:r>
        <w:rPr>
          <w:rFonts w:ascii="arial" w:eastAsia="arial" w:hAnsi="arial" w:cs="arial"/>
          <w:color w:val="000000"/>
          <w:sz w:val="20"/>
          <w:lang w:val="en-US" w:eastAsia="en-US" w:bidi="ar-SA"/>
        </w:rPr>
        <w:t xml:space="preserve"> to undertake any and all therapies which they believe will make them feel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There is no evidence medically justifying any of Mr. Mather's treatments. The referral to the chiropractor was from the plaintiff's former counsel, not a physician. As a result there is no medical evidence that the treatment was medically necessary. As noted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evidence of medical justification is a factor in assessing the reasonableness of an expense. On the other hand the evidence establishes that over the nine months after the accident Mr. Mather's condition did improve and according to Mr. Mather the treatments did contribute to his recovery as confirmed by Dr. Mann. I am satisfied therefore that the treatments were reasonable and I award the amount owing to Dr. Mann in the sum of $3,788.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issue of costs was not addressed. I invite submissions on costs to be provided within 45 days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Purewal v. Li, [2016] B.C.J. No. 2045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7-11 and 14-18,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M155346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2045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1792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Jasvir Singh Purewal, Plaintiff, and Qiang Li,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0" w:name="Keywords_25"/>
      <w:bookmarkEnd w:id="170"/>
      <w:r>
        <w:rPr>
          <w:rFonts w:ascii="arial" w:eastAsia="arial" w:hAnsi="arial" w:cs="arial"/>
          <w:b/>
          <w:color w:val="000000"/>
          <w:sz w:val="20"/>
          <w:lang w:val="en-US" w:eastAsia="en-US" w:bidi="ar-SA"/>
        </w:rPr>
        <w:t>Damages — Types of damages — For personal injuries — Considerations — Aggravation of pre-existing injury — Cost of future care — Special damages — Past loss of income — Employment income — Expenses and expenditures — Medical — Medications — Therapy or rehabilitation — Non-pecuniary loss — Pain and suffering — Prospective pecuniary loss — Action for personal injuries suffered in a 2012 motor vehicle accident allowed in part — Plaintiff was struck by defendant's vehicle at intersection — Plaintiff suffered from degenerative disc disorder prior to accident — Plaintiff worked as bus driver — Injuries from accident affected his ability to work overtime — Plaintiff suffered head injury and soft tissue injuries to back and shoulder — Plaintiff awarded non-pecuniary damages of $110,000, lost earnings to date of trial of $292,381, loss of future earnings of $75,000, special damages of $9,382 and cost of future care of $7,500.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Motor vehicles — Action for personal injuries suffered in a 2012 motor vehicle accident allowed in part — Defendant was solely liable for accident — Defendant struck plaintiff's vehicle when defendant made a left hand turn at intersection — Not a defence for defendant to rely on fact he was waved to proceed through intersection by drivers who were stopped — Defendant was required under to yield the right of way to plaintiff's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1" w:name="Case Summary_25"/>
            <w:bookmarkEnd w:id="1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2012 motor vehicle accident. The plaintiff sustained a head injury and soft tissue injuries to his back and shoulder. He had suffered from ongoing headaches as a result of the mild traumatic brain injury suffered, from ongoing back pain, sleep disturbance and depression since the accident. The defendant denied liability. The plaintiff was struck by the defendant's vehicle as the defendant made a left hand turn at an intersection. The defendant testified he proceeded to make his turn because he was waved across by the drivers of two vehicles which were stopped. The defendant agreed he did not look to see if there were vehicles approaching the intersection in the westbound curb lane. At the time of the accident, the plaintiff worked as a bus driver. He had been involved in a prior motor vehicle accident in 2010, during which he sustained neck, mid and low back soft tissue strain injuries. The defendant disputed that the plaintiff had fully recovered from the injuries sustained in the prior accident at the time of the 2012 accident. The plaintiff had been diagnosed with degenerative disc disease in his lower back.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2" w:name="Holdings of Court_22"/>
            <w:bookmarkEnd w:id="17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$494,263. The defendant was solely liable for the accident. It was not a defence for him to rely on the fact he was waved to proceed through the intersection by drivers who were stopped at the intersection. The defendant was required under to yield the right of way to any vehicle approaching the intersection that constituted an immediate hazard to his safe passage through the intersection. The plaintiff's evidence respecting his injuries was credible. He was significantly impacted by a mood disorder brought on by continuing pain and likely impacted by fear of his inability to adequately perform his duties as a bus operator. While the plaintiff had returned to work, he would likely continue to suffer from lower back pain which would, over time, limit his ability to work the amount of overtime as he had in the past. Non-pecuniary loss was assessed at $110,000 which included a consideration of the degenerative condition of his lower back. The plaintiff's loss of earnings to the date of trial was $292,831, based on three years and seven months of his regular wages plus an average amount of $25,000 per annum overtime pay. It was likely that the plaintiff would be unable to work some overtime work for one year after he returned to full-time work. His ability to achieve the level of overtime he worked prior to the accident was significantly burdened by his underlying pre-accident degenerative stenosis in his lower back which was aggravated by the accident. The plaintiff was awarded $25,000 for loss of future earnings for lost regular time wages and a further $50,000 for loss of future overtime work as he reintegrated into an overtime regime that approximated the amount of overtime he was working at the time of the accident. The was awarded $7,500 for the future cost of medication and special damages of $9,382 for prescription medications, physiotherapy, massage therapy, acupuncture, and ambulance services.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3" w:name="Legislation Cited_16"/>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42" w:history="1">
        <w:r>
          <w:rPr>
            <w:rFonts w:ascii="arial" w:eastAsia="arial" w:hAnsi="arial" w:cs="arial"/>
            <w:i/>
            <w:color w:val="0077CC"/>
            <w:sz w:val="20"/>
            <w:u w:val="single"/>
            <w:shd w:val="clear" w:color="auto" w:fill="FFFFFF"/>
            <w:lang w:val="en-US" w:eastAsia="en-US" w:bidi="ar-SA"/>
          </w:rPr>
          <w:t>R.S.B.C. 1996, c. 318, s. 158</w:t>
        </w:r>
      </w:hyperlink>
      <w:r>
        <w:rPr>
          <w:rFonts w:ascii="arial" w:eastAsia="arial" w:hAnsi="arial" w:cs="arial"/>
          <w:color w:val="000000"/>
          <w:sz w:val="20"/>
          <w:lang w:val="en-US" w:eastAsia="en-US" w:bidi="ar-SA"/>
        </w:rPr>
        <w:t>(a), s. 165(2),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4" w:name="Counsel_25"/>
      <w:bookmarkEnd w:id="1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K.D. Cowan.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M.D. Wilhelmson.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5" w:name="Judgment_25"/>
      <w:bookmarkEnd w:id="175"/>
      <w:r>
        <w:pict>
          <v:line id="_x0000_s1157"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6" w:name="B.M. GREYELL J."/>
            <w:bookmarkEnd w:id="176"/>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Purewal claims general damages, special damages, past loss of income and future loss of earning capacity, and in trust claims for care provided by his relatives and friends arising from a motor vehicle accident (the "Accident") of August 19,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liability for the Accident. The defendant also says the plaintiff has exaggerated his injuries, that at the time of the Accident Mr. Purewal had not fully recovered from injuries sustained in an earlier accident and that he was fit to return to work sooner than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when the plaintiff was traveling westbound in the curb lane of Southwest Marine Drive in the City of Vancouver. The plaintiff was proceeding straight through the intersection of Marine Drive and Columbia Street when his vehicle was struck on the driver's side by a vehicle driven by the defendant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Li was traveling east on Marine Drive and was attempting to make a left turn onto Columbia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Columbia Street intersects Marine Drive at a 70[degrees] angle from the north. The intersection is a "T" intersection as Columbia does not cross Marine Drive to the south. Marine Drive is a busy thoroughfare adjoining Vancouver, Burnaby and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at about 11:45 on the morning of August 19, 2012. Mr. Purewal testified he was in no particular hurry that morning. He was traveling his regular daily route into work. He was traveling in the curb lane, as he said he usually did, and as he passed through the intersection of Southwest Marine Drive and Columbia Street his vehicle was struck on the left front side by Mr. Li's vehicle as the latter attempted to cross into his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Purewal did not remember a second impact when his car was deflected ahead and to the right into a metal pole located on the northwest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Accident the traffic in the two lanes closest to the center line of Marine Drive was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Purewal agreed in cross-examination that he took no evasive action prior to the impact as he did not see the defendant Li's vehicle prior to impact. Mr. Purewal testified he intended to proceed straight through the intersection in the curb lane but that eventually he would have to merge his vehicle with traffic in the lane to his left because the curb lane was obstructed by construction further to the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testified it did "not seem important" to him that the traffic to his left was stopped. He testified he was the traveling speed limit and there was no traffic in front of him so there was "no point" in slowing down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Li was traveling eastbound on Marine Drive intending to make a left turn onto Columbia St. He testified there was a gap in the stopped traffic at the intersection. Mr. Li said he stopped at the intersection, turned his left turn signal on, waited about 15 seconds and then proceeded to make his left turn after being waved to do so by drivers in the first vehicles in both of the two westbound lanes who were stopped immediately before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Li testified he thought it was safe to turn and proceeded to do so "very very"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Mr. Li agreed he did not stop before entering the curb lane but that he was proceeding at "such a slow rate it seemed like I was stopped". He testified he proceeded to make his turn because he was waved across by the drivers of the two vehicles which were stopped. Mr. Li agreed he did not look to see if there were vehicles approaching the intersection in the westbound curb lane. He acknowledged the vehicle being driven by Mr. Purewal was a small compact car and would have been somewhat obscured from his view by the traffic in the center and mid lanes. He responded "that's his problem: not mine". Mr. Li testified he did not see Mr. Purewal's vehicle until the moment of collision. Mr. Li's vehicle struck Mr. Purewal's on the left front side as he was making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Witnesses on the Issue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Hubbard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Gregory Hubbard was the driver of the vehicle stopped in the middle westbound lane on the east side of the intersection of Marine Drive and Columbia Street immediately prior 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Hubbard testified he saw the driver in the vehicle next to him wave to motion Mr. Li's vehicle to proceed through the intersection. Mr. Hubbard said he became concerned the hand wave was "a little reckless" and as Mr. Li's vehicle began its left turn to cross the intersection he looked in his rear-view mirror and saw the plaintiff's vehicle one to two car lengths from the intersection approaching it in the curb lane from the east. He testified the front of Mr. Li's vehicle hit the plaintiff's vehicle on the driver's side door causing the plaintiff's vehicle to glance off and hit a pole on the northwest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Hubbard described the impact as a forceful one. He went to the plaintiff's vehicle where he said he found the plaintiff dizzy and unstable, shaking and unable to immediately answer questions. Mr. Hubbard considered the plaintiff to be in shock and having sustained a hit to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Hubbard testified Mr. Li's vehicle appeared to be accelerating as it proceeded to make its turn through the intersection. He testified Mr. Purewal's vehicle appeared to be traveling at normal road speed prior to the Accident. He did not see the plaintiff slow down, brake or change his path of travel.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Vita Sinclair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Sinclair testified she thought she was travelling in the center westbound lane on Marine Drive when traffic in front of her had stopped so she stopped just before the intersection of Columbia and left a gap in front of her vehicle. She testified she had been stopped for about 10 - 15 seconds when Mr. Li's vehicle approached the intersection from the east, driving in the lane closest to the center line and put his turn signal on. She testified she recalled looking in her rear view mirror to see if there was a vehicle in the westbound curb lane, but saw no vehicle. She testified she then made "eye contact" with Mr. Li and made a palm up gesture with her hand indicating he could proceed. She said he waved thank you and proceeded "slowly" through her lane and into the curb lane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Sinclair said the Purewal vehicle appeared to "come out of nowhere". She testified the force of the collision "seemed ... intense" and that the Purewal vehicle flipped up onto its side and then came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Accident she testified she sat with Mr. Purewal in his car. She recalled that he was shaking and appeared to be in shock and "frantic" and that he called his work place. He spoke in a language she did not understand. In cross-examination Ms. Sinclair testified Mr. Li's vehicle did not stop before entering the westbound curb lane. She also agreed that, given the curve in Marine Drive to the east of the Accident scene, a driver looking down Marine Drive to the east "can see quite a way back" and that it would be possible to see a vehicle approaching for "some period of time" and that Mr. Purewal's vehicle needed to be "very close" to the intersection for the Accident to have occurred where it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Jonathan Gough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Jonathan Gough, an engineer with a specialty in accident reconstruction, was requested by the plaintiff to conduct an investigation of the scene of the accident and to provide an opinion as to the position of the two vehicles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Gough prepared a report dated July 16, 2015 after attending the intersection where the Accident occurred and reviewing photos of the two vehicles, statements given by both parties and the police file. In his analysis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 sustained by the Purewal and Li vehicles indicates that the left front of the Li Audi struck the left side of the Purewal Toyota. The initial point of contact was to the left front wheel of the Toyota. As the collision progressed, the left front corner of the Audi penetrated deeper into the left side of the Corolla. The collision forces acting on the Audi were directed rearward and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Determination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the plaintiff relies on ss. 165(2) (a)-(d) and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Turning at intersections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(1) ...</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driver of a vehicle intends to turn it to the left at an intersection where traffic is permitted to move in both directions on each highway entering the intersection, the driver must</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vehicle to approach the intersection in the portion of the right side of the roadway that is nearest the marked centre line, or if there is no marked centre line, then as far as practicable in the portion of the right half of the roadway that is nearest the centre line,</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keep the vehicle to the right of the marked centre line or centre line of the roadway, as the case may be, at the place the highway enters the intersection,</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the intersection, turn the vehicle to the left so that it leaves the intersection to the right of the marked centre line of the roadway being entered, or if there is no marked centre line then to the right of the centre line of the roadway being entered, and,</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practicable, turn the vehicle in the portion of the intersection to the left of the centre of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w:t>
      </w:r>
      <w:r>
        <w:rPr>
          <w:rFonts w:ascii="arial" w:eastAsia="arial" w:hAnsi="arial" w:cs="arial"/>
          <w:color w:val="000000"/>
          <w:sz w:val="20"/>
          <w:u w:val="single"/>
          <w:lang w:val="en-US" w:eastAsia="en-US" w:bidi="ar-SA"/>
        </w:rPr>
        <w:t>the driver must yield the right of way to traffic approaching from the opposite direction that is in the intersection or so close as to constitute an immediate hazard</w:t>
      </w:r>
      <w:r>
        <w:rPr>
          <w:rFonts w:ascii="arial" w:eastAsia="arial" w:hAnsi="arial" w:cs="arial"/>
          <w:color w:val="000000"/>
          <w:sz w:val="20"/>
          <w:lang w:val="en-US" w:eastAsia="en-US" w:bidi="ar-SA"/>
        </w:rPr>
        <w:t xml:space="preserve">, but </w:t>
      </w:r>
      <w:r>
        <w:rPr>
          <w:rFonts w:ascii="arial" w:eastAsia="arial" w:hAnsi="arial" w:cs="arial"/>
          <w:color w:val="000000"/>
          <w:sz w:val="20"/>
          <w:u w:val="single"/>
          <w:lang w:val="en-US" w:eastAsia="en-US" w:bidi="ar-SA"/>
        </w:rPr>
        <w:t>having yielded and given a signal as required by sections 171 and 172, the driver may turn the vehicle to the left, and traffic approaching the intersection from the opposite direction must yield the right of way to the vehicle making the left turn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the defendant relies on s. 158(a)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(1) The driver of a vehicle must not cause or permit the vehicle to overtake and pass on the right of another vehicle, except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Li's defence appears to have been that as he had been waved through by one of the other drivers he could proceed and was not required to look for traffic in the curb lane. It is not a defence for Mr. Li to rely on the fact he was waved to proceed through the intersection by drivers who were stopped at the intersection. A driver bears responsibility for his or her own actions while driving. It is not a defence for a driver to assert that he or she relied on signals from another driver when the law places the driver in a subservient position of having to yield the right of way to a dominant driver: see </w:t>
      </w:r>
      <w:r>
        <w:rPr>
          <w:rFonts w:ascii="arial" w:eastAsia="arial" w:hAnsi="arial" w:cs="arial"/>
          <w:i/>
          <w:color w:val="000000"/>
          <w:sz w:val="20"/>
          <w:lang w:val="en-US" w:eastAsia="en-US" w:bidi="ar-SA"/>
        </w:rPr>
        <w:t>Abma v. Paul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2008 BCSC 783</w:t>
        </w:r>
      </w:hyperlink>
      <w:r>
        <w:rPr>
          <w:rFonts w:ascii="arial" w:eastAsia="arial" w:hAnsi="arial" w:cs="arial"/>
          <w:color w:val="000000"/>
          <w:sz w:val="20"/>
          <w:lang w:val="en-US" w:eastAsia="en-US" w:bidi="ar-SA"/>
        </w:rPr>
        <w:t xml:space="preserve"> where Madam Justice Gropper stated at paras. 19-21: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Further, Ms. Brandy admitted that seeing around the cars in the curb lane attempting to enter the school parking lot was difficult and she had to move into the curb lane in order to accomplish that. Even if Ms. Abma changed lanes abruptly, it was Ms. Brandy who was crossing the line of traffic and who was entering the road from a driveway; in those circumstances she was required to yield the right of way to traffic on the highway. Whether Ms. Abma changed lanes in front of the driveway or before the driveway, when Ms. Brandy entered onto the road she did not yield the right of way to Ms. Abma. While Ms. Abma was required to execute her lane change with regard to the safety of other vehicles, that did not change the obligation of the driver coming onto the road to yield the right of way to approaching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Finally, although Ms. Morgan appears to be confused about distances and time elapsed between her seeing Ms. Abma's vehicle and the impact, she was certain in her evidence about her observations of Ms. Brandy checking to the left and then to the right and not rechecking the left before emerging from the driveway. It may be that Ms. Brandy was confused by the southbound driver turning left into the parking lot and her attention was focused on that driver. She may have wrongly interpreted that driver's wave as a signal that it was safe to proceed. In that regard, if she relied on that signal, without checking again, she abdicated her responsibility to ensure that it was safe for her to leave the driveway to that southbound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am thus satisfied that the liability for the second accident rests solely on the defendants Brandy.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See also for similar conclusions: </w:t>
      </w:r>
      <w:r>
        <w:rPr>
          <w:rFonts w:ascii="arial" w:eastAsia="arial" w:hAnsi="arial" w:cs="arial"/>
          <w:i/>
          <w:color w:val="000000"/>
          <w:sz w:val="20"/>
          <w:lang w:val="en-US" w:eastAsia="en-US" w:bidi="ar-SA"/>
        </w:rPr>
        <w:t>Ching v. McCabe et al</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2006 BCSC 1589</w:t>
        </w:r>
      </w:hyperlink>
      <w:r>
        <w:rPr>
          <w:rFonts w:ascii="arial" w:eastAsia="arial" w:hAnsi="arial" w:cs="arial"/>
          <w:color w:val="000000"/>
          <w:sz w:val="20"/>
          <w:lang w:val="en-US" w:eastAsia="en-US" w:bidi="ar-SA"/>
        </w:rPr>
        <w:t xml:space="preserve"> at paras. 6-8; </w:t>
      </w:r>
      <w:r>
        <w:rPr>
          <w:rFonts w:ascii="arial" w:eastAsia="arial" w:hAnsi="arial" w:cs="arial"/>
          <w:i/>
          <w:color w:val="000000"/>
          <w:sz w:val="20"/>
          <w:lang w:val="en-US" w:eastAsia="en-US" w:bidi="ar-SA"/>
        </w:rPr>
        <w:t>Vahman v. Cutts</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2015 BCSC 298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Najdychor v. Swartz</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2009 BCSC 801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Hiscox v. Armstrong</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2001 BCCA 258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present case Mr. Li was required under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to yield the right of way to any vehicle approaching the intersection that constituted an immediate hazard to his safe passage through the intersection. Mr. Li did not look for vehicles approaching from his right as he moved through the intersection. He had a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had Mr. Li looked to his right he would have seen Mr. Purewal's vehicle approaching from the west. Mr. Hubbard testified Mr. Purewal's vehicle was one to two vehicle lengths away from the intersection after Mr. Li commenced his turn. Mr. Purewal's vehicle constituted an "immediate hazard" to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defendant argued Mr. Purewal was also at fault for the accident as he did not slow down as he approached the intersection with traffic stopped on either side. Counsel submits the facts in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are on "all fours" with those in the present case. In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the defendant was found to be 60% at fault for the accident by "sailing" through an intersection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do not accept the defendant's position that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is applicable to the facts in this case. In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the trial judge found the defendant "was not paying sufficient attention to his driving". While all drivers must drive with due care and attention having regard to the prevailing circumstances, there is no evidence in this case to suggest that even had Mr. Purewal slowed down his vehicle as suggested by the defendant that the accident would not have occurred. The defendant has not established anything Mr. Purewal did or did not do would have prevented or lessened the damages caused by the collision. Simply put, Mr. Li was required to yield the right of way to the plaintiff. He did not look for a vehicle approaching from his right in the curb lane. Had he done so I find it more likely than not he would have seen Mr. Purewal's vehicle approaching the intersection and would have been able to stop his vehicle in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Mr. Li is 100%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of the Plaintiff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Purewal was born July 22, 1968 in Punjab, India. Prior to moving to Canada in 2000 he completed high school, took his post-secondary education and obtained a diploma in pharmacy in India. He then worked as a pharmacist for four to five years before moving to Canada to, in his words, "seek a better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he arrived in Canada he found a job as a security guard. He worked in several positions as a security guard and worked at the same time in sales and a number of other part-time seasonal jobs doing security work. He often worked seven days a week when he was doing security guard wok at sporting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Purewal married Mr. Purewal in 2003. They have two young daughters, the first born in 2005 and the second in May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August 2004, Mr. Purewal applied for and was accepted as a transit operator with Coast Mountain Bus Company ("CMBC") with whom he is currently employed. He initially was employed as a casual employee driving community shuttle buses but subsequently was trained and drove larger city buses, including trolley buses. As he gained seniority Mr. Purewal regularly sought and worked overtime hours. He did this with the approval of his wife as the two had the objective of building as much capital as they could during their working years to enable them to travel during their retirement years, afford weddings for their two daughters and pay for their daughters'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very large part of Mr. Purewal's daily life prior to the Accident was spent either working or at a gym/social centre at the transit center from which he worked. He was an avid ping-pong player, regularly playing with co-workers and enjoyed working out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many of Mr. Purewal's daily activities involved his work (as he worked as many overtime hours as he could) and spending time at his workplace gym, he also spent family time doing activities with his wife and two daughters. He assisted his wife in household chores and did all the yard work at the family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Prior Motor Vehicle Accident (the "Prior Accident") of August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Purewal was involved in a prior motor vehicle accident on August 12, 2010, during which he sustained neck, mid and low back soft tissue strain injuries: similar injuries to those sustained in the Accident. He underwent physiotherapy and physical conditioning. He was off work as a result of his injuries for three-and-a-half months after which he returned to work on a graduated basis and then full-time on December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disputes Mr. Purewal had fully recovered from the injuries sustained in the Prior Accident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Mr. Purewal returned to work he reported to his family physician, Dr. Ho-Asjoe, that his back pain was aggravated by the constant accelerating/braking while driving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twelve months preceding the Accident, Dr. Ho-Asjoe saw Mr. Purewal infrequently but when she did see him (on May 31, 2011 and January 31, 2012) Mr. Purewal complained of persistent lower back pain for which he took medication "once in a while" and which occasionally interrupted his sleep. The back pain had not caused him to miss work (or reduce his overtime hours) and he had been able to travel to India to visit family without difficulty. He reported, however, that a three hour drive to Seattle in January 2012 caused increased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described earlier, the impact to Mr. Purewal's vehicle during the Accident was significant. He sustained an injury to his head and soft tissue injuries to his upper, mid and lower back and shoulder. He has suffered from ongoing headaches as a result of the injury to his head (diagnosed as a mild traumatic brain injury), from ongoing back pain, sleep disturbance and perhaps most significantly from a depressed mood which has been variously described by the physicians who have seen him as a "mood disorder", "anxiety and depressed mood", a "major depressive episode", and as demonstrating sufficient symptoms to meet the criteria for depression by Dr. Wald, although Dr. Wald did not formally diagnose him as suffering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Purewal's recovery process has been a slow one. He has been under the care of his family physician, Dr. Ho-Asjoe, who has referred him to various specialists for specific treatment. Mr. Purewal attended many physiotherapy and rehabilitation treatments, some paid for by the Insurance Corporation of British Columbia ("ICBC") and some by his disability insurance carrier, Great West Life ("GWL"). He has been on numerous medications for pain and a "depressive disorder". He remained off work until March 2016, when he returned to work under his employer's graduated return to work program ("GRTW") but continues to experience lower back pain particularly. He has a history of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Jessie Purewal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Purewal is the plaintiff's wife. She was raised in Vancouver, and works as a certified dental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Purewal owns the home in which she, her husband, their two daughters and her parents reside. Ms. Purewal had purchased the home prior to the marriage and in 2015 she and her husband spent a considerable amount of their savings and a loan from her sister to renovate the house. The home has a rental suite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Purewal testified she and her husband had planned that he would work as much overtime as he could so the two could enjoy a financially secure retirement which would enable them to travel as well as to pay for their daughter's education and for her wedding, which she said could be quite expensive. She testified their plans were for the plaintiff to reduce the hours he worked when he reached 60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Purewal testified she had seen Mr. Purewal's personality change since the accident. She said he "snapped" quickly and was impatient, irritable and moody. She testified he complained of back and shoulder pain and headaches; that he did not sleep well, appeared depressed and had a lack of interest in personal hygiene and in the cleanliness of the household. She said that before the Accident he had a close relationship with his eldest daughter, but that since the Accident their relationship was more strained: that he "gets angry over the simplest thing" and the daughter "kinds of avoids him". She described him as not being the same person 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Purewal described her relationship with Mr. Purewal now as "very strained": that they have disagreements almost daily but that their relationship had improved in February 2016 since he turned to work on a GRTW program, as he could now again contribute to their finances which she thought had been the source of his irritability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Ms. Purewal testified that prior to the Accident her husband handled the stress of his job well. She recalled Mr. Purewal complaining of back pain after a drive to Seattle in early 2012. She agreed that by the spring of 2013 Mr. Purewal was socializing with his friends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Purewal disagreed that the plaintiff's back pain started in 2010. She said he did have back pain as a result of the Prior Accident, but that it got better and Mr. Purewal was able to function at work. She denied she had been urging Mr. Purewal to return to work since 2013. She said he had never stopped trying to return to work: that she knew he wanted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Purewal acknowledged Mr. Purewal had been driving the family car since 2013. She denied she had proceeded with the renovation of the family home in 2015 because she knew Mr. Purewal could return to work and would contribute to the financing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Sukki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Sidhu is a co-worker and friend of Mr. Purewal. He described the job of bus driver as being full of "action" and "drama" and said that it required focus and mental alertness when maneuvering a large vehicle through downtown traffic, particularly at rush hour. He testified a driver needed to be able to be focused and to make quick decisions: that it was both a physical and an emotional job. Mr. Sidhu also socialized with Mr. Purewal outside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Sidhu testified that prior to the Accident he saw the plaintiff frequently playing ping pong with fellow employees at a recreational facility at work which he said Mr. Purewal was very good at. He described him as being very fit and as having a happy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After the accident he said Mr. Purewal was in pain and worried about his health and his future and that he spoke to Mr. Purewal and encouraged him. He testified Mr. Purewal angered easily. Mr. Sidhu referred to an incident when he was visiting Mr. Purewal's home and Mr. Purewal became angry with his wife for making too much noise when doing the dishes. He testified he had seen Mr. Purewal recently and said he saw improvement in his physical and mental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Mr. Sidhu testified that Mr. Purewal had not complained of back problems before the Accident and that he knew Mr. Purewal had been in the Prior Accident but that he was "perfectly fine" physically before the Accident. He denied Mr. Purewal was worried about he and his wife being able to have a second child or that he had talked about wanting to have a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Sidhu testified he believed Mr. Purewal first talked about returning to work in 2014 or 2015 - he did not remember when but testified Mr. Purewal "was thinking and getting ready mentally" to return. Mr. Sidhu testified he could see Mr. Purewal had "low energy" and told him he would return when he was mentally ready. Mr. Sidhu testified there is much responsibility on a bus driver, even a part-time bus driver, and that it is difficult to perform the duties of the job unless the driver is physically and mentally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Employment History as a Transit Operator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Prior to the Accident Mr. Purewal had been employed as a full-time transit operator by CMBC since August 2004. His rate of pay was $29.20 an hour with minimum weekly hours of 37.5 hours. As stated, he regularly worked as much overtime as he could manage. As a senior employee he was able to bid and obtain maximum overtime hours for which he was paid overtime pay at one-and-a-half times his regular rate for the first two hours of overtime and at double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Purewal's gross earnings in the twelve months prior to the Accident were $90,916.24 inclusive of his overtime earnings of $25,702.06.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Purewal's annual taxable earnings from his employment with CMBC over last five years prior to the Accident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$70,374</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$77,054</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$55,323</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$96,153</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$60,388</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046"/>
        <w:gridCol w:w="826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2013</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$4,186</w:t>
            </w:r>
          </w:p>
        </w:tc>
        <w:tc>
          <w:tcPr>
            <w:tcW w:w="809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046"/>
        <w:gridCol w:w="826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2014</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$8,291</w:t>
            </w:r>
          </w:p>
        </w:tc>
        <w:tc>
          <w:tcPr>
            <w:tcW w:w="809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During the course of his employment, Mr. Purewal received several letters from CMBC commending him on his attendance, which in 2011 was described as "perfect attendance" and in January 2010 as "completing three years without any absences for illness or injury", which CMBC described as "a phenomenal accomplishment and demonstrates significant effort on your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Mr. Purewal received a number of commendations from customers for "excellent" service and received an extra one hour pay as recognition for his "excellent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Marianne Ho-Asjoe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Ho-Asjoe has been Mr. Purewal's family doctor since August 13, 2010, when he saw her for the injuries he sustained in the Prior Accident. She saw him on August 21, 2012, two days after the Accident and has followed him on a regular basis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Ho-Asjoe provided a medical-legal report dated January 16, 2014, and was cross-examined at trial. She opined the plaintiff suffered a concussion, a contusion to the left side of his scalp, depression and anxiety, bilateral neck, mid back, low back, and shoulder soft tissue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report Dr. Ho-Asjoe noted Mr. Purewal had been attending physiotherapy treatments she had recommended and he had started active rehabilitation in March 2013, completing 25 treatments resulting in improvement in pain control in his neck, shoulders, and back. She noted he had had mood swings and irritability with daily headaches after the Accident until the spring of 2013 when he was diagnosed with a mild traumatic brain injury. He was advised not to return to his position as a bus driver until he was physically and emotionally fit and, when he felt able, to try work first on a GRTW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Ho-Asjoe noted Mr. Purewal was on and off Cymbalta for depression during 2013, but with increased socializing with friends by early 2014 his mood had increased and his anxiety was recorded as improving to a moderate level. When she saw him January 16, 2014, she noted he still did not feel he could return to work as a bus driver as he was experiencing frequent headaches with neck and low back pain, impatience waiting in traffic and was not stable enough to return to work. He was concerned about dealing with hostile or difficult passengers, his ability to cope with driving the bus during rush hours and keeping to the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Ho-Asjoe opined Mr. Purewal would benefit from consultation with a physiatrist for pain control treatment and initiated treatment with Dr. Fan and a referral to a psychiatrist for treatment of mood disorder. She considered his prognosis for recovery from his physical pain and depression/anxiety to be "guarded" considering the duration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Ho-Asjoe did not consider Mr. Sidhu to be ready to return to work prior to November 2015. She testified she supported his decisions relating to his dealings with GWL and not to appeal GWL's decision to terminate benefits. She testified she asked Mr. Purewal to ask GWL to contact her. In essence Dr. Ho-Asjoe testified her treatment was directed toward assisting Mr. Purewal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cross-examination Dr. Ho-Asjoe agreed that, given Mr. Purewal's return to work since the date of her report, her prognosis had changed from "guarded" to "good" to "excellent". She agreed she had approved his GRTW because Mr. Purewal had told her he felt ready to return. She said she disagreed with Dr. Wald's assessment made in May 2013, (which I will discuss below) or that she had ever spoken to Dr. Wald.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Ho-Asjoe agreed the main difference between the injuries sustained in the Prior Accident and the Accident was the mood disorder/anxiety/depression Mr. Purewal suffered as a result of the Accident which was "the main reason he was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Ho-Asjoe also agreed she recommended Mr. Purewal undergo counselling for depression. He did attend psychological counselling with Dr. Wald for about 10 sessions in the Spring of 2013 but then declined further counselling, being of the view that he would rather socialize with his friends, which Dr. Ho-Asjoe said she urged him to do. Mr. Purewal did get out more and increased socializing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Ho-Asjoe testified she did not recommend he participate in a GRTW before the end of 2015 as Mr. Purewal was undergoing an active rehabilitation program and attending work would affect his attendance at rehabilitation. She did not agree with the suggestion put to her in cross-examination that Mr. Purewal "was capable of some level of work" prior to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testified that prior to December 2015 she noted Mr. Purewal could not work in any capacity as he was not in a capacity to do so. She said she formulated this opinion after testing him for his mood/depressed mood.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Anita Fan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Fan is a specialist in physical medicine and rehabilitation. She first saw Mr. Purewal on March 31, 2014, and then again August 19, 2014 and on January 5, March 3, April 22 and May 15, 2015. Dr. Fan prepared a medical-legal report dated May 28, 2015, setting out her opinion of Mr. Purewal's diagnosis and prognosis. She was cross-examined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Fan described Mr. Purewal's symptoms when she first saw him as left shoulder pain radiating into the left arm, left arm weakness with numbness in the fourth and fifth digits, headaches which occurred three to four times a week each lasting four to five hours, bilateral tinnitus, constant low back pain aggravated by walking and sitting and occasional numbness and tingling in his left leg. At that time Mr. Purewal was taking Cymbalta, Celebrex, Tylenol #1 and Clonazepam (the latter to assist him sleep). He advised Dr. Fan that the massage therapy, physiotherapy, the KARP program and attending his workplace gym had helped his symptoms improve. Dr. Fan ordered a CT scan of his lumbar spine, an ultrasound of his left shoulder and asked Mr. Purewal to continue to do active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CT scan showed "multilevel degenerative changes" - a disc protrusion at L5-S1 and a dorsally displaced S1 nerve root, mild spinal stenosis at L4-L5 and minimal facet osteoarthritis in L4-L5 and L5-S1. On October 17, 2014 Mr. Purewal had electro diagnostic studies done. The results were "inconclusive with possible left L5 chronic radiculopathy".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Fan noted Mr. Purewal improved over time. His left shoulder pain decreased, although an ultrasound of his left shoulder showed calcified supraspinatus tendonitis. His low back pain continued with moderate restrictions on flexion and extension movements. Dr. Fan proposed a lumbar epidural steroid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Fan concluded her report by noting Mr. Purewal's current difficulty was related to his lumbar spine area: that he had been diligent in keeping up with his exercises and had "been compliant with participating in physiotherapy, massage therapy, active rehabilitation and with taking medications for pain relief". She noted he continued to have pain but was motivated to attempt to restore himself to his prior level of fitness and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She considered him to be "medically stable": but opined that the pain he sustained from the Accident "is considered chronic" and his prognosis for a full recovery is "guarded". She said she "expect[ed] he will continue to experience residual soft tissue discomfort involving primarily his lumbar spine and left shoulder given the chronic nature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cross-examination Dr. Fan agreed she had not seen Dr. Ho-Asjoe's clinical records and that she had relied on Mr. Purewal for a history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When showed Dr. Ho-Asjoe's records, Dr. Fan agreed Mr. Purewal had reported some symptoms of chronic lower back pain and further inquiry was warranted. Dr. Fan noted Mr. Purewal had degenerative changes in his lower spine. She agreed his newly reported right sided lower buttock pain extending into his right leg was unrelated to the Accident but did not think it was related to "progressive arthritis in his back". She agreed that with his GRTW there had been functionally a significant improvement in Mr. Purewal's medical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Christopher Honey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Honey is a neurosurgeon who was retained by the plaintiff's counsel to provide an opinion on Mr. Purewal's injuries, the cause of his injuries, his diagnosis and prognosis, including the extent to which any impairment would likely persist into the future, as well as limitations on daily living and his 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Honey examined Mr. Purewal on January 31, 2014, prepared a medical-legal report dated April 18, 2014, and was cross-examined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Honey opined Mr. Purewal sustained post-traumatic headaches, soft tissue injuries to his neck, back and left shoulder, unresolved post-concussion syndrome and, if his reported cognitive impairments were true, a mood disorder as a result of the Accident. He said he would defer to a psychiatrist for a definitive diagnosis and management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Honey opined that, while he would defer to a vocational expert, from a neurological perspective Mr. Purewal's vocational impairment was "not permanent". He opined that the level of Mr. Purewal's post-traumatic headaches and soft tissue injuries would have prevented him from engaging in his normal recreational, social and household activities but would not have interfered with his ability to undertake activities of daily living. He was of the view Mr. Purewal's ongoing chronic back pain would continue to interfere with certain of his recreational activities and household duties (e.g.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opined Mr. Purewal's headaches would be chronic but would "gradually" become a milder problem for him, that his mood disorder, once treated, would be expected to improve, but that his soft tissue pain in his neck and back were "likely to be a chronic problem for him". He noted the Mr. Purewal "was coping with chronic back pain prior to his MVA on August 19, 2012 and I expect he will be able to do so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cross-examination Dr. Honey disagreed that the suggestion Mr. Purewal's call into work from the accident scene made a diagnosis of concussion questionable but did say it could lead to a conclusion that the concussion had been mild. He agreed Mr. Purewal's post-concussion symptoms had resolved by August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Hiram Mok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Mok, a psychiatrist to whom Dr. Ho-Asjoe referred Mr. Purewal, treated him for symptoms of depression and anxiety between July 24, 2014 and February 23, 2016 and was continuing to see him. Dr. Mok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Mok did not provide a medical report and was not asked to provide an opinion concerning the state of Mr. Purewal's mental health. His evidence was restricted to the treatment he provided to Mr. Purewal. Dr. Mok testified he saw Mr. Purewal on 12 occasions between the above dates. He prescribed Trazodone, an anti-depressant. He said that by the time of his last visit Mr. Purewal had returned to work on a GRTW program, was still in pain and was taking Trazadone and Cymbalta.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cross-examination Dr. Mok agreed he was the only psychiatrist who had treated Mr. Purewal as a result of his injuries. He agreed that when he started treating Mr. Purewal he presumed he was suffering from depression and he proceeded with treatment on that basis. He agreed it was clinically significant that by about July 24, 2014 Mr. Purewal was attending a gym and exercising five times a week. He agreed there was a "big difference" between a diagnosis of clinical depression and a depressed mood. He agreed Mr. Purewal had been improving during the course of his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Jay Wald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Wald, a registered psychologist retained by GWL to provide psychological and cognitive therapy to Mr. Purewal, testified on behalf of the plaintiff. She saw Mr. Purewal between March 1, 2013 and May 2013. Dr. Wald had issued various reports both written and verbal to GWL as to Mr. Purewal's progress but testified at trial as to her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Dr. Wald first saw Mr. Purewal, she described his complaints as being ongoing neck and back pain, headaches, anxiety, depression and a post-traumatic stress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Wald saw Mr. Purewal on some eight occasions, each treatment session being 50 minutes in duration She testified throughout his attendances she found him "very motivated to receive treatment" and to return to work. She testified he was "engaged" in the treatment she gave to him. She treated him for persistent neck and back pain, headaches and sensitivity to light and noise, difficulty sleeping and becoming easily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Wald noted there was no significant improvement in his condition during the time she saw him. Notwithstanding, on April 12, 2013, at GWL's request, she gave an estimated return to work date of one month. It is apparent from her subsequent clinical records that Mr. Purewal's recovery proceeded more slowly than she had originally hoped for and he was not ready to entertain a GRTW.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cross-examination Dr. Wald agreed Mr. Purewal's resumption of his pre-accident exercise regime was a clinically significant event. She also agreed during the course of her treatment there had been a slight to moderate improvement in Mr. Purewal's condition. She also agreed a GRTW would assist with lessening his anxiety about driving a bus. She agreed that at the treatment session on April 12, 2013, Mr. Purewal told her he was in favor of a GRTW. She said he had not shown any animus towards GWL during the time she treated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Roy Oreta, a registered physiotherapist, testified he initially treated Mr. Purewal commencing two days after the Accident for "diffuse pain" all over his body which then became defined to neck, left shoulder, upper and lower back pain complaints. His office, Champlain Heights Physiotherapy, was only approved to conduct six physiotherapy sessions with Mr. Purewal which ended January 23, 2013. Mr. Ortega applied for further treatments which were not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Ortega had treated Mr. Purewal for injuries sustained in the Prior Accident. On February 14, 2010, he submitted a form to GWL in response to a request for Mr. Purewal's progress. He noted Mr. Purewal was improving in all areas and should continue active rehabilitation. He noted Mr. Purewal had a "decreased mood and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Ortega agreed in cross-examination that the injuries described on an ICBC Form 19 prepared by Dr. Ho-Asjoe on April 14, 2011, contained a description of injuries which were similar to those Mr. Ortega observed in 2012 - 2013.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Purewal attended Mr. Ortega on some 47 occasions over a five month period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described Mr. Purewal as diligent in doing recommended exercises and compliant with the recommendations he made. He said he had no concerns with Mr. Purewal's engagement in the treatment he was receiving.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he last saw Mr. Purewal he said that Mr. Purewal was improving and that his pain had declined by about 25%, but he had a decreased mood and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Maia Gallant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Gallant, a kinesiologist employed by KARP, testified she treated Mr. Purewal commencing from March 13, 2013 to August 7, 2013, on referral from Dr. Ho-Asjoe and ICBC. She testified that she found limitation in his range of motion in his neck, trunk and shoulders and that his grip strength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Gallant treated Mr. Purewal on some 51 occasions. She described his effort as "over all ... good effort - he was not particularly vocal". Later in the program she described his attitude as "poor": that she would "try to keep the session moving". She did not recall his responses on these occasions but described them as "not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her final report to ICBC of August 15, 2013, she reported KARP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[P]artially met our short-term goals of enabling Mr. Purewal to perform neck, shoulder, and trunk movements in greater pain-free ranges of motion. However, we have not met our long-term goal of returning Mr. Purewal to work and to his preferred leisure pursuits. ... Over the course of the program Mr. Liu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either maintained or improved his mobility with most tested movements, except decreased left shoulder external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Gallant recommended Mr. Purewal continue to adhere to his prescribed rehabilitation routine, as further improvements were "likely to occur". She provided Mr. Purewal with an exercise program to follow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cross-examination Ms. Gallant acknowledged she knew Mr. Purewal had to use public transportation to access the KARP facility as it was some distance from his home and that would probably explain why he was late for some 20 of his sessions. She agreed he was early for some 14 treatments. She agreed she was not qualified to opine on whether a person was suffering from symptoms of depression and anxiety. She also agreed she did not turn her attention to whether Mr. Purewal was suffering from headaches or dizziness or any other psychological symptoms and that she focused entirely on his physical limitations. She also agreed she was not responsible for return to work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Gallant agreed that "most of the time" Mr. Purewal demonstrated "good attitude and effort" and when he did not his effort was pain focused and that it was "very unusual" for him to demonstrate poor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agreed in her discharge report to ICBC she described Mr. Purewal's improvement as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Rehan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Dost is a specialist in neurology who saw Mr. Purewal at the request of the defendant on May 12, 2015. Dr. Dost prepared a medical-legal report dated May 14, 2015 and an addendum report after reviewing the reports of Drs. Fan, Honey, Clark, Ho-Asjoe and Patton.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Dost noted that at the time he saw Mr. Purewal he was complaining of ongoing lower back pain, left shoulder pain, intermittent tingling in one of his fingers in the left hand, headaches several times a week, sleep disruption, depressive symptoms and irritability, and decreased focus and memory. Mr. Purewal told Dr. Dost he had not returned to work because the work would be too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After conducting a physical examination Dr. Dost concluded Mr. Purewal had chronic headaches associated with a "mild closed head injury" and that he did not expect a spontaneous recovery. He concluded the headaches had not been adequately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Dost deferred any opinion on Mr. Purewal's left shoulder and low back pain to a musculoskeletal specialist and on his psychiatric issues to a psychiatrist. He did opine that Mr. Purewal's ongoing cognitive issues were not the result of brain injury but "reflect the cumulative impact of psychological duress, sleep disruption and pain". He concluded the issue with Mr. Purewal's finger was not accident related. He opined Mr. Purewal's ongoing left shoulder and low back pain was "not neurological" and deferred to the opinion of a "musculoskeletal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Addendum Report dated December 9, 2015, Dr. Dost disagreed with Dr. Fan's conclusion that Mr. Purewal had left S1 radiculopathy due to the late onset of symptoms in his right lower extremity. He attributed these symptoms as not related to the Accident but "would represent the natural trajectory of spinal degeneration ...". He deferred giving an opinion on symptoms of pain radiating into Mr. Purewal's left leg to a musculoskeletal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Dost agreed he could not diagnose a mood disorder - that often it was not possible to put a label such as "mood disorder" on symptoms but nevertheless the symptoms must be treated.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Benjamin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Clark is a medical doctor specializing in physical medicine and rehabilitation. Dr. Clark saw Mr. Purewal at the request of the defendant for an evaluation on June 9, 2015, and prepared a medical report of July 29, 2015, setting out his opinion of Mr. Purewal's diagnosis and prognosis and an addendum report dated January 22, 2016. Dr. Clark's evidence was introduced at trial by way of a video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Clark testified he considered Mr. Purewal was "straightforward" with him and that he could rely on what he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Clark noted that Mr. Purewal complained of low back pain aggravated by walking and cycling, intermittent left shoulder pain aggravated by heavy lifting and headaches which came on four to five times a week, which had in the past been constant but at that time came and went. Mr. Purewal "identified his mood as the number one issue [preventing him from returning to work] as he feels angry and irritable, noting he needs patience to work as a bus driver...". After a physical examination Dr. Clark concluded Mr. Purewal had sustained a mild traumatic brain injury (a concussion), shoulder, cervical, thoracic and lumbar strains, and a contusion to his head. He found a mild left shoulder impingement which he did not consider related to the Accident and tenderness at the lumbosacral junction. He considered the latter to be "partially pre-existing". He opined the left shoulder pain "is easily managed with a cortisone injection" and in any event was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Clark was of the view Mr. Purewal's prognosis was "excellent functionally" and that there was "no basis for imposing any restrictions or limitations on [his] activity" with respect to his household activities, employment or leisure activities. Mr. Purewal had partially resumed assisting his wife in household chores when he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Clark was of the view Mr. Purewal's continuing "cognitive inefficiencies" were "better explained by medications, pain and possibly depression". He was of the view Mr. Purewal had "continuing mood disorders" and deferred to a psychiatric assessor.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noted there would likely be some continuing lumbar myofascial pain "in relation to the prior accident", although the Accident had contributed to the pain. Dr. Clark was of the opinion that "from a physical perspective" no further treatment was necessary. He opined from a physical perspective a six month period of disability was a reasonable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his addendum report Dr. Clark commented on Dr. Fan's medical-legal report. It was his view that Mr. Purewal had not recovered from low back pain arising from the Prior Accident and he "probably" had underlying degenerative changes in his low back. He also noted Mr. Purewal had a recent non-accident related deterioration in his lower spine in the spring of 2015 when he had a new onset of right buttock pain and his right ankle reflex disappeared both of which he considered to be indicative of underlying degenerative changes in Mr. Purewal's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cross-examination Dr. Clark agreed he did not disagree with the diagnosis that Mr. Purewal had suffered a concussion in the Accident. He agreed that symptoms can change from day to day depending on one's medications, sleep, activity level and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Clark testified that he considered that at the time he saw Mr. Purewal his injuries from the Accident, from a physical perspective, "should have settled down". He agreed he did not turn his mind to "the constellation of problems" that fall into other subspecialties of medicine. He also opined that people often improved when they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re-examination Dr. Clark testified that when a person with a mood problem returns to work and gets back into their former routine they often feel better. He said, with reference to Mr. Purewal's headaches, that he would "stand to gain" from a "rejigging" of his medications. He agreed Mr. Purewal's pre-existing low back pain history was "either non-contributory or contributory to a very modest degree" to the injuries Mr. Purewal sustained in the Accident. He agreed that "overall" he was in agreement with the diagnoses of Drs. Ho-Asjoe and Fan.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Sheila Patton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Patton, a psychiatrist, saw Mr. Purewal for an assessment at the request of the defendants on April 8, 2015. Dr. Patton prepared a medical report dated December 2, 2015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Patton opined that the plaintiff sustained a mild traumatic brain injury as a result of the Accident. She noted that while there were symptoms of Major Depressive Disorder, sufficient to meet the criteria for diagnosis, she did not diagnose him as having the disorder. She noted that psychiatric diagnoses are largely based on self-reporting and that Mr. Purewal had been a "vague historian", and there was "evidence of inconsistencies, and exaggeration, in the data". She wrote that "he minimized the presence of chronic pain" (arising from the Prior Accident) and "he was not forthcoming about the stress he and his wife had been undergoing with their infertility, and his wish for a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She noted there were "multiple examples of Mr. Purewal not following through with, or engaging in, treatment as recommended" and that such examples could be found in the charts of the various physicians who had seen him and in the records of his rehabilitation program and GWL. She was of the opinion he was also inconsistent regarding his reports of stress while driving (which she says is contradicted by surveillance videos taken by the defendant and introduced at trial), not following through with treatment and other stressors in his life including the financial stress of being cut off from his disability payments and the birth of his second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penultimate paragraph of her report Dr. Patton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Thus, given the inconsistencies outlined above, including evidence of exaggeration; I am unable to form an accurate opinion regarding what psychiatric diagnoses, if any, Mr. Purewal experienced after the accident. I recognize issues of credibility are the sole domain of the courts, and defer to the courts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cross-examination Counsel for Mr. Purewal suggested that Drs. Ho-Asjoe and Fan had treated Mr. Purewal over a period of time and had formed a different conclusion than had Dr. Patton. Dr. Patton testified it was not her role to take issue with the opinions of other physicians but to provide her own opinion on the material she was provided. She agreed there could be divergent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suggested that Mr. Purewal attended 51 out of 51 scheduled KARP treatments and this showed he was actively engaged in his rehabilitation. Dr. Patton responded "he showed up" but said to "engage in" is "another thing". She was then asked if she agreed such attendance showed he was being compliant with the program. She responded "it depends - he showed up. I don't have enough details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Purewal's Relationship with GWL and KARP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Purewal received disability benefits through a plan arranged between the Transit Employees Health and Benefit Trust and GWL.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GWL requested that Mr. Purewal attend KARP, a rehabilitation facility,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KARP's treatment facility/gym was located in downtown Vancouver and it took Mr. Purewal some 45 - 50 minutes to travel each way to his sessions by bus. He had similar facilities available to him in a gym at his workplace. He went twice a week to KARP for a total of some 50 sessions between March and August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was approved for the receipt of short-term disability payments at 100% of salary for the first eight weeks commencing August 19, 2012, and thereafter at 85% during his period of eligibility. He was advised he would be required to participate and cooperate in "reasonable and customary treatment" and to provide GWL with information from his physicians from time to time to enable GWL to monitor his medical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On December 16, 2012, Mr. Purewal was approved for long-term disability ("LTD") benefits which, under the terms of the plan, continued for 24 months as long as Mr. Purewal met the definition of not being physically or mentally able to work as a Transit Operator. His benefits equated to 50% of his monthly earnings before he became a totally disabled employee (50% = $2,380.64). He was advised the terms of the plan provided that such benefits would continue for 24 months but then, to continue qualifying for long term benefits after August 18, 2014, he would be required,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to meet a definition of being wholly and continuously disabled from performing any job or work for which he was or could become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March 2013, GWL gave a written notification to Mr. Purewal of the upcoming change in definition and requested that he complete a form relating to his education, training and experience. Mr. Purewal did not reply to the GWL letter or to numerous telephone messages left at his residence by GWL's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letters in May and twice in June 2013, GWL provided Mr. Purewal with forms to complete in order to assess his claim. Mr. Purewal did not attend a medical assessment scheduled by GWL on July 17, 2013. On July 19, 2013, Mr. Purewal was notified by GWL he would not receive benefits beyond July 15, 2013, for failure to comply with his responsibilities under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August 14, 2013, GWL wrote Mr. Purewal advising him if he did not "re-engage in the rehabilitation plan by August 31, 2013 ... [his] file would be terminated". The letters sent by GWL to Mr. Purewal were preceded by numerous unanswered telephone calls to his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Purewal's explanation for not communicating with GWL was that he was depressed and did not want to deal with GWL.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Purewal acknowledged receiving the May 17, 2013 letter from GWL advising him that his qualification for benefit coverage would change and he would have to establish he was totally disabled from holding any position. He testified he found the letter "stressful". He acknowledged not responding to a GWL request he provide information about his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Purewal testified he decided to pursue a GRTW in 2016 because he felt he had "better control over his impatient behavior" and the quality of his sleep had improved. He denied he felt pressured to return by financial pressures on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Purewal testified she was not aware Mr. Purewal's LTD benefits would be stopped by GWL in July 2013. She said that at the time the family was depending on the benefits, but she understood Mr. Purewal's feelings of frustration: that he was depressed at the time, coping with pain and with having to travel by bus to various places for appointments. She knew Mr. Purewal did not appeal GWL's decision to stop the benefits and supported him in his decision. She testified it was a source of great frustration to Mr. Purewal that KARP made appointments without consulting him and that he had to travel some distance by bus to attend the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her cross-examination Ms. Purewal agreed she did not know about appointments Mr. Purewal was scheduled to have in July 2013 with GWL and that she found out about them after his benefits were terminated. She said she did not see the letters from GWL. She agreed she ultimately supported him in his decision not to appeal GWL's decision to terminate LTD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my view the issues between Mr. Purewal, KARP and GWL do not bear on the issues to be determined in this case. The defendant has not established that by attending further KARP treatments the condition of Mr. Purewal's physical or mental health would have been any different. The defendant has not established that Mr. Purewal failed to take reasonably steps to mitigate his loss. KARP's facilities were some distance from Mr. Purewal's residence and entailed considerable inconvenience is attending. Further, as stated, the defendants have not established his attendance would have improved his condition and enabled him to return to work any earlier than he ultimately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Purewal's refusal or failure to co-operate with GWL in regard to continued benefits is not is simply not relevant except to the defendant's argument Mr. Purewal could have gone back to work earlier than he did but did not as he was receiving LTD benefits. I accept Mr. Purewal did not respond to GWL's requests for information was entirely due to his mental state during the time such information was being requested. In my view his failure to cooperate with GWL had nothing to do with his ultimate return to work or any attempt to hide information concerning his health from his insurance carrier.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on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 says Mr. Purewal has exaggerated his symptoms (reporting he had daily headaches and dizzy spells (to GF Strong Rehab Centre in March 2013) and reporting "severe balance problems and severe cognitive problems (when attending Vancouver General Hospital for an MRI in May, 2013), was vague and inconsistent resulting in confusion between his physicians and accuses him of "circular reporting" and of complaining of symptoms that appear, resolve and reappear. The defendant relies on the evidence of Dr. Patton.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test for determining credibility was set out in the often referred to comments of O'Halloran J.A. in </w:t>
      </w:r>
      <w:r>
        <w:rPr>
          <w:rFonts w:ascii="arial" w:eastAsia="arial" w:hAnsi="arial" w:cs="arial"/>
          <w:i/>
          <w:color w:val="000000"/>
          <w:sz w:val="20"/>
          <w:lang w:val="en-US" w:eastAsia="en-US" w:bidi="ar-SA"/>
        </w:rPr>
        <w:t>Faryna v.Chorny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Having observed Mr. Purewal testify, I am of the view his testimony concerning his injuries and how the Accident has affected him is honest and credible. There is little doubt that prior to the Accident Mr. Purewal had been strongly motivated to work hard and to perform well for his employer. He took personal pride in his work and in his ability to financially contribute to his family's expenses and to a secure financial future for his family. He had, in the main, except for lingering issues with his lower back, recovered from similar injuries sustained in the Prior Accident in some three months and had returned to work with no absences in the period from his return to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Purewal's recovery from injuries sustained in the Accident was not as quick as his recovery from the Prior Accident. His recovery was not for lack of trying. He initially attended physiotherapy with Mr. Oreta at Champlain Heights Physiotherapy, and then attended some 50 rehabilitation treatments with KARP. Overall he showed good effort in his attempts to improve. He took massage therapy, acupuncture treatments, underwent a spinal injection, attended treatment for his head injury, and attended a number of other caregivers. Mr. Purewal was described by most of those who saw him as trying to get better, cooperative and as wanting to return to work. Dr. Clark was careful to qualify his opinion that Mr. Purewal was "physically" disabled from returning to work for six months. He agreed he was not qualified to offer an opinion about Mr. Purewal's mental capacity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preponderance of the evidence supports a conclusion that Mr. Purewal was significantly impacted by a mood disorder or depressive type symptoms brought on by continuing pain and likely impacted by fear of his inability to adequately perform his duties as an operator given the stress inherent in the nature of the position of a transit operator. Dr. Ho-Asjoe supported him in not returning to work until he felt he was ready to do so for this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do not accept the opinions of Dr. Patton. In my view her report is founded on facts and assumptions which have not been proven at trial. In fact I am satisfied, based on the evidence I heard, that Mr. Purewal cooperated fully in attending physiotherapy and rehabilitation treatments. He is reported by most of his therapists as making a "good effort". I am satisfied Mr. Purewal and his wife were not overly "stressed" about infertility issues, his wish for a son or the other issues raised in her evidence. I accept the Purewal's evidence that they "moved on" from these issues. As Dr. Patton aptly noted, credibility issues are the sole domain of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defendants complain the plaintiff is a "poor historian" in that he has given varying accounts of his injuries to attending physicians at different times. Given the number of attendances Mr. Purewal has had with health care providers during his recovery since 2012 and the nature of his injuries, including his depressed mood, it is not surprising his accounts may, from time to time, have varied: see comments of N. Smith J. in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 xml:space="preserve"> at paras. 15-17: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attack on the plaintiff's credibility is based, in part, on various contradictions and inconsistencies within her evidence at trial and between that evidence and her discovery evidence, documents she prepared for other purposes, or statements recorded in clinical records. It is a rare case of this kind where such inconsistencies cannot be found. By the time a personal injury case gets to trial, the plaintiff typically will have provided information to a number of people - including doctors, adjusters and disability insurers - on a number of occasions over a period of years. This provides fertile ground for cross-examination precisely because very few people will have perfect and identical recollection on each of those occasions.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record created on many of those earlier occasions may consist of answers a plaintiff gave to questioners who were primarily interested in only part of what the plaintiff had to say. For example, a doctor treating a plaintiff for a specific injury may seek only very general information about aspects of the plaintiff's medical history unrelated to the injury that doctor is treating. The information recorded may only be a brief summary or paraphrase of what the plaintiff said. The plaintiff will usually have no specific recollection of what he or she said on that occasion, but, when confronted with the record on cross-examination, will usually agree with the suggestion: "That is what you told Dr. X, isn't it?" The danger of giving too much weight to such inconsistencies was noted by Parrett J. in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at paragraph 104: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make two observations at the outset about Dr. Keyes' criticism for the variations he finds exist in the versions of symptoms given to various doctors. First of all, 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As Dr. Samad made very clear his chart and records were a long way from being a verbatim record, indeed, some of his entries from a full appointment and an examination consisted of three or four phrases. I find little surprising in the variations of the plaintiff's history in this case, particularly given the human tendency to reconsider, review and summarize history in light of new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Although there are inconsistencies in the plaintiff's evidence, I am satisfied that she was attempting to tell the truth as she recalls it. Those inconsistencies may cause me to question the accuracy of her recollection on some points, but they come nowhere near to being a basis for a finding of outright and deliberate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 on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submits general damages for pain, suffering and loss of enjoyment of life should be awarded in the amount of $150,000. The plaintiff says this amount would adequately compensate for the multiple injuries he sustained and the effect of his injuries past and present on his life and family and on his capacity to work and enjoy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Athey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Leonati</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Grand &amp; Toy Alberta Ltd.</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Curtis v. MacFarlane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2014 BCSC 1138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Hejslet</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Bricker v. Danyk</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2015 BCSC 2404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submits non-pecuniary damages should fall in the range of $40,000 and $60,000 with a deduction of 25% for the plaintiff's degenerative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Dajani v. Khanna</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1999 BCCA 694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Kahle v. Ritter</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2002 BCSC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Zrnoh v. Stauber</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2009 BCSC 944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Beick v. Webb</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2003 BCSC 1251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Schrauwen v. Slater</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2001 BCSC 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Travis v. Kwan,</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Filsinger v. ICBC</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2009 BCSC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Trevitt v. Tobin</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2009 BCSC 1249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Brown v. Raffan</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2013 BCSC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impact sustained by the plaintiff's vehicle during the Accident was unexpected and substantial. The injuries sustained by the plaintiff included a concussion when he struck his head, ongoing headaches and substantial soft tissue injuries to his shoulder, upper, mid and lower back. I find the Accident aggravated injuries sustained by Mr. Purewal in the Prior Accident. In addition, I find Mr. Purewal had interrupted sleep and developed a depressed mood as a result of his ongoing pain and discomfort which has affected his family life, including his relationship with his daughters and his wife. While Mr. Purewal has returned to work he will likely continue to suffer from lower back pain which will, over time, limit his ability to work the amount of overtime as he has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Based on the principles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on my review of the cases cited by counsel Mr. Purewal's non-pecuniary loss should be assessed at $110,000, which includes a consideration of the degenerative condition of Mr. Purewal's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Lost Earnings to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 says Mr. Purewal should have returned to work earlier than he did: that he should have returned by October 2013. Based on my assessment of the evidence,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my view, the defendant's position does not take into account the plaintiff's physical or mental condition or the responsibilities and stress inherent in the position of a transit operator whose daily job requires negotiating large vehicles through the streets of Vancouver while paying attention to traffic, traffic signs and the security of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is clear on the evidence that Mr. Purewal was a skilled professional operator who took pride in his work, who took pride in his unblemished attendance record and who was the recipient of numerous commendations from his employer. I find he was very conscious of when he could physically and mentally return to the responsibility of his position as a driver and that he returned to work on a graduated return to driving when he considered he was able to handle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agree with the defendant that Mr. Purewal had an obligation to mitigate his loss by considering a GRTW at one of the positions available to him if he was able to do the work. While neither party called a witness from CMBC to testify as to CMBC's GRTW program, it is clear from the evidence that several positions other than that of driver were available to Mr. Purewal to return to work, including those of a Utility Operator (assisting in the loading and loading of passengers); a Modified Service Person (cleaning drivers' compartments of Transit Vehicles); and a Building Service Worker (cleaning, mopping and vacuuming floors, washrooms,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question is whether Mr. Purewal could have performed such work. The defendant says he considered the work beneath him and that he could and should have accepted such alternate work much earlier than when he did return to graduated work as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May 28, 2015, and September 24, 2015, Dr. Ho-Asjoe responded to requests from CMBC for a medical opinion on Mr. Purewal's prognosis to return to work. She wrote in February his left shoulder pain and range of motion had improved but noted in both reports that he continued to suffer from chronic low back pain and stiffness and that he was still depressed and anxious. She considered his return to work in the foreseeable future as "guarded" and that he was "unlikely able to learn a new job in his present emotional state of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short, Mr. Purewal relied on his attending physician for advice on when he should be returning to work and to what work he should return to. He cannot, in my opinion, be faulted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Further, the defendant has not advanced evidence in support of its position Mr. Purewal could have performed the functions of the alternate work positions. A defendant who asserts a plaintiff has failed to mitigate his loss bears an onus to establish the plaintiff could, by taking reasonable steps, have actually mitigated the loss. The defendant has not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assess Mr. Purewal's loss of earnings to the date of trial in the amount of $292,831. The calculation of this amount is based on three years and seven months of his regular wages or $58,071 per annum (excluding overtime) plus an average amount of $25,000 per annum overtime pay (as suggested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for Loss of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Purewal claims damages for lost future earning capacity in the amount of $227,800. The plaintiff's analysis is based on an assessment of the amount of earnings he says he would have earned had he continued to work: his regular earning plus a reduced overtime amount of $25,000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Mr. Justice Abrioux provided a helpful summary of the principles to be used by the court in assessing future wage loss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at paras. 148-151. He explained the two possible approaches: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[148] There are two possible approaches to assessing loss of future earning capacity: (i) the earning approach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or (ii) the capital asset approach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their appropriateness in the circumstances depends on whether the loss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271;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[2011] B.C.J. No. 1931</w:t>
        </w:r>
      </w:hyperlink>
      <w:r>
        <w:rPr>
          <w:rFonts w:ascii="arial" w:eastAsia="arial" w:hAnsi="arial" w:cs="arial"/>
          <w:color w:val="000000"/>
          <w:sz w:val="20"/>
          <w:lang w:val="en-US" w:eastAsia="en-US" w:bidi="ar-SA"/>
        </w:rPr>
        <w:t xml:space="preserve"> at para. 233.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[150] The capital asset approach is employed when future loss cannot be measured in a pecuniary way. Finch J., as he then was, described the factors to consider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356:</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Where an earnings approach is the most appropriate method of assessing an award under loss of future earning capacity but it does not fully encompass the realities of the situation, it is correct to consider all of the evidence and adjust the award for further negative contingencies: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paras. 64-66.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legal principles in awarding loss of future income damage award are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Those principles were recently summarized by the Court of Appeal in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by Mr. Justice Harris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 principles specific to assessing an award for loss of future earning capacity are well settled: see, for example,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These principles were recently canvassed by this Court in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where Smith and Willcock JJ.A. writing for the Court said: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(ii) The approach to assessing 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It is correct to say that an award of damages under this head is a result of the careful weighing of all the evidence and the application of considered judgment to that evidence. It is not a calculation: </w:t>
      </w:r>
      <w:r>
        <w:rPr>
          <w:rFonts w:ascii="arial" w:eastAsia="arial" w:hAnsi="arial" w:cs="arial"/>
          <w:i/>
          <w:color w:val="000000"/>
          <w:sz w:val="20"/>
          <w:lang w:val="en-US" w:eastAsia="en-US" w:bidi="ar-SA"/>
        </w:rPr>
        <w:t>Mulholland v. Riley Estate</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t>
      </w:r>
      <w:hyperlink r:id="rId538" w:history="1">
        <w:r>
          <w:rPr>
            <w:rFonts w:ascii="arial" w:eastAsia="arial" w:hAnsi="arial" w:cs="arial"/>
            <w:i/>
            <w:color w:val="0077CC"/>
            <w:sz w:val="20"/>
            <w:u w:val="single"/>
            <w:shd w:val="clear" w:color="auto" w:fill="FFFFFF"/>
            <w:lang w:val="en-US" w:eastAsia="en-US" w:bidi="ar-SA"/>
          </w:rPr>
          <w:t>[1995] B.C.J. No. 1823</w:t>
        </w:r>
      </w:hyperlink>
      <w:r>
        <w:rPr>
          <w:rFonts w:ascii="arial" w:eastAsia="arial" w:hAnsi="arial" w:cs="arial"/>
          <w:color w:val="000000"/>
          <w:sz w:val="20"/>
          <w:lang w:val="en-US" w:eastAsia="en-US" w:bidi="ar-SA"/>
        </w:rPr>
        <w:t xml:space="preserve"> (C.A.). Because the court is required to take into account all substantial possibilities it is necessary to use careful judgment in weighing those possibilities. In order to ensure that all reasonable substantial possibilities are taken into account, however, the conventional approach is that described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In that case, at para. 57, Saunders J.A.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two major components to an assessment of loss of future earning capacity. One is the general level of earning thought by the trial judge to be realistically achievable by plaintiff but for the accident, taking into account the plaintiff's intentions and factors that weigh both in favor of and against that achievement, and the other is the projection of that earning level to the plaintiff's working life, taking into account the positive and negative vagaries of life. From these two major components must be applied an analysis that produces a present value of the loss, adjusted for all appropriate contingencies.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The standard of proof to be applied when evaluating hypothetical events such as loss of future earnings,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 plaintiff, of course, must always prove there is a real and substantial possibility of a future event which will lead to an income loss.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court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It is notable, however, that during the period prior to the Accident, Mr. Purewal was not symptom-free. In April and May 2011, he reported lower back pain to Dr. Ho-Asjoe with prolonged sitting while driving a bus after five to six hours and with continuous braking and accelerating. Mr. Purewal has recently reported right sided buttock pain (April 22, 2015 to Dr. Fan) and Dr. Clark (see addendum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accept that, absent the Accident, Mr. Purewal planned to work overtime until age 60 and to retire at age 65, and that he would have continued working for CMBC until age 65. Both he and Ms. Purewal testified they had a financial plan which envisioned both working and saving for their retirements and to build sufficient funds to pay for their children's education and expensive marriages.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Mr. Purewal's counsel submits Mr. Purewal has suffered a capital loss as a result of the injuries sustained in the Accident which have impaired his future earning capacity. Counsel for Mr. Purewal relies on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However, as noted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observe first that on its facts,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distinguishable from the case at bar. While it is true that, like Ms. Perren, Mr. Pallos continued to earn the same income from the same employer as he did before the accident, he was disabled from his previous duties. His employer had assigned him to lighter duties. He was disabled from his usual duties and had proven a loss of income earning capacity. Second, I observe that Finch J.A. found that the error of the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trial judge was in following the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approach or test where it was clearly inapplicable. </w:t>
      </w:r>
      <w:r>
        <w:rPr>
          <w:rFonts w:ascii="arial" w:eastAsia="arial" w:hAnsi="arial" w:cs="arial"/>
          <w:color w:val="000000"/>
          <w:sz w:val="20"/>
          <w:u w:val="single"/>
          <w:lang w:val="en-US" w:eastAsia="en-US" w:bidi="ar-SA"/>
        </w:rPr>
        <w:t>Pallos is not authority for the proposition that, in the absence of any real possibility of a future loss, a plaintiff is nevertheless entitled to an award for loss of earning capacity. It must be remembered that there is no dispute that Mr. Pallos had proven a real possibility of future loss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Plaintiff's counsel submits it is a "natural consequence" of Mr. Purewal's injuries that he will not be able to work the amount of overtime he had prior to the Accident and that I should consider this "diminished capacity" in a job which gave him "pride of job, pride of place and pride within his community" in awarding him damages for impaired future earnings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seeks some $227,800 in lost earning capacity which the plaintiff calculates as the present value of lost overtime earnings of $25,000 per annum to age 57 (at which time it was submitted he would have worked less overtime to age 65) and then $5,000 to $10,000 annually to his planned retirement age at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evidence establishes Mr. Purewal suffers from degenerative disc disease in his lower back. While I accept he had substantially recovered from the Prior Accident when the Accident occurred, it is clear from complaints (infrequent) he made to Dr. Ho-Asjoe, from diagnostic testing results and from the onset of more recent symptoms subsequent to the Accident that he suffers from degenerative changes in his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No medical expert or functional ability evaluator testified as to how or whether Mr. Purewal's back injury would affect his ability to perform in his regular position as transit operator (with the bending, turning and constant use of his feet to apply pressure to pedals), let alone take on the additional burden of overtime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Ho-Asjoe certified he was fit to return to work on a modified work schedule. I assume Mr. Purewal will complete that return to work and move from graduated hours to full time hours. There is no evidence to the contrary. The only limitation on his abilities, and the one which prevented him from at least attempting a modified return to work at a much earlier time (as early as 2014), was a condition of depressed mood/depression which continued until he did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issues are (i) whether Mr. Purewal had established there is a real and substantial possibility that there will be a future event which will result in a loss of future earnings and (ii) whether I should apply the capital loss approach or the income loss approach to assess his loss. In my view it is more appropriate in this case to apply the income loss approach. I find Mr. Purewal will successfully complete the GRTW program and return to full-time employment as a bus operator and that he will gradually return to working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think it is more likely than not that Mr. Purewal will be unable to work some overtime work for a period of time after he returns to full-time regular work as a transit operator. I assess this period as being for one year. I conclude that subsequent to that time he will gradually increase his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Purewal's prognosis for achieving the level of overtime he worked prior to the Accident is significantly burdened by his underlying pre-Accident degenerative stenosis in his lower back which was aggravated by the Accident but which has recently flared up with pain radiating into his leg, a condition that is independent of any injury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On the medical evidence before me I am simply unable to conclude that Mr. Purewal will not be able to work overtime on an ongoing basis into the rest of his working years as a consequence of injuries sustained in the Accident. If there will be a limitation on his overtime hours I am driven to the conclusion such limitation will be the result of his degenerative condition rather than as a cause of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Purewal is entitled to compensation for loss of future earnings in the amount of $25,000 to account for lost regular time wages from the date of trial to the date I estimate he will return to full-time regular work (roughly six months) in his first year back at work and a further $50,000 for loss of future overtime work (roughly two years) as he reintegrates into an overtime regime that approximates the amount of overtime he was working at the time of the Accident. In awarding this amount I have taken into account the evidence that the Accident likely, in some measure, aggravated his pre-existing degenerative condition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Mr. Purewal seeks an amount in excess of $30,000 for the cost of medications, including the use of Cymbalta. Alternately the plaintiff requests the court to direct ICBC to pay for medications prescribed in respect to his ongoing complaints out of Part 7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Given my conclusion that the probable cause of Mr. Purewal's future complaints may very well arise from his pre-existing condition I am not prepared to make the direction requested by counsel. However, Mr. Purewal was on medication arising from unresolved injuries sustained in the Accident at the date of trial and he will require medication for a period into the future. Based on the cost of his past medications, including the expense of medication taken for his depressed mood, I award $7,500 to cover the future cost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Purewal claims special damages in the amount of $9,382.23. His claim includes expenditures for prescription medications (the largest expense of which was for depression/mood related prescriptions), physiotherapy, massage therapy, acupuncture, ambulance services, and the cost of a medical letter from Dr. Ho-Asjoe relating to his return to work. In my view this claim has been proven. Accordingly, I award Mr. Purewal special damages of $9,382.23.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award no sum for this head of damage claimed as in my view the plaintiff has not made out the basis for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conclusion I award the plaintiff the following sums: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$110,000</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Lost earnings to date of trial $292,381</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Earnings $75,000</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$9,382.23</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$494,263.23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may speak to the issue of costs should they be unable to agree. Should costs be in issue then within 30 days of the publication counsel may arrange a time to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Tayler v. Loney, [2009] B.C.J. No. 1113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M072415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178 A.C.W.S. (3d) 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1484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Selina Ray-Ann Tayler, Plaintiff, and Edward Joseph Loney,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7" w:name="Keywords_26"/>
      <w:bookmarkEnd w:id="177"/>
      <w:r>
        <w:rPr>
          <w:rFonts w:ascii="arial" w:eastAsia="arial" w:hAnsi="arial" w:cs="arial"/>
          <w:b/>
          <w:color w:val="000000"/>
          <w:sz w:val="20"/>
          <w:lang w:val="en-US" w:eastAsia="en-US" w:bidi="ar-SA"/>
        </w:rPr>
        <w:t>Damages — Physical and psychological injuries — Physical injuries — Body injuries — Back and spine — Neck — Considerations impacting on award — Mitigation — Degree of impairment — Pre-existing injury — Action by plaintiff allowed — The plaintiff's vehicle was rear-ended by the defendant's truck — The plaintiff, age 46, suffered soft tissue injuries to her neck and back — At issue was the extent and duration of her injuries — The court found no objective evidence of a continuing injury — However, the plaintiff had a pre-existing predisposition to trauma caused by earlier accidents — The plaintiff was awarded general damages of $50,000 and lost income of $20,000, less 15 per cent and 50 per cent respectively due to delay in commencing rehabilitation.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Non-pecuniary loss — General damages — For personal injuries — Considerations — Pre-existing medical conditions — Duration of loss — Retroactive loss of income — Calculation — Mitigating factors — Action by plaintiff allowed — The plaintiff's vehicle was rear-ended by the defendant's truck — The plaintiff, age 46, suffered soft tissue injuries to her neck and back — At issue was the extent and duration of her injuries — The court found no objective evidence of a continuing injury — However, the plaintiff had a pre-existing predisposition to trauma caused by earlier accidents — The plaintiff was awarded general damages of $50,000 and lost income of $20,000, less 15 per cent and 50 per cent respectively due to delay in commencing rehabilitation.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8" w:name="Case Summary_26"/>
            <w:bookmarkEnd w:id="1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Tayler, against the defendant, Loney, for damages to compensate for injuries suffered in a motor vehicle accident. In June 2005, the plaintiff was rear-ended by a pickup truck driven by the defendant. The defendant admitted liability for the collision. The plaintiff, age 46, suffered soft tissue injuries to her neck and back. She contended that she continued to suffer significant disabling symptoms that interfered with her employment and daily activities, particularly parenting. She was active and in good health at the time of the accident. She worked part-time as a bodywork therapist. The plaintiff became pregnant immediately after the accident and did not undertake physiotherapy or rehabilitation. She undertook one year of active rehabilitation between 2008 and 2009. The defendant disputed the extent and the duration of the injuries suffered by the plaintiff. The defendant submitted that the plaintiff's injuries ought to have fully resolved by the end of 2006. The defendant submitted that the plaintiff was misleading the court, or alternatively, had developed unrelated psychological problems that resulted in a real experience of pain and disability, or alternatively, had failed to mitigate her damages. A complicating factor was that the plaintiff was diagnosed with chronic fatigue syndrome in 1988. She was also involved in five earlier motor vehicle accidents between 1991 and 1992, from which she was fully recovered by 1996. Medical experts disagreed as to the cause of the plaintiff's ongoing symptoms.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9" w:name="Holdings of Court_23"/>
            <w:bookmarkEnd w:id="17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expert evidence did not support the contention that the plaintiff was misleading the court with regard to her ongoing symptoms. Her current condition greatly interfered with activities that she highly valued, notably her profession and the care of her children. However, there was no objective medical evidence of an ongoing soft tissue injury. There was no atrophy or limitation of motion, and the plaintiff was observed to be capable of spontaneous movements inconsistent with continuing physical injury. The plaintiff had a pre-existing psychological and circumstantial predisposition to the effects of trauma. The plaintiff's post-accident life-related stresses did not constitute novus actus interveniens, and thus the defendant was responsible for her injuries. The plaintiff was awarded general damages of $50,000 and lost income of $20,000. Her delay in commencing active rehabilitation constituted a failure to mitigate her losses and warranted a reduction in general damages by 15 per cent and the lost income award by 50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0" w:name="Counsel_26"/>
      <w:bookmarkEnd w:id="1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Morris C. Soronow.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 M. Noble &amp; Karen Anderson.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6"/>
      <w:bookmarkEnd w:id="181"/>
      <w:r>
        <w:pict>
          <v:line id="_x0000_s1161" style="position:absolute;z-index:2517882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J.C. GRAUER J."/>
            <w:bookmarkEnd w:id="182"/>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17, 2005, the plaintiff, Selina Tayler, was stopped in traffic at a stop sign when she was hit hard from behind by a loaded pickup truck driven by the defendant. The impact pushed her into the car in front of her. The defendant admits 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also concedes that, as a result of this collision, Ms. Tayler suffered soft tissue injuries in the area of her neck and back. What the defendant does dispute is the extent and duration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Tayler maintains that, as a result of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has suffered and continues to suffer significant disabling symptoms that have interfered with her ability to earn an income and her day-to-day activities, particularly parenting. No past income loss is claimed, in part due to the absence of any income tax returns. Ms. Tayler has not filed tax returns for some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response to this claim, the defendant asserts three alternative positions. All are based on the proposition that, by any objective standard, the plaintiff's physical injuries had or ought to have resolved by no later than the end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and primary position is that Ms. Tayler does not in fact continue to experience pain and disability, and is lying to the court, as she has to the medical profession, when she says that she does. The plaintiff's credibility is thus put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second position is that if the plaintiff is not lying, but has developed psychological problems which have resulted in a real experience of pain and disability, her ongoing complaints are nevertheless not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are rather consciously or unconsciously motivated by a desire for care, sympathy, relaxation 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third position is that if the plaintiff's psychological problems that have led to an ongoing experience of pain and disability are in fact 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if the plaintiff cannot be expected to overcome these difficulties through her own inherent resources and willpower, then Ms. Tayler has failed to mitigate her damages by maintaining a regular active exercise program over the past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Complicating factors are that Ms. Tayler suffers from dyslexia (to which she attributes her difficulty with income tax returns), was diagnosed in 1989 as suffering from Epstein-Barr virus (chronic fatigue syndrome), is hepatitis C positive due to a transfusion received during the course of the caesarean delivery of her first child, and was involved in five motor vehicle collisions in 1991 and 1992, none of which was her fault, and some of which caused injury. There was no evidence that any of these factors apart from the five earlier motor vehicle collisions played a part of any significance in her post-collision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Tayler settled her claims arising from these earlier collisions in 1994 for $65,000, and testified that she was fully recovered from the injuries they caused by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PRE-COLLISION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Tayler is 46 years old and grew up in Vancouver. In high school, she struggled academically because of what was later diagnosed as dyslexia. She left school after completing grade 10 in order to take up a vocation, and became employed by Coastal Vans of Coquitlam doing upholstery. Coastal Vans later went bankrupt, and Ms. Tayler started an upholstery business with other ex-employees of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about the age of 24, Ms. Tayler married. She was pregnant at that time, and went back to school for training in fitness instruction and gymnastics. She later worked as a gymnastics instructor, and also as a lifeguard in aquatics. In addition, she gave swimming lessons and taught fitness and gymnastics.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1988, not long after the birth of her daughter, Ms. Tayler divorced her husband. In late 1989, she was diagnosed with chronic fatigue syndrome and had to take six months off. In 1990, she provided day care to earn income, and then returned to school in September to complete grade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brings us to the period of her five motor vehicle accidents, during which she was on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1993, Ms. Tayler began training in Hellerwork, a form of bodywork therapy which involves an holistic assessment of the body, mind and spirit, and includes deep tissue massage, counselling and repatterning. She did this as part of her healing process from her injuries, and as something that was consistent with her desire for a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completing her training in 1995, throughout which time Ms. Tayler lived on social assistance and help from her parents, she started a Hellerwork practice. Initially working out of her home, Ms. Tayler moved her practice to an office in the Kitsilano area of Vancouver in 1996, and then to Richmond after meeting a man named Dave, who became her live-in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1998, Ms. Tayler's parents bought a condominium in the Yaletown area of Vancouver, and Ms. Tayler moved her practice to that space. Her practice grew gradually after having received a setback when she moved to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2003, Ms. Tayler and her partner separated, but reconciled after six months. Ms. Tayler became pregnant in March of 2004, by which time her first child was 18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Tayler's second child, a son, was born in December of 2004. She testified that the new baby really brought her and Dave together, and their relationship was great by the time of the collision at issue in this action, in June of 2005. In February of 2005, Ms. Tayler started returning to her Hellerwork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 social life was bound up with her partner, and they engaged in many recreational activities together including camping, boating, water skiing, bike riding and working out at the local 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Just before the collision, Ms. Tayler was in good health, had recovered from her most recent caesarean section, was enjoying her 6 1/2 month-old baby, and was excited to be back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not entirely clear just how much Ms. Tayler was working prior to the accident. She told me that she was working six to 10 sessions a week, each session lasting an hour and a half, but at other times she mentioned up to 15 sessions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POST-COLLISION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being hit, Ms. Tayler's immediate concern was for the well-being of her infant son, who was in a car seat in the back of her vehicle. He was unhurt. Ms. Tayler became quickly aware of pain in her head, dizziness, sleepiness, and pain in her arms and lower back. An ambulance attended, and put her on a spine board with a neck brace. She then spent four to five hours at Vancouver General Hospital emergency. Cervical x-rays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Tayler testified that over the next few weeks, she experienced a good deal of pain in her head, pain in her lower back that radiated down her legs, and pain in the neck, left shoulder and wrist, and mid back. She was sad and depressed about this return to an injured state, and was concerned about her son. She had a hard time breast-feeding as it caused pain in her neck and back to look down at her child. She attempted to return to work, but could not perform the deep tissue massage that her work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Ms. Tayler, this condition essentially continued for some time. In September of 2005, ICBC agreed to fund 12 sessions of active rehabilitation, which Ms. Tayler started in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same time, Ms. Tayler was attempting to work more, and also became pregnant. Ms. Tayler testified that this was an unplanned pregnancy, although her family doctor's note for January 31, 2006, reads "PREGNANT!! - planned. - 12 wks. now." Ms. Tayler stated that while it was always her plan to have another child, it was most certainly not her plan to get pregnant at that particular time, and her physician must have misunderstood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on January 31, Ms. Tayler's family physician, Dr. Monika Yuzak, wrote that Ms. Tayler could not get to rehab as she had no time for it, working 15-20 hours a week. According to Dr. Yuzak's notes, Ms. Tayler's initial response to the rehab had been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this period of time, Ms. Tayler testified that she felt preoccupied with her pain. Her symptoms all continued, and now she was pregnant as well. She was attempting to ease her way back into her practice, but felt that her ability to perform her work had been compromised by her injuries. It had taken her 18 years to have her second baby, and now she was unable to be there for him the way she wanted. Her son, Isaac, was a big baby, and it was hard to carry him and lift him. Her relationship with her partner, Dave, was becoming problematic. He had to work harder to make up for her loss of income, and did not help out with any of the chores around the house, or the parenting, notwithstanding that Ms. Tayler badly needed his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her pregnancy, Ms. Tayler did not carry on with any physiotherapy or rehabilitation. As she approached the birth of her baby, she continued to have problems sleeping because of the pain in her head, and she found it very difficult to be focused in life. She was working 20 hours a week, but suffered headaches and numbness in her hands as a result. The pain in her lower back was less of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 third child, another daughter, was born in July of 2006. Within a month, her lower back pain returned. Her headache pain, shoulder pain and arm pain continued. Breast-feeding was a real challenge, and she was very tired. Because of her continuing headaches, she had another CT scan, but nothing was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January, 2007, at the suggestion of Dr. E.A. Condon, a specialist in musculoskeletal pain management and rehabilitation to whom Dr. Yuzak had referred her, Ms. Tayler commenced the course of passive rehabilitation at West Point Grey Physiotherapy. This continued for the rest of the year. There was a little improvement. By January of 2008, Ms. Tayler was still suffering the same problems with headaches, and in her neck and left shoulder. Her arms were feeling better. Her upper back was a little better with less pain, but activity would lead to tension, leading to more headaches. Her lower back was somewhat better, radiating down the right leg only. Her mood was one of discouragement at not getting better more quickly, and she was very much challenged physically by her children. She was fatigued. Her relationship with her partner was becoming increasingly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request of ICBC, Ms. Tayler was seen by Dr. J.A.S.K. Fenton, an orthopaedic surgeon, for a medical examination. Dr. Fenton recommended a return to active rehabilitation, and ICBC agreed to fund this twice weekly for an additional 12 months. Ms. Tayler was confused about the start date, but the records indicate that this active rehabilitation began in January of 2008. Ms. Tayler attended on and off, generally between one and four times a month, until ICBC discontinued the funding at the end of the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meantime, in June of 2008, Ms. Tayler and her partner separated. He had not been stepping up to the plate, and Ms. Tayler found life less stressful without him. By this time, she was feeling stronger as a result of the active rehabilitation. She said that her shoulder was better, her arm was stronger, and her lower back improved. Her headaches, however, increased to what she described as a migraine-like experience for which she twice attended VGH emergency. These were substantially worse headaches than she had experienced before. In the meantime, she was working as much as she could as she was responsible for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January of 2009, when her active rehabilitation funding ceased, she felt that she was about 60% better. She testified that she thought she had plateaued, but was managing better than she had without the therapy. Her headaches were now lower grade but would increase with activity. Her neck had improved more than her head, but was still occasionally a problem. Her left shoulder was better, but her left arm remained weaker. Her upper back pain and lower back pain were both improved, and she would suffer pain radiating down her leg only with considerable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Tayler did not carry on with active rehabilitation after ICBC's funding ceased, because she had no money and could not afford it. She felt her own tendency was to overdo things, so she needed direction in her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Once she stopped the program, Ms. Tayler's symptoms once again increased. Her headaches intensified. Her right hand was constantly numb and her left hand was weaker. Her arms and shoulders were okay, but she still was impaired in her work. Principally because of the increase in her headaches, she felt her recovery regressed from 60% to 50%. That is how Ms. Tayler remains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AND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her medical treatment, Ms. Tayler was seen initially by Dr. Yuzak, who had been her family physician since December of 2004. Dr. Yuzak referred Ms. Tayler to Dr. Condon as a specialist in musculoskeletal pain management and rehabilitation, and to Dr. Andre Anzarut, a specialist in neurology and electromyography. In addition, the defendant arranged for Ms. Tayler to be examined by two specialists: Dr. Fenton (as noted), and Dr. Philip A. Teal, a neurologist who is director of the Stroke Program at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Yuzak saw Ms. Tayler 30 times between June 23, 2005, and June 10, 2008, in connection with the her complaints arising from the collision, and prepared a report dated June 26, 2008. Dr. Yuzak saw Ms. Tayler on two further occasions in February of 2009 prior to preparing a follow-up report dated February 26,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Condon saw Ms. Tayler on 11 occasions beginning on February 16, 2006, and ending on July 3, 2008. He prepared a report dated February 25, 2009. Dr. Anzarut saw Ms. Tayler on December 21, 2006, and on January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Fenton saw Ms. Tayler on December 5, 2007. Dr. Teal saw her on December 19, 2008, and on January 16,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Teal was cross examined by video deposition, while Dr. Yuzak attended trial for cross-examination on her reports. The reports of the other medical experts, Dr. Condon, Dr. Anzarut and Dr. Fenton, were admitted without requiring their attendance for cross-examination. In addition, records were entered into evidence from Vancouver General Hospital emergency department, from Drs. Yuzak and Condon, and from the two therapy and rehabilitation clinics attended by Ms. Tayler.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the evidence of these experts, there would appear to be no dispute concerning the following conclusions:</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Ms. Tayler suffered soft tissue injuries involving her neck, mid and low back, and upper limbs, leading to pain in these areas and to headaches.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Tayler appears to have suffered bilateral carpal tunnel syndrome, but this is not related to the collision.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more severe, "migraine-type" headaches that Ms. Tayler began to suffer in approximately the middle of 2008 were also not related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disagreement, however, as to the cause of Ms. Tayler's ongoing symptoms. The following comments are in my mind of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her report of June 26, 2008, Dr. Yuzak noted the following: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complex case and three factors contribute to this. I feel the previous five MVA's do, in some way, play a part in her most recent MVA.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herself, a body worker (health practitioner) and thus has been often making decisions about her treatments using paradigms that I am not well versed in.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challenging home and work life needing most of her time, energy, and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treatment, Dr. Yuzak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Selina Tayler is a craniosacral massage therapist. Given this fact, I felt she was qualified to make decisions about treatment type and specific practitioners. I also felt that her healing would be expedited if she had practitioners that she knew and trusted.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chose a chiropractor who also practiced cranial sacral massage therapy and massage therapists.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physio and active rehab that I and Dr. Condon would suggest seemed to aggravate her symptoms [a reference to the first course of active therapy]. She would discontinue because of increasing pain and sometimes because of family commitments would get in the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used minimal pharmacotherapy.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Yuzak felt that her lack of progress could be explained in part because of her circumstances: "... two breast fed babies, sleepless nights, financial worries, and inability to work. Not an ideal healing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prognosis, Dr. Yuzak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people who continue to experience symptoms two years post-MVA will have developed a chronic pain condition. They tend to "manage" their pain, but never truly recover.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outlined, at the beginning, three factors that complicate this case. Because of these factors (her environment, her choice of therapy, and previous five MVAs), I think her prognosis is less than clear-cut.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Fenton feels optimistic because he did not find objective findings and because she was able to heal from previous MVAs.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less optimistic, because of the five previous MVAs [emphasis original]. And, I do not feel she will necessarily have a life of chronic pain because her environment and choice of therapy can be changed.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dissolution of her marriage has left her less stressed, with more time, and more support, as her ex-husband will assume shared responsibility for child care and finances.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now agreed to pursue active rehab and will have to go very slowly and carefully as sudden increments in intensity set her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her work is very physical, I think she will be forced to reassess and find a new profession that is easier on her 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a long road ahead of her and will have to slowly and methodically regain her health. My prognosis is guarded and the next six months should be telling. I will report then and perhaps be more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her next report, Dr. Yuzak observed that the active rehabilitation program improved Ms. Tayler's symptoms, but that once she stopped it, her symptoms returned to pre-rehabilitation levels. With respect to treatments, Dr. Yuzak noted that Ms. Tayler stretched daily at home, and had sufficient professional teaching and knowledge to do this properly. Dr. Yuzak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way out will be through dedicated, careful, supervised body work, and probably lifelong attention to body relaxation and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Finances are a barrier to the above. She is unable to be financially independent with the work she is now doing and finding it increasingly difficult. She will have to retrain. She is considering a career move to counselling, which can be less physically taxing.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moment, she is unable to afford bodywork, a gym pass, or personal training. Daycare is costly and also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examining Ms. Tayler, Dr. Fenton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patient demonstrates no abnormality in the musculoskeletal or peripheral nervous systems. The ranges of movement demonstrated were carried out very cautiously by the patient but there was no evidence of muscle spasm that would indicate any involuntary guarding of the range of movement.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appears to be guarding all the movements of her neck, mid-back, and low back as she moves through limited ranges of movement with caution but without any muscle spasm, and in spite of the fact that this injury is now two and a half years old there is no evidence of any muscle wasting or neurological deficit .... In my opinion [the passive physiotherapy treatment] is not serving the patient well in terms of improving her condition. She told me that after five previous motor vehicle accidents from which she recovered over a three-year period she was involved with an active rehabilitation program at the "Y" which in my view probably contributed [more] to her improvement than any of the other modalities of treatment. I think the same would apply here and until she starts getting into an active exercise program her symptoms will persist.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and will not deny her her complaints but in the absence of any objective findings there is no reason why she should not recover from this motor vehicle accident as she has recovered from those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Condon reported the following relevant diagnoses: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spinal pain due to ligamentous injury diffusely in the cervical, lumbar, sacroiliac, and sacrotuberous areas.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Muscular-tendinitis injury to posterior cervical and uppercut PCS muscle groups.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Sensory symptoms and upper limbs, cause unknown, possibly due to musculo-genic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response to Dr. Fenton's report, Dr. Condon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symptoms and findings on physical examination documented by Dr. Fenton [who found no objective abnormalities]. I also agree that she has potential for further recovery and possibly even return to pre-accident physical status. Unfortunately, Dr. Fenton does not indicate how he would achieve this change in her status. He correctly states that her symptoms will continue until she participates fully in an active exercise program. Unfortunately, this approach has not produced desired results when attempted during the past three years. She appears to be of the mindset that continued chiropractic soft tissue manipulation, massage therapy, and physiotherapy will eventually lead to resolution of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Condon then came to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opinion presented by Dr. Yuzak. Ms. Tayler is unlikely to improve and return to pre-injury health status unless successful intervention of some type is provided. I consider her best opportunity for further rehabilitation will be through a chronic pain clinic. ... If she is unable to cooperate with this physical rehabilitation, she will continue to experience chronic soft tissue pain and partial disability into the foreseeable future. With the passage of time her skeletal muscle system will become gradually weakened so that her ability to complete any physically demanding work will be progressively reduced. She will then be totally disabled with respect to her work as a massage 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Vocational rehabilitation should be considered if rehabilitation at the pain clinic is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Like Dr. Fenton, Dr. Teal found no spasm, muscle wasting or atrophy when he examined Ms. Tayler. He noted "give-way weakness" in all muscle groups of the left arm in what he described as a non-organic pattern. On his deposition, he explained that this is a pattern of weakness where there is an initial brief resistance, but then the arm or the limb will suddenly give way. It is non-organic in the sense that it is seen with hysteria or malingering, but it is not due to any underlying neurological or neuromuscular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Teal was of the view that Ms. Tayler sustained a Grade II cervical strain in the motor vehicle accident, which is classified as "a myofascial or soft tissue injury of the neck associated with complaints of neck pain and accompanied by musculoskeletal signs which may include point tenderness and/or restricted or abnormal range of cervical motion". He noted that her spontaneous neck movements were completely normal and on formal testing there was no evidence of nerve root irritation on compression tests. Neurologic examination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Teal felt that Ms. Tayler had also suffered mid and low back pain as a result of myofascial soft tissue injury and a musculoligamentous strain, although by the time of his evaluation she had full range of lumbar movement, and her strength, reflexes and sensation were all normal. Her headaches following the motor vehicle accident were attributable, in his opinion, to a cervicogenic mechanism resulting from soft tissue injury to the upper cervical spine. He was quite certain that she did not have evidence for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was Dr. Teal's view, however, the majority of her symptoms would be expected to have resolved within three to six months. In his opinion, there was no objective evidence for persisting soft tissue injuries at the time of his evaluation. He noted that Ms. Tayler's spontaneous movements were full, natural and unrestricted. He observed that on one of her visits, while sitting in a chair, she bent very quickly and naturally with a flexion and rotational movement to pick up a pen that had fallen on the floor, without any apparent restriction or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Teal felt it probable that psychological factors and non-organic mechanisms played a significant role in Ms. Tayler's ongoing pain symptoms. He noted a past history of chronic fatigue, multiple previous motor vehicle accidents, and a history of stress reaction to previous motor vehicle accidents. In his report,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Tayler may have been predisposed to both the physical and psychological effects of trauma. She has experienced multiple motor vehicle accidents in the past. Several of these accidents have been the subject of settlement issues. Additionally, Ms. Tayler works as a massage therapist and her work experience may have heightened her awareness or may have psychologically predisposed her to an abnormal pain response to soft tissue injuries. I would defer to a psychiatric opinion for further consideration of this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was echoed by Dr. Teal in his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there's a ... large psychological component to her symptoms which makes it a little bit difficult to unravel as well. So I cannot tell you precisely when cervicogenic headaches largely resolved and other headaches are merged or developed. Certainly at the time of my examination there was no evidence for any persisting cervical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agree that the type of psychological overlay that she may be showing could have come from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 components of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are those?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she obviously was very distraught following the accident. I think she has experienced multiple accidents in the past and was probably psychologically predisposed to the effects of trauma. And I think perhaps even her career paths, and so on, would lead her to think about traumatic injuries, as you know, she's a massage therapist. She's dealing with patients with trauma, and so on, so she was probably predisposed to things.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have any doubt that her pain to her is real to 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her reports are real. And as I said earlier, I found some evidence for non-organic or functional components to her examination, which always raises the issue as to how much is real and how much of it is projected or presented for secondary gain or for underlying psychological reasons. But she reported pain. She has consistently reported pain, and that's her subjective complaint.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can get - psychological is one issue, but you can get new pain from - in somebody's head - multiple car accidents in the past, if you get under stress, you get anxiety, if you overdo it, you over exert yourself. You may get new symptoms because you are predisposed to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earlier indicated that it's quite possible that she experiences stress because of her background of the five car accidents, because of the nature of her work, and because perhaps of her personality type, perhaps more than other people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agree that that may be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she does experience stress more than other people do, that could be an explanation for the persistence of the reported symptoms; do you agree?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people who are susceptible to or vulnerable to psychological stresses are vulnerable to all sorts of medical symptoms and complaints.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Teal is, of course, a neurologist, not a psychiatrist or psychologist, and no psychiatric or psychological expert opinion evidence was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Is the plaintiff lying about her ongoing pain and disability</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Relying principally on the opinions of Dr. Fenton and Dr. Teal, the defendant submits that the plaintiff is simply misleading the court with respect to any ongoing problems after December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note that neither expert (indeed </w:t>
      </w:r>
      <w:r>
        <w:rPr>
          <w:rFonts w:ascii="arial" w:eastAsia="arial" w:hAnsi="arial" w:cs="arial"/>
          <w:i/>
          <w:color w:val="000000"/>
          <w:sz w:val="20"/>
          <w:lang w:val="en-US" w:eastAsia="en-US" w:bidi="ar-SA"/>
        </w:rPr>
        <w:t>no</w:t>
      </w:r>
      <w:r>
        <w:rPr>
          <w:rFonts w:ascii="arial" w:eastAsia="arial" w:hAnsi="arial" w:cs="arial"/>
          <w:color w:val="000000"/>
          <w:sz w:val="20"/>
          <w:lang w:val="en-US" w:eastAsia="en-US" w:bidi="ar-SA"/>
        </w:rPr>
        <w:t xml:space="preserve"> expert) in fact opines that the plaintiff was lying. Dr. Fenton states quite clearly that "I cannot and will not deny her her complaints ...". Dr. Teal comes a little closer, but suggests that the plaintiff was predisposed to both the physical and psychological effects of trauma as an explanation for her ongoing disability in the absence of any objective basis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that the expert evidence does not support the defendant's contention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Turning to the lay evidence, I observed the plaintiff carefully in the witness box, and I listened to the evidence of the members of her family. I have also reviewed in detail all of the medical evidence. I do not accept that the plaintiff is being untruthful, in the sense of attempting to mislead anyone. I find that she is in fact experiencing what she claims to be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observe that the plaintiff was able to recover from the injuries suffered in her previous motor vehicle accidents in 1991 and 1992. The evidence provided me with no reason to suppose that she would not have done so again had she been able. I note that her current condition as she reports it, and as observed by those close to her, greatly interferes with activities that are highly valued by the plaintiff, including her profession, and most particularly, the care of her children. I do not believe that her claim, which as presented is not terribly large, has motivated her to lie, and to abandon unnecessarily activities which are of fundamental importance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therefore reject this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What is the cause of the plaintiff's ongoing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I have found that the plaintiff is in fact experiencing what she says she is experiencing, I also accept the weight of the medical opinion that there is no objective evidence of ongoing soft tissue injury. In these circumstances, it is helpful to turn for guidance to the authorities to which counsel referred me, always remembering that each case turns on its own unique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(7 October 1980), Vancouver Reg. No. B781505 (S.C.), McEachern C.J.S.C. (as he then was) remarked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the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Counsel for the defendant relied in particular on the judgment of Taylor J.A. for the Court of Appeal in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(8 September 1993), Victoria Reg. No. V01071 (C.A.), where the court was concerned with: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those post-traumatic phenomena - sometimes identified with and sometimes distinguished from conditions known as "idiopathic pain disorder", "chronic (or chronic benign) pain syndrome", "functional overlay" and "somatoform pain disorder" - which involve continued suffering in accident victims after their physical injuries have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paras. 8-12, Taylor J.A. went on to describe the basic principles applicable to these "difficult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meet the onus which lies on the plaintiff in the case of this sort, and thereby avoid the 'ultimate risk of non-persuasion', the plaintiff must, in my view, establish that his or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in my view, be said to have a subjective, or internal, cause. To show that the cause lies in an unlawful act of the defendant, rather than the plaintiff's own choice, the plaintiff must negative that alternative. The resolution of this issue will not involve considerations of mitigation, or lack of mitigation. To hold otherwise, that is to say to place on the defendant the onus of proving that a plaintiff who suffers from a psychological problem had it within his or her own ability to overcome it, would be to require that the defendant, rather than the plaintiff, bear the onus of proof on the primary issue of causation, and would impose on defendants a heavy and unjustifiable burden. If the court could not say whether the plaintiff really desired to be free of the psychological problem, the plaintiff would not, in my view, have established his or her case on the critical issue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thus been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court finds that psychological injury has been suffered as a result of unlawful conduct of the defendant which the plaintiff has not the ability to overcome by his or her own inherent resources, the court must then, if mitigation issues are raised, decide whether the defendant has established that by following advice which the plaintiff received or ought to have obtained, the plaintiff could have overcome the problem, or could in future overcome it. ... Where appropriate remediable measures would resolve the problem, damages can, of course, be awarded only in respect of the period up to the date when, in the estimation of the fact-finder, the problem ought to have been resolved, or ought to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principles to be applied are recognized, the rest is a matter for the fact-finder to determine on the basis of the evidence in the case, and it is for this reason that I find little guidance in many of the decisions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Plaintiff's counsel relied heavily on the judgment of Spencer J. In </w:t>
      </w:r>
      <w:r>
        <w:rPr>
          <w:rFonts w:ascii="arial" w:eastAsia="arial" w:hAnsi="arial" w:cs="arial"/>
          <w:b/>
          <w:i/>
          <w:color w:val="000000"/>
          <w:sz w:val="20"/>
          <w:lang w:val="en-US" w:eastAsia="en-US" w:bidi="ar-SA"/>
        </w:rPr>
        <w:t>Netter v. Baas</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[1995] B.C.J. No. 282</w:t>
        </w:r>
      </w:hyperlink>
      <w:r>
        <w:rPr>
          <w:rFonts w:ascii="arial" w:eastAsia="arial" w:hAnsi="arial" w:cs="arial"/>
          <w:color w:val="000000"/>
          <w:sz w:val="20"/>
          <w:lang w:val="en-US" w:eastAsia="en-US" w:bidi="ar-SA"/>
        </w:rPr>
        <w:t xml:space="preserve"> (14 February 1995), Vancouver Reg. No. B930557 (S.C.), where the learned judge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ensuing 33 months, no doctors save one, has been able to find a satisfactory objective cause for [the plaintiff's] continuing pain related to this accident. All the doctors who filed reports agree that he suffered soft tissue injury and resulting pain, but none explains why the pain should have been so severe and lasted so long. This is the classic case of the plaintiff without objective symptoms who claims an almost total disability from his former physical occupations.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cases invite skepticism on the part of the defendant who is asked to pay for such an extreme result. But this is a plaintiff who claims a formerly very physical lifestyle in the outdoors. Although he worked in a sawmill in town for the year preceding the accident, much of his life to age 37 had been spent outdoors as a driller-blaster, a prospector and part-time farmer. His hobbies involve the outdoors too, camping, canoeing, hiking and fishing. Some of the doctors who examined him remarked upon his strength and build. Would such a person willingly abandon the lifestyle he had previously embraced for the sake of the chance of an exaggerated accident claim? There are cases where plaintiffs have done that but generally there is evidence from which that can be determined. No evidence was called to challenge the accuracy of this evidence about his previous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Turning to the present case, there is, as I have noted, no doubt that the plaintiff suffered soft tissue injuries to her neck, shoulders, upper and lower back, causing pain, headaches and disability. I have also found that although she genuinely continues to experience pain and disability, there is no objective evidence of continuing injury. There is no muscle-wasting, atrophy or limitation of motion, and she has been observed to be capable of spontaneous movements inconsistent with continuing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What, then, is the explanation for the delay in the plaintiff's recovery? On the evidence before me, I conclude that the answer lies in a combination of factors, identified by both Dr. Yuzak and Dr. Teal, although in different ways. Dr. Teal described it as a psychological predisposition to the effects of trauma, noting her five previous motor vehicle accidents, and her profession. Dr. Yuzak referred to the three complicating factors of her five previous accidents, her status as a health practitioner, and an environment that was not conducive to healing. I find that all of these have played a part, and explain why the plaintiff has not recovered as one might otherwise have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do not consider that this psychological and circumstantial predisposition has a subjective, or internal, cause in the sense of being the plaintiff's own choice, as discussed in the </w:t>
      </w:r>
      <w:r>
        <w:rPr>
          <w:rFonts w:ascii="arial" w:eastAsia="arial" w:hAnsi="arial" w:cs="arial"/>
          <w:b/>
          <w:i/>
          <w:color w:val="000000"/>
          <w:sz w:val="20"/>
          <w:lang w:val="en-US" w:eastAsia="en-US" w:bidi="ar-SA"/>
        </w:rPr>
        <w:t>Maslen</w:t>
      </w:r>
      <w:r>
        <w:rPr>
          <w:rFonts w:ascii="arial" w:eastAsia="arial" w:hAnsi="arial" w:cs="arial"/>
          <w:color w:val="000000"/>
          <w:sz w:val="20"/>
          <w:lang w:val="en-US" w:eastAsia="en-US" w:bidi="ar-SA"/>
        </w:rPr>
        <w:t xml:space="preserve"> case. Rather, it is the effect of the defendant's unlawful conduct upon the plaintiff's pre-existing state that has resulted in the circumstances in which the plaintiff now finds herself, subject to the issue of mitigation. I do not accept that the stresses in the plaintiff's life since the accident constitute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as submitted by the defendant. Those stresses are of the sort that many people experience, and but for her injuries, would not in my view have caused the plaintiff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Accordingly, I find that the plaintiff has established that her ongoing state of experiencing pain and disability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Has the plaintiff failed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medical experts are agreed, and I find, that the best therapy for Ms. Tayler's condition is active physical therapy. It was through active rehabilitation of this sort that Ms. Tayler recovered from the injuries she suffered in the earlier motor vehicle accidents. The active therapy that Ms. Tayler commenced in January of 2008 clearly helped her, and it is noteworthy that her condition deteriorated again after she stopped once ICBC cut off the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argues that Ms. Tayler's first course of active physical therapy, which she commenced in November of 2005, would have led to essentially full recovery much earlier had Ms. Tayler diligently pursued it. The defendant notes that she missed a number of appointments for that therapy, and then abandoned it all together in early 2006. The defendant takes the position that this constitutes a failure to mitigate on Ms. Tayler's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onus of establishing a plaintiff's failure to act reasonably in pursuing her own recovery is on the defendant. In my view, the evidence does not go as far as the defendant would have it. I accept Ms. Tayler's evidence that her last pregnancy did not occur intentionally, although it was part of her overall plan to have another child. In my view, it was reasonable, given the demands upon her time and her body, for Ms. Tayler to give up the active therapy after she became pregnant. I further consider that it was not unreasonable of her to miss some sessions given that she had a 1 year-old child and was doing her best to return to her work. I note also that it was subsequently the recommendation of her specialist, Dr. Condon, that she proceed with a course of passive rehabilitation in 2007. In these circumstances, I do not find any failure to mitigate over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do find, however, that the plaintiff failed to act reasonably when she abandoned active exercise/therapy after her second course of active rehabilitation ran out in January of this year. Both the plaintiff and Dr. Yuzak maintained that supervision in the therapy was important, and both referred to the plaintiff's financial inability to afford personal training or even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note, however, that the plaintiff did not even attempt to maintain her own course of active therapy, notwithstanding her considerable training and background in that area. Ms. Tayler had had training and experience as an instructor in fitness, in gymnastics and in aquatics. Ms. Tayler was trained and experienced in Hellerwork. Finally, Ms. Tayler had the experience of participating in two active rehabilitation programs over a period of well over a year. In these circumstances, I conclude that her refusal to continue with an active exercise program in the absence of supervision cannot be justified, and that she had ample training, experience and resources to be able to carry on with an unsupervised program of her own that would have been beneficial, notwithstanding the lack of financial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also conclude, on the evidence, that had the plaintiff maintained such a program, it is probable that by this autumn, she would have improved sufficiently, given the absence of any objective signs of injury, to be able to resume her occupation full-time. I find it probable, however, that the plaintiff would nevertheless have continued to experience some degree of discomfort, albeit not disabling, for an indefinite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authorities are clear that, in cases where a failure to mitigate has been established, I must first assess the plaintiff's damages as though there had been no such failure, and then apply to that assessment the consequences that flow from the failure to mitigate: see, for instance, </w:t>
      </w:r>
      <w:r>
        <w:rPr>
          <w:rFonts w:ascii="arial" w:eastAsia="arial" w:hAnsi="arial" w:cs="arial"/>
          <w:b/>
          <w:i/>
          <w:color w:val="000000"/>
          <w:sz w:val="20"/>
          <w:lang w:val="en-US" w:eastAsia="en-US" w:bidi="ar-SA"/>
        </w:rPr>
        <w:t>Reed v. Steele</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(1997), 36 B.C.L.R. (3d) 90</w:t>
        </w:r>
      </w:hyperlink>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148 D.L.R. (4th) 695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found that the plaintiff has ongoing symptoms, which are genuine, of pain and disability. There is no doubt in my mind that these symptoms have limited her ability to work to her full capacity, and it will continue to do so until they resolve. There is a very little in the way of evidence that would allow me to assess with any degree of accuracy the monetary value of her diminution in income earning capacity, but that capacity, as an asset, has clearly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Taking into account all of the circumstances reviewed above, together with the authorities cited by counsel, I would assess Ms. Tayler's non-pecuniary damages at $50,000, and her loss of income earning capacity at $20,000, being somewhat less than what she could reasonably earn in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Because of Ms. Tayler's failure to mitigate her losses, I would reduce her non-pecuniary damages by 15% to $42,500, and her damages for loss of income earning capacity by 50% to $10,000, for a total award of $52,500.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Plaintiff's counsel referred me to the cost of various programs that Ms. Tayler might wish to take to train her for a less physically demanding type of employment. I do not find that the evidence supports a claim for such costs flowing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view, Ms. Tayler would likely have undergone further training in any event, and with appropriate exercise, should be in a position to continue her current employment if she chooses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parties are at liberty to speak to costs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Tracy (Representative ad litem of) v. Instaloans Financial Solution Centres (B.C.) Ltd., [2008] B.C.J. No. 971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L051076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971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B.C.L.R. (4th)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2 W.W.R.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293 D.L.R. (4th) 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Gracia Tracy (Represented ad litem by Michelle Grant) and Lexine Phillips, Plaintiffs, and Instaloans Financial Solution Centres (B.C.) Ltd., Instaloans Financial Solution Centres (Vernon) Ltd., 864556 Alberta Ltd. (formerly known as Instaloans Financial Solution Centres Ltd.), 856402 Alberta Ltd. (formerly known as Instaloans Financial Solution Centres (Mgmt.) Ltd.), 803759 Alberta Ltd. (formerly known as Instaloans Financial Solution Centres (Kelowna) Ltd.), 853604 Alberta Ltd. (formerly known as Instaloans Financial Solution Centres (Payroll) Ltd.), 1070056 Alberta Ltd. (formerly known as Instaloans (B.C.) Ltd.), Image (Topco) Enterprises Inc., Image (Topco) Enterprises Limited Partnership, Tim Latimer, and Marc Arcand,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7"/>
      <w:bookmarkEnd w:id="183"/>
      <w:r>
        <w:rPr>
          <w:rFonts w:ascii="arial" w:eastAsia="arial" w:hAnsi="arial" w:cs="arial"/>
          <w:b/>
          <w:color w:val="000000"/>
          <w:sz w:val="20"/>
          <w:lang w:val="en-US" w:eastAsia="en-US" w:bidi="ar-SA"/>
        </w:rPr>
        <w:t>Banking and finance law — Banking — Interest and borrowing charges — Criminal rate of interest — Unconscionable rate of interest — Application for determination of common issues allowed — The representative plaintiffs contended that the defendant companies, and certain officers and directors, conspired to implement and profit from a payday loans scheme that charged a criminal rate of interest — The court found that the payment of associated finance charges amounted to an effective interest rate that breached the criminal interest rate provisions — The defendants were unjustly enriched by the scheme, which was found to be an unconscionable trade practice — All defendants, including officers and directors, were jointly and severally liable — Criminal Code of Canada, ss. 347, 347(1), 347.1.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Unfair trade practices — Civil remedies — Torts — Conspiracy — Application for determination of common issues allowed — The representative plaintiffs contended that the defendant companies, and certain officers and directors, conspired to implement and profit from a payday loans scheme that charged a criminal rate of interest — The court found that the payment of associated finance charges amounted to an effective interest rate that breached the criminal interest rate provisions — The defendants were unjustly enriched by the scheme, which was found to be an unconscionable trade practice — All defendants, including officers and directors, were jointly and severally liable — Criminal Code of Canada, ss. 347, 347(1), 347.1.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7"/>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Tracy and Phillips, for determination of common issues in a class proceeding against the defendants, Instaloans Financial Centres and others. Between 1998 and 2005, Instaloans provided short term payday loans in amounts of up to $500, and for terms of up to 30 days. The loans were advanced pursuant to standard form agreements that required the borrower to pay a finance charge of 25 per cent of the principal amount. In 2003, the agreement was amended to provide for non-interest finance charges of $23 per $100 and interest charges of $2 per $100. The agreement provided that the interest charge was 1 per cent per week, calculated on the basis of a two-week term regardless of the actual term of the loan. The result was that interest plus non-interest finance charges always totaled 25 per cent of the amount borrowed. Until 2004, loans were renewable through payment of fees and interest. Any loans that were not repaid within 90 days were written off as bad debts. An actuarial opinion produced by the plaintiffs stated that any loan repaid within 173 days would result in an effective annual interest rate of more than 60 per cent. The plaintiffs submitted that repayment of the loan and finance charges within the normal term resulted in effective annual interest rates that far exceeded the criminal limits. They sought determination of common issues related to whether the agreement and loans resulted in criminal interest rates, and whether collection of those loans was unconscionable, and unjustly enriched Instaloans, related companies, and certain individual officers and directors. Instaloans submitted that the criminal interest rate provisions were not intended to apply to the payday loan industry.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24"/>
            <w:bookmarkEnd w:id="18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word "interest" was a comprehensive term that included finance charges and other fees for the purpose of the criminal interest rate provisions. Instaloans' standard form agreements and collection of the charges thereunder constituted arrangements to receive interest at a criminal rate and resulted in payments by class members to the defendants of interest at a criminal rate. The defendants, including certain officers and directors, were unjustly enriched by the collection of those finance charges from class members. The terms of the loans constituted unconscionable acts or practices under the Trade Practices Act and the Business Practices and Consumer Protection Act on the part of the corporate defendants. The defendants, including certain officers and directors, had conspired to implement the loan scheme and were thus jointly and severally liable for damages to class members.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17"/>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4"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Act, </w:t>
      </w:r>
      <w:hyperlink r:id="rId689" w:history="1">
        <w:r>
          <w:rPr>
            <w:rFonts w:ascii="arial" w:eastAsia="arial" w:hAnsi="arial" w:cs="arial"/>
            <w:i/>
            <w:color w:val="0077CC"/>
            <w:sz w:val="20"/>
            <w:u w:val="single"/>
            <w:shd w:val="clear" w:color="auto" w:fill="FFFFFF"/>
            <w:lang w:val="en-US" w:eastAsia="en-US" w:bidi="ar-SA"/>
          </w:rPr>
          <w:t>SBC 2004, CHAPTER 2, s. 3</w:t>
        </w:r>
      </w:hyperlink>
      <w:r>
        <w:rPr>
          <w:rFonts w:ascii="arial" w:eastAsia="arial" w:hAnsi="arial" w:cs="arial"/>
          <w:color w:val="000000"/>
          <w:sz w:val="20"/>
          <w:lang w:val="en-US" w:eastAsia="en-US" w:bidi="ar-SA"/>
        </w:rPr>
        <w:t>(a), s. 3(b), s. 3(c), s. 3(d), s. 8, s. 105, s. 164(5), s. 171, s. 189(8)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of Canada, </w:t>
      </w:r>
      <w:hyperlink r:id="rId690" w:history="1">
        <w:r>
          <w:rPr>
            <w:rFonts w:ascii="arial" w:eastAsia="arial" w:hAnsi="arial" w:cs="arial"/>
            <w:i/>
            <w:color w:val="0077CC"/>
            <w:sz w:val="20"/>
            <w:u w:val="single"/>
            <w:shd w:val="clear" w:color="auto" w:fill="FFFFFF"/>
            <w:lang w:val="en-US" w:eastAsia="en-US" w:bidi="ar-SA"/>
          </w:rPr>
          <w:t>R.S.C. 1985, c. C-46, s. 347</w:t>
        </w:r>
      </w:hyperlink>
      <w:r>
        <w:rPr>
          <w:rFonts w:ascii="arial" w:eastAsia="arial" w:hAnsi="arial" w:cs="arial"/>
          <w:color w:val="000000"/>
          <w:sz w:val="20"/>
          <w:lang w:val="en-US" w:eastAsia="en-US" w:bidi="ar-SA"/>
        </w:rPr>
        <w:t>, s. 347, s. 347, s. 347(1), s. 347(1)(a), s. 347(1)(b), s. 347.1, s. 347.1(1), s. 347.1(2), s. 347.1(3)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91" w:history="1">
        <w:r>
          <w:rPr>
            <w:rFonts w:ascii="arial" w:eastAsia="arial" w:hAnsi="arial" w:cs="arial"/>
            <w:i/>
            <w:color w:val="0077CC"/>
            <w:sz w:val="20"/>
            <w:u w:val="single"/>
            <w:shd w:val="clear" w:color="auto" w:fill="FFFFFF"/>
            <w:lang w:val="en-US" w:eastAsia="en-US" w:bidi="ar-SA"/>
          </w:rPr>
          <w:t>RSBC 1996, CHAPTER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 Practice Act, RSBC 1996, CHAPTER 457, s. 4, s. 22(1)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7"/>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P.R. Bennett and M.W. Mounteer.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 McLennan and S. Chambers.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7"/>
      <w:bookmarkEnd w:id="188"/>
      <w:r>
        <w:pict>
          <v:line id="_x0000_s1166"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B. BROWN J."/>
            <w:bookmarkEnd w:id="189"/>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class proceeding, which was certified on June 30, 2006. The plaintiffs apply pursuant to Rule 18A to have the Court determine the following common issues:</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the finance charges charged by the Instaloans defendants constitute interest as defined by and for the purpose of s.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either in whole or in part?</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(a) is yes, then do the standard form agreements pursuant to which those finance charges have been collected from class members constitute agreements or arrangements to receive interest at a criminal rate, contrary to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(a) is yes, then has the collection by the Instaloans defendants of those finance charges in accordance with the terms of the standard form agreement on which the payday loans have been advanced by Instaloans to class members, together with any charge expressly stated by those agreements to be interest, resulted in the payment by class members to and the receipt by the Instaloans defendants of interest at a criminal rate, contrary to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 is yes, have the Instaloans defendants been unjustly enriched by the collection of those finance charges from the class members?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Instaloans defendants have received a payment of interest at a criminal rate from class members in respect of the class loans, then:</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class loans advanced by the Instaloans defendants to the class members at the direction and for the benefit of Latimer and Arcand?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finance charges received by the Instaloans defendants paid in whole or in part to Latimer and Arcand? And</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Latimer and Arcand direct the transfer, use, or otherwise have the benefit of the finance charges collected by the Instaloans defendants from the class members?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one of (e)(i) to (iii) is yes, then have Latimer and Arcand been unjustly enriched by the payment by class members of interest at a criminal rate in respect of their class loans?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(d) or (f) is yes: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those defendants hold the benefit they have received as a result of this unjust enrichment in trust for those class members who provided that benefit to those defendants?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those defendants liable to account to those class members for the benefit received from them and all profits earned therefrom?</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(b) or (c) is yes, does the provision by the Instaloans defendants of the class loans to class members on terms that offend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or the receipt by the Instaloans defendants of interest at a criminal rate in respect of those class loans, constitute an unconscionable act or practice within the meaning of s. 4 of the </w:t>
      </w:r>
      <w:r>
        <w:rPr>
          <w:rFonts w:ascii="arial" w:eastAsia="arial" w:hAnsi="arial" w:cs="arial"/>
          <w:b/>
          <w:i/>
          <w:color w:val="000000"/>
          <w:sz w:val="20"/>
          <w:lang w:val="en-US" w:eastAsia="en-US" w:bidi="ar-SA"/>
        </w:rPr>
        <w:t>Trade Practice Act</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and s. 8 of the </w:t>
      </w:r>
      <w:r>
        <w:rPr>
          <w:rFonts w:ascii="arial" w:eastAsia="arial" w:hAnsi="arial" w:cs="arial"/>
          <w:b/>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irrespective of whether the factors set out in ss. 3(a) through (d) of those sections are present in any individual case?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any one of (e)(i) to (iii) is yes, then does such conduct of Latimer and Arcand constitute unconscionable acts or practices within the meaning of s. 4 of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and s. 8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irrespective of whether the factors set out in ss. 3(a) through (d) of those sections are present in any individual case?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(h) or (i) is yes, are those defendants liable for damages to those class members who have suffered any loss or damage because of the unconscionable act or practice, pursuant to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s. 22(1) and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s. 105 and 171?</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(b) or (c) is yes, then did the Instaloans defendants, Arcand and Latimer (or any combination thereof) conspire to implement a scheme to provide those loans to the class members in order to earn profits on the class loans at an unlawful rate of interest?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or all of the defendants conspired to provide class loans to the class members at an unlawful rate of interest, then are those defendants jointly and severally liable for damages to those class members who have suffered loss or damage as a result of that illegal conspiracy?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(b) or (c) is yes, then are Latimer and Arcand jointly and severally liable for the acts of the Instaloans defendants, or any of them, in advancing class loans on terms that offend s. 347(1)(a)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or receiving interest in respect of the class loans at a criminal rate contrary to s. 347(1)(b)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Between December 1998 and April 21, 2005 (the "Class Period") Instaloans provided short term loans for small amounts at various locations throughout British Columbia. The loans were for terms of up to 30 days and amounts of up to $500. The term of the payday loan was set by Instaloans in relation to the borrower's next scheduled pay day. During the Class Period, Instaloans advanced payday loans pursuant to standard form loan agreements on terms that required the borrower to pay charges calculated at 25% of the principal amount of the payday loan (the "Finance Charge"). Before February 2003, Instaloans' standard form loan agreement provided that the total of all charges would be $25 per $100 loan. In approximately 2003, the standard form loan agreement was amended to provide for non-interest finance charges of $23 per $100 and interest charges of $2 per $100. The standard form loan agreement provided that interest charges would be 1% per week, but for the purpose of calculating interest charges, the loan was always treated as a two-week loan, regardless of its actual term. As a result, the total of interest and non-interest finance charges was always calculated to equal 25% of the amount borrowed. Before November 1, 2004, the borrower could attend at an Instaloans location before the due date and renew the loan by paying the fees and interest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During the Class Period, Instaloans would write-off payday loans that were not repaid by the borrower within 90 days as bad debts. As a result, almost all of the Finance Charges would have been collected within 120 days of the loan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have produced an actuarial opinion from Mr. Ian Karp F.S.A., F.C.I.A., in which he opines that where a fee is charged in an amount equal to 25% of the principal amount advanced, any loan that is repaid within 173 days of the loan advance or renewed five or more times at intervals of 30 days or less will result in an effective annual rate of interest that exceeds 60%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practice, Instaloans divided its business into two groups: one group operating the storefront operations and the other group providing the staff and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storefront lenders included Instaloans Financial Solution Centres (Kelowna) Ltd., Instaloans Financial Solution Centres (Vernon) Ltd., Instaloans Financial Solution Centres (B.C.) Ltd., and Instaloans (B.C.) Ltd. (the "Storefront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approximately October 2003, Instaloans (B.C.) Ltd. took over all of the Instaloans locations previously operated by Instaloans Financial Solution Centres (Kelowna) Ltd., Instaloans Financial Solution Centres (Vernon) Ltd., and Instaloans Financial Solution Centres (B.C.) Ltd. It continued to operate all of the Instaloans locations in British Columbia until the Instaloans business was sold to Rentcash in April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Storefront Lenders collected approximately $61 million in revenue during the Class Period. Of that, Finance Charges accounted for the vast majority, something in excess of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head office companies, which provided staff and management for the Instaloans business, included Instaloans Financial Solution Centres Ltd., Instaloans Financial Solution Centres (Mgmt.) Ltd., Image (Topco) Enterprises Inc. as general partner of Image (Topco) Enterprises Limited Partnership, and Instaloans Financial Solution Centres (Payroll) Ltd. (the "Head Office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Storefront Lenders paid fees to the different Head Office Companies over time; between December 1998 and February 2000, the Storefront Lenders transferred "head office fees" to Instaloans Financial Solution Centres Ltd. for management services. In February 2000, Instaloans Financial Solution Centres (Mgmt.) Ltd. was incorporated and assumed the management responsibilities of the Instaloans business. The employees of the Instaloans business became employees of Instaloans Financial Solution Centres Ltd. and the Storefront Lenders no longer employed anyone directly. The Storefront Lenders transferred money to Instaloans Financial Solution Centres (Mgmt.) Ltd. as "head office fees" and "payroll service fees" to Instaloans Financial Solution Centres Ltd. In approximately 2002, Instaloans Financial Solution Centres (Payroll) Ltd. assumed employment of the employees and the financial statements of the defendants indicate that the Storefront Lenders stopped paying "payroll service fees" and "head office fees" and began paying a single fee "contract services" to Instaloans Financial Solution Centres Ltd. That company in turn paid "payroll fees" to Instaloans Financial Solution Centres (Payroll) Ltd. and "management fees" to Instaloans Financial Solution Centres (Mgmt.) Ltd. In July 2004, Image (Topco) Enterprises Limited Partnership was appointed the exclusive manager of the Instaloans business pursuant to a written administration services contract. After July 2004, some of the contract services fees were paid to Image (Topco) Enterprises Limited Partnership, Instaloans Financial Solution Centres (Mgmt.) Ltd., and Instaloans Financial Solution Centres (Payroll) Ltd. In total, the Storefront Lenders transferred approximately $23.6 million to the Head Office Companies during the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fees paid pursuant to the administration services agreements from the Storefront Lenders to the Head Office Companies were calculated as either 100% of the net operating income of the Storefront Lenders or a reasonable amount to be agreed by the parties. In the result, the fees were calculated to transfer all profits earned by the Storefront Lenders to the Head Office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approximately April 21, 2005, the Instaloans business and the assets of the Instaloans defendants were sold to Rentcash Inc. The proceeds of sale (approximately $35.1 million) were transferred to a company called Image (OS) Enterprises Inc., the limited partner of Image Topco Enterprises Limited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of January 31, 2006, the Storefront Lenders ceased operations and no longer have any assets or liabilities. The Head Office Companies have assets of less than $800,000 and liabilities of $3.4 million (primarily owed to related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individual defendants, Tim Latimer ("Latimer") and Marc Arcand ("Arcand"), were officers and directors of each of the corporate defendants and controlled each of the corporate defendants and the Instaloans business during the Class Period. They incorporated the Storefront Lenders to carry on the Instaloans business in British Columbia. Before they incorporated the Storefront Lenders, Latimer and Arcand knew that they could not legally charge or collect interest in excess of the 60% maximum annual rate described by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They also knew that they could not profitably provide payday loans using the Instaloans business model and charge only interest at a rate of 60%. They say that they have personally received some $5.6 million from the B.C. operations of the Instaloans business. They say that the B.C. operations account for 17.52% of Instaloans' $32 million (before tax) national revenue. The plaintiffs say that they expect that the amounts received by Latimer and Arcand are actually far in excess of the amounts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15, 2003, Ms. Tracy attended the Instaloans location in Victoria, British Columbia, to borrow $50. She provided a cheque post-dated to April 28, 2003 for $62.50. On April 28, 2003, the loan was repaid, including the Finance Charge of $12.50. The opinion of the actuarial expert, Mr. Karp, shows that the effective annual rate of interest on this loan was 52,494%.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Lexine Phillips borrowed and repaid approximately 40 payday loans from Instaloans in British Columbia. As examples, on January 13, 2005, she borrowed $408 and provided Instaloans with a direct withdrawal authorization form, permitting Instaloans to withdraw $510 from her account on January 27, 2005. Instaloans was repaid on January 27, 2005, including the Finance Charge of $102. This resulted in an effective annual interest rate of 33,519%. On February 10, 2005, Ms. Phillips borrowed $480.21. She signed a direct withdrawal authorization form, permitting Instaloans to withdraw $610.26 from her account on February 25, 2005. Instaloans was repaid on February 25, 2005, including the Finance Charge of $120.05, resulting in an effective annual interest rate of 22,709%.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argues that there are no facts at issue on this application, and that the matter is appropriate for determination under Rule 18A. The plaintiff says that this Court has already determined these or similar issues in </w:t>
      </w:r>
      <w:r>
        <w:rPr>
          <w:rFonts w:ascii="arial" w:eastAsia="arial" w:hAnsi="arial" w:cs="arial"/>
          <w:b/>
          <w:i/>
          <w:color w:val="000000"/>
          <w:sz w:val="20"/>
          <w:lang w:val="en-US" w:eastAsia="en-US" w:bidi="ar-SA"/>
        </w:rPr>
        <w:t>Kilroy v. A OK Payday Loans Inc.</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2006 BCSC 1213</w:t>
        </w:r>
      </w:hyperlink>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273 D.L.R. (4th) 255</w:t>
        </w:r>
      </w:hyperlink>
      <w:r>
        <w:rPr>
          <w:rFonts w:ascii="arial" w:eastAsia="arial" w:hAnsi="arial" w:cs="arial"/>
          <w:color w:val="000000"/>
          <w:sz w:val="20"/>
          <w:lang w:val="en-US" w:eastAsia="en-US" w:bidi="ar-SA"/>
        </w:rPr>
        <w:t xml:space="preserve">, aff'd </w:t>
      </w:r>
      <w:hyperlink r:id="rId695" w:history="1">
        <w:r>
          <w:rPr>
            <w:rFonts w:ascii="arial" w:eastAsia="arial" w:hAnsi="arial" w:cs="arial"/>
            <w:i/>
            <w:color w:val="0077CC"/>
            <w:sz w:val="20"/>
            <w:u w:val="single"/>
            <w:shd w:val="clear" w:color="auto" w:fill="FFFFFF"/>
            <w:lang w:val="en-US" w:eastAsia="en-US" w:bidi="ar-SA"/>
          </w:rPr>
          <w:t>2007 BCCA 231</w:t>
        </w:r>
      </w:hyperlink>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278 D.L.R. (4th) 193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argue that this case is distinguished from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that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effective May 2007, after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was decided, indicates that s.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does not and was not intended to apply to payday or short term lenders. They say that only certain of the defendants carried on the payday loan business in British Columbia, and only those defendants could be liable, in any event. They say that there is no reason to lift the corporate veil and attach liability to the individual defendants, Latimer and Arcand.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I am able to find the facts necessary to decide this application (except as noted) and that this matter is appropriate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in their pleadings and common issues advance many claims, each of which would, or may, provide them with appropriate relief. The defendants argue that the plaintiffs must be put to their election, and cannot seek multiple remedies for the same breach. I accept the plaintiffs' argument that they need not make their election as yet, and that although they cannot receive double recovery, they are entitled to refrain from making an election until they are able to gauge which remedy is effective, particularly on the summary trial of common issues in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 the finance charges charged by the Instaloans defendants constitute interest as defined by s. 347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argue that s. 347 was never intended to apply to the payday loan industry. They say that the regulatory agencies responsible deliberately chose, for policy reasons, not to enforce s. 347. They say that this policy choice was made explicit in May 2007, when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was amended to add s. 347.1. They say that this expression of Parliamentary intent distinguishes earlier decisions, and should inform the Court's decision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Second, they say that only the Storefront Lenders charged any Finance Charges, and that the other corporate defendants may have received payment from the Storefront Lenders, but did not charge any Finance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turn first to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Section 347.1(2) states: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347 and section 2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do not apply to a person, ... in respect of a payday loan agreement entered into by the person to receive interest, or in respect of interest received by that person under the agreement, if</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advanced under the agreement is $1,500 or less and the term of the agreement is 62 days or less;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is licensed or otherwise specifically authorized under the laws of a province to enter into the agreement;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is designated under subsection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347.1(3)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states that a province may be designated if it has legislative measures that protect recipients of payday loans and that provide for limits on the total cost of borrowing under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effect of these amendments, as both parties acknowledge, is to exclude from s. 347 those payday lenders who are licensed, in a province that regulates payday lenders by limiting the total cost of borrowing. British Columbia is not a designated province. None of the defendants is licensed in British Columbia, as required by s. 347.1. The provisions do not have retroactive effect. Accordingly, s. 347.1 does not apply to the transactions in issue, and this section cannot affect the analysis of the first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provides that everyone who enters an agreement or arrangement to receive interest at a criminal rate, or receives a payment or partial payment of interest at a criminal rate is guilty of a criminal offence. "Interest"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aggregate of all charges and expenses, whether in the form of a fee, fine, penalty, commission or other similar charge or expense or in any other form, paid or payable for the advancing of credit under an agreement or arrangement, by or on behalf of the person to whom the credit is or is to be advanced, irrespective of the person to whom any such charges and expenses are or are to be paid or payable, but does not include any repayment of credit advanced or any insurance charge, official fee, overdraft charge, required deposit balance or, in the case of a mortgage transaction, any amount required to be paid on account of property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 "criminal rate"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effective annual rate of interest ... that exceeds sixty per cent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fees charged by Instaloans were 25% of the principal amount advanced, initially described as Finance Charges and later as documentation fees, administration fees and interest. In </w:t>
      </w:r>
      <w:r>
        <w:rPr>
          <w:rFonts w:ascii="arial" w:eastAsia="arial" w:hAnsi="arial" w:cs="arial"/>
          <w:b/>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[1998] 3 S.C.R. 112</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40 O.R. (3d) 479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Garland No. 1</w:t>
      </w:r>
      <w:r>
        <w:rPr>
          <w:rFonts w:ascii="arial" w:eastAsia="arial" w:hAnsi="arial" w:cs="arial"/>
          <w:color w:val="000000"/>
          <w:sz w:val="20"/>
          <w:lang w:val="en-US" w:eastAsia="en-US" w:bidi="ar-SA"/>
        </w:rPr>
        <w:t xml:space="preserve">), the Supreme Court of Canada found that for the purposes of s. 347, "interest" is a comprehensive term. The majority adopted the words of Huddart J. (as she then was) in </w:t>
      </w:r>
      <w:r>
        <w:rPr>
          <w:rFonts w:ascii="arial" w:eastAsia="arial" w:hAnsi="arial" w:cs="arial"/>
          <w:b/>
          <w:i/>
          <w:color w:val="000000"/>
          <w:sz w:val="20"/>
          <w:lang w:val="en-US" w:eastAsia="en-US" w:bidi="ar-SA"/>
        </w:rPr>
        <w:t>Mira Design Co. v. Seascape Holdings Ltd.</w:t>
      </w:r>
      <w:r>
        <w:rPr>
          <w:rFonts w:ascii="arial" w:eastAsia="arial" w:hAnsi="arial" w:cs="arial"/>
          <w:color w:val="000000"/>
          <w:sz w:val="20"/>
          <w:lang w:val="en-US" w:eastAsia="en-US" w:bidi="ar-SA"/>
        </w:rPr>
        <w:t xml:space="preserve"> (1981), </w:t>
      </w:r>
      <w:hyperlink r:id="rId698" w:history="1">
        <w:r>
          <w:rPr>
            <w:rFonts w:ascii="arial" w:eastAsia="arial" w:hAnsi="arial" w:cs="arial"/>
            <w:i/>
            <w:color w:val="0077CC"/>
            <w:sz w:val="20"/>
            <w:u w:val="single"/>
            <w:shd w:val="clear" w:color="auto" w:fill="FFFFFF"/>
            <w:lang w:val="en-US" w:eastAsia="en-US" w:bidi="ar-SA"/>
          </w:rPr>
          <w:t>[1982] 1 W.W.R. 744</w:t>
        </w:r>
      </w:hyperlink>
      <w:r>
        <w:rPr>
          <w:rFonts w:ascii="arial" w:eastAsia="arial" w:hAnsi="arial" w:cs="arial"/>
          <w:color w:val="000000"/>
          <w:sz w:val="20"/>
          <w:lang w:val="en-US" w:eastAsia="en-US" w:bidi="ar-SA"/>
        </w:rPr>
        <w:t xml:space="preserve"> at 750, </w:t>
      </w:r>
      <w:hyperlink r:id="rId698" w:history="1">
        <w:r>
          <w:rPr>
            <w:rFonts w:ascii="arial" w:eastAsia="arial" w:hAnsi="arial" w:cs="arial"/>
            <w:i/>
            <w:color w:val="0077CC"/>
            <w:sz w:val="20"/>
            <w:u w:val="single"/>
            <w:shd w:val="clear" w:color="auto" w:fill="FFFFFF"/>
            <w:lang w:val="en-US" w:eastAsia="en-US" w:bidi="ar-SA"/>
          </w:rPr>
          <w:t>34 B.C.L.R. 55</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thrust of the definitions of "credit advanced" and "interest" is to cover all possible aspects of any transaction to ensure that the cost of using someone else's money never exceeds the criminal rate. Thus, they focus on the actual benefit given to the borrower and the real cost of borrowing. The actual benefit is the real amount in the borrower's hands minus all the penalties, commissions and other costs incurred. The cost of borrowing is also widely defined. Clearly the intention of the legislature was to concentrate on the substance of the transaction, not on its mechanics or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this case, the fees charged, including those labelled interest, are fees payable for the advance of credit under an agreement and are interest as defined by s.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issue (Common Issue (a)) is concerned only with the nature of the fees charged; it does not ask the Court to identify which of the defendants charged the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 the standard form agreements constitute agreements or arrangements to receive interest at a criminal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An agreement constitutes an agreement to receive interest at a criminal rate when the agreement requires payment of interest at a criminal rate: </w:t>
      </w:r>
      <w:r>
        <w:rPr>
          <w:rFonts w:ascii="arial" w:eastAsia="arial" w:hAnsi="arial" w:cs="arial"/>
          <w:b/>
          <w:i/>
          <w:color w:val="000000"/>
          <w:sz w:val="20"/>
          <w:lang w:val="en-US" w:eastAsia="en-US" w:bidi="ar-SA"/>
        </w:rPr>
        <w:t>Degelder Construction Co. v. Dancorp Developments Ltd.</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[1998] 3 S.C.R. 90</w:t>
        </w:r>
      </w:hyperlink>
      <w:r>
        <w:rPr>
          <w:rFonts w:ascii="arial" w:eastAsia="arial" w:hAnsi="arial" w:cs="arial"/>
          <w:color w:val="000000"/>
          <w:sz w:val="20"/>
          <w:lang w:val="en-US" w:eastAsia="en-US" w:bidi="ar-SA"/>
        </w:rPr>
        <w:t xml:space="preserve"> at para. 29, </w:t>
      </w:r>
      <w:hyperlink r:id="rId699" w:history="1">
        <w:r>
          <w:rPr>
            <w:rFonts w:ascii="arial" w:eastAsia="arial" w:hAnsi="arial" w:cs="arial"/>
            <w:i/>
            <w:color w:val="0077CC"/>
            <w:sz w:val="20"/>
            <w:u w:val="single"/>
            <w:shd w:val="clear" w:color="auto" w:fill="FFFFFF"/>
            <w:lang w:val="en-US" w:eastAsia="en-US" w:bidi="ar-SA"/>
          </w:rPr>
          <w:t>165 D.L.R. (4th) 417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Brehnan v. Outback Products Inc.</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2004 BCCA 272</w:t>
        </w:r>
      </w:hyperlink>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30 B.C.L.R. (4th) 325</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Here, the standard form agreements require the borrower to repay the principal and Finance Charges when due, which is within 30 days. Mr. Karp opines that this will result in an effective annual interest rate of more than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generally agree with the plaintiffs' description of the terms of the standard form loan agreements as requiring the borrower to pay charges calculated at 25% of the principal amount of the payday loan together with repayment of the principal amount of the payday loan. However, the defendants say that the plaintiffs ignore a number of exceptions where charges of less than 25% were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common issue concerns the </w:t>
      </w:r>
      <w:r>
        <w:rPr>
          <w:rFonts w:ascii="arial" w:eastAsia="arial" w:hAnsi="arial" w:cs="arial"/>
          <w:i/>
          <w:color w:val="000000"/>
          <w:sz w:val="20"/>
          <w:lang w:val="en-US" w:eastAsia="en-US" w:bidi="ar-SA"/>
        </w:rPr>
        <w:t>standard form</w:t>
      </w:r>
      <w:r>
        <w:rPr>
          <w:rFonts w:ascii="arial" w:eastAsia="arial" w:hAnsi="arial" w:cs="arial"/>
          <w:color w:val="000000"/>
          <w:sz w:val="20"/>
          <w:lang w:val="en-US" w:eastAsia="en-US" w:bidi="ar-SA"/>
        </w:rPr>
        <w:t xml:space="preserve"> loan agreements. As noted above, I agree with the plaintiffs' description of the standard form loan agreement and Mr. Karp's calculations and I find that the agreements were agreements to receive interest at a criminal rate of over 60%, contrary to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Has the collection by the Instaloans defendants of Finance Charges and interest resulted in receipt by the Instaloans defendants of interest at a criminal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If, as I have found, the Finance Charges and interest are interest within the definition in s. 347, and their payment results in payment at a criminal rate, then the Instaloans defendants have received interest at a criminal rate. Again, this question does not require the Court to identify a particular defendant as receiving the criminal rate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Have the Instaloans defendants been unjustly enriched by the collection of those Finance Charges from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This issue, with respect to the Storefront Lenders, was addressed by this Court and by the Court of Appeal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test for unjust enrichment was set out in </w:t>
      </w:r>
      <w:r>
        <w:rPr>
          <w:rFonts w:ascii="arial" w:eastAsia="arial" w:hAnsi="arial" w:cs="arial"/>
          <w:b/>
          <w:i/>
          <w:color w:val="000000"/>
          <w:sz w:val="20"/>
          <w:lang w:val="en-US" w:eastAsia="en-US" w:bidi="ar-SA"/>
        </w:rPr>
        <w:t xml:space="preserve">Garland v. Consumers' Gas Co., </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at para. 30; </w:t>
      </w:r>
      <w:hyperlink r:id="rId701"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juristic reason for the enrichment.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accept that the defendant has been enriched by the receipt of the Processing Fees and the Late Fees, and the class members, correspondingly deprived. The question that remains for determination is whether a juristic reason brought about the deprivation.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analysis to be applied in determining whether a juristic reason exists was set out by the Court in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The two-step analysis was described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proper approach to the juristic reason analysis is in two parts. First, the plaintiff must show that no juristic reason from an established category exists to deny recovery. ... The established categories that can constitute juristic reasons include a contract (</w:t>
      </w:r>
      <w:r>
        <w:rPr>
          <w:rFonts w:ascii="arial" w:eastAsia="arial" w:hAnsi="arial" w:cs="arial"/>
          <w:i/>
          <w:color w:val="000000"/>
          <w:sz w:val="20"/>
          <w:lang w:val="en-US" w:eastAsia="en-US" w:bidi="ar-SA"/>
        </w:rPr>
        <w:t>Pettkus, supra</w:t>
      </w:r>
      <w:r>
        <w:rPr>
          <w:rFonts w:ascii="arial" w:eastAsia="arial" w:hAnsi="arial" w:cs="arial"/>
          <w:color w:val="000000"/>
          <w:sz w:val="20"/>
          <w:lang w:val="en-US" w:eastAsia="en-US" w:bidi="ar-SA"/>
        </w:rPr>
        <w:t>), a disposition of law (</w:t>
      </w:r>
      <w:r>
        <w:rPr>
          <w:rFonts w:ascii="arial" w:eastAsia="arial" w:hAnsi="arial" w:cs="arial"/>
          <w:i/>
          <w:color w:val="000000"/>
          <w:sz w:val="20"/>
          <w:lang w:val="en-US" w:eastAsia="en-US" w:bidi="ar-SA"/>
        </w:rPr>
        <w:t>Pettkus, supra</w:t>
      </w:r>
      <w:r>
        <w:rPr>
          <w:rFonts w:ascii="arial" w:eastAsia="arial" w:hAnsi="arial" w:cs="arial"/>
          <w:color w:val="000000"/>
          <w:sz w:val="20"/>
          <w:lang w:val="en-US" w:eastAsia="en-US" w:bidi="ar-SA"/>
        </w:rPr>
        <w:t>), a donative intent (</w:t>
      </w:r>
      <w:r>
        <w:rPr>
          <w:rFonts w:ascii="arial" w:eastAsia="arial" w:hAnsi="arial" w:cs="arial"/>
          <w:i/>
          <w:color w:val="000000"/>
          <w:sz w:val="20"/>
          <w:lang w:val="en-US" w:eastAsia="en-US" w:bidi="ar-SA"/>
        </w:rPr>
        <w:t>Peter, supra</w:t>
      </w:r>
      <w:r>
        <w:rPr>
          <w:rFonts w:ascii="arial" w:eastAsia="arial" w:hAnsi="arial" w:cs="arial"/>
          <w:color w:val="000000"/>
          <w:sz w:val="20"/>
          <w:lang w:val="en-US" w:eastAsia="en-US" w:bidi="ar-SA"/>
        </w:rPr>
        <w:t>), and other valid common law, equitable or statutory obligations (</w:t>
      </w:r>
      <w:r>
        <w:rPr>
          <w:rFonts w:ascii="arial" w:eastAsia="arial" w:hAnsi="arial" w:cs="arial"/>
          <w:i/>
          <w:color w:val="000000"/>
          <w:sz w:val="20"/>
          <w:lang w:val="en-US" w:eastAsia="en-US" w:bidi="ar-SA"/>
        </w:rPr>
        <w:t>Peter, supra</w:t>
      </w:r>
      <w:r>
        <w:rPr>
          <w:rFonts w:ascii="arial" w:eastAsia="arial" w:hAnsi="arial" w:cs="arial"/>
          <w:color w:val="000000"/>
          <w:sz w:val="20"/>
          <w:lang w:val="en-US" w:eastAsia="en-US" w:bidi="ar-SA"/>
        </w:rPr>
        <w:t xml:space="preserve">). If there is no juristic reason from an established category, then the plaintiff has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under the juristic reason component of the 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rebuttable, however, where the defendant can show that there is another reason to deny recovery. As a result, there is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burden of proof placed on the defendant to show the reason why the enrichment should be retained. This stage of the analysis thus provides for a category of residual defence in which courts can look to all of the circumstances of the transaction in order to determine whether there is another reason to deny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part of the defendant's attempt to rebut, courts should have regard to two factors: the reasonable expectations of the parties, and public policy considerations. It may be that when these factors are considered, the court will find that a new category of juristic reason is established. In other cases, a consideration of these factors will suggest that there was a juristic reason in the particular circumstances of a case which does not give rise to a new category of juristic reason that should be applied in other factual circumstances. In a third group of cases, a consideration of these factors will yield a determination that there was no juristic reason for the enrichment. In the latter cases, recovery should be allowed. The point here is that this area is an evolving one and that further cases will add additional refinements and developments. (paras. 44-46)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Turning to the first stage of this analysis, the defendant says that the payments were made pursuant to loan agreements, which constitute a juristic reason. The plaintiff argues that the loan agreements relied upon by the defendant are illegal under s. 347(1)(a)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and cannot constitute a juristic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A similar argument was before the Court in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In that case, the plaintiff brought a class action, seeking restitution of late payment penalties (LLPs) collected by the defendant, Consumers' Gas Co. The LLPs were imposed and collected based on an order of the Ontario Energy Board (made within its jurisdiction: see para. 52), which authorized and required Consumers' Gas Co. to charge the LLPs. Consumers' Gas Co. argued that, as the LLPs were ordered by the OEB, there was a juristic reason for its enrichment. In rejecting this argument, the Court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scheme is inoperative by virtue of a conflict with s. 347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then a juristic reason is not present. In my view, the OEB rate orders are constitutionally inoperative to the extent of their conflict with s. 347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(para.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same reasoning applies here. The loan agreements are in conflict with s. 347(1)(a)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They cannot form a juristic reason for A OK's enrichment.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Under the second stage of the juristic reason analysis in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courts are to consider whether, in all of the circumstances of the transaction, there is another reason to deny recovery. In this regard, the Court is to consider the reasonable expectations of the parties and public policy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Again, the Supreme Court's analysis in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xml:space="preserve"> is informative. Although the Court had found that the OEB orders were inoperative, it held that the parties' reliance on them was relevant in considering their reasonable expectations. Consumers' Gas Co. had a reasonable expectation that it could charge and recover fees because it could expect that the OEB would not authorize a penalty scheme that was in violation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By contrast, consumers had no reasonable expectation that they would not have to pay a fee for late payment. Thus, until Consumers' Gas Co. was put on notice that the fees could be illegal, its reliance on the OEB's orders provided a juristic reason for the enrichment. The Court continued, however,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1994, when this action was commenced, Consumers' Gas was put on notice of the serious possibility that it was violating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in charging the LPPs. This possibility became a reality when this Court held that the LPPs were in excess of the s. 347 limit. Consumers' Gas could have requested that the OEB alter its rate structure until the matter was adjudicated in order to ensure that it was not in violation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or asked for contingency arrangements to be made. Its decision not to do this, as counsel for the appellant pointed out in oral submissions, was a "gamble". After the action was commenced and Consumers' Gas was put on notice that there was a serious possibility the LPPs violated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it was no longer reasonable for Consumers' Gas to rely on the OEB rate orders to authorize the LPPs. (para. 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It is apparent from this reasoning, that unless there is an acceptable reason for a party to believe that an otherwise illegal arrangement is legal, it is unreasonable for the party to place any expectations on that arrangement. Here, there is no evidence that A OK had a basis to believe that the fees that it charged were not in breach of the </w:t>
      </w:r>
      <w:r>
        <w:rPr>
          <w:rFonts w:ascii="arial" w:eastAsia="arial" w:hAnsi="arial" w:cs="arial"/>
          <w:b/>
          <w:i/>
          <w:color w:val="000000"/>
          <w:sz w:val="20"/>
          <w:lang w:val="en-US" w:eastAsia="en-US" w:bidi="ar-SA"/>
        </w:rPr>
        <w:t>Code</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It follows that A OK had no reasonable expectation that fees in excess of the criminal rate should be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What of public policy? In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Consumers' Gas Co. argued that it had, in reliance on the OEB orders, changed its position by not charging higher gas rates and that this was a reason to allow it to retain the fees. The Court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overriding public policy consideration in this case is the fact that the LPPs were collected in contravention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As a matter of public policy, a criminal should not be permitted to keep the proceeds of his crime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(para. 57)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appellant submits that the defence of change of position is not available to a defendant who is a wrongdoer and that, since the respondent in this case was enriched by its own criminal misconduct, it should not be permitted to avail itself of the defence. I agree.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 defendant has obtained the enrichment through some wrongdoing of his own, he cannot then assert that it would be unjust to return the enrichment to the plaintiff. In this case, the respondent cannot avail itself of this defence because the LPPs were obtained in contravention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as a result, it cannot be unjust for the respondent to have to return them. (paras. 64-65)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That reasoning applies equally to this case. A OK has received the benefit of the Processing Fees and the Late Fees in contravention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It cannot be unjust for it to return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of Appeal concurred, saying at paras.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A OK was engaged in a commercial enterprise that offered standard form loans to small borrowers who had to take the loans on A OK's terms or not at all. I am prepared to accept that there was no conduct of an oppressive or unconscionable character on the part of A OK beyond the breach of s. 347. However, A OK was the dominant party and I am satisfied that it had the responsibility to comply with the s. 347 "criminal rate" limits. The section is framed to impose the responsibility on the lender and not on the borrower. Even if some borrowers were aware that there might be an illegal interest problem in the loans I do not think that the knowledge could change the relative bargaining position of the parties significantly to tip the balance against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xml:space="preserve"> supports recovery. Consumers' Gas was required to make a refund of the portion of the late payment penalty in excess of the criminal interest limit, notwithstanding that the penalty had been approved by its regulator and it had been included in the revenue requirement approved for recovery from customers. Consumers' Gas was not receiving a windfall profit.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say that this case must be distinguished from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because of the newly enacted s. 347.1, which the defendants say affects the analysis of a juristic reason for the enrichment, the expectations of the parties, and public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issue that the borrowers were deprived, and the defendants, or some of them, enriched by receipt of interest at a criminal rate. The question that remains is whether there is a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defendants say, as did A OK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that the contracts of each borrower form a juristic reason for the enrichment. They argue that the amendments to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demonstrate Parliament's will that s. 347 does not apply to payday loans such as these, and therefore, the contracts should be accepted as a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cannot accept this argument. The amendments clearly indicate that s. 347 does apply to loans such as these. If it did not, there would be no need for s. 347.1. Only where payday lenders come within s. 347.1 are they exempt from s. 347, and then not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Nor does the knowledge of the individual borrowers of the terms of their agreements provide a juristic reason. This argument was rejected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I am satisfied that the plaintiff has shown that there is no juristic reason from an established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Are there other reasons why the enrichment should be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say that they had assurances from the regulatory bodies (and reasonable expectations) that s. 347 would not be applied to their industry. Arcand, one of the principals of the corporate defendants, refers to a meeting between industry, government representatives, and public interest groups in June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British Columbia took the position that it would not apply s. 347 to the short-term lending industry. One of the reasons for that decision, I understood, was that the Attorney General acknowledged the demand for these services amongst British Columbia consumers, and that an attempt at enforcement of the provision might result in the demise of the industry, which no one wanted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Arcand refers to the Summary of Proceedings from that meeting, and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it was my understanding that the B.C. Corporations operated in British Columbia with the knowledge and consent of the relevant federal and British Columbia government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the minutes from that meeting do not lend support to Arcand's conclusion. Ms. MacPhail, Assistant Deputy Minister of the B.C. Ministry of the Attorney General is described as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Alison MacPhail presented a more detailed review of the concerns that were brought to the attention of the British Columbia Ministry of the Attorney General in the past years with regard to payday loan, title loan and pawn broker companies. She noted that these concerns had focused on the high cost of borrowing at the outset and the very high costs of penalties and NSF charges upon default. Although the interest rates observed (including fixed administrative fees) are often in excess of the 60% maximum allowed under the Criminal Code, enforcement has proven difficult. The nature of the industry involves a large number of transactions for small amounts of money thereby making prosecution impractical. Consistent enforcement would be costly and time consuming and likely result in most short term lenders being forced to close. However, consultation with representatives of consumers and the public interest found that such closure would not be a desirable outcome. Consequently, the existing legislative framework creates a real dilemma in regard to protecting consumers, particularly the more vulnerable and lower income consumers from abusive practices, while accommodating demand for small short term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federal representative, Mr. Bruce Drake from Industry Canada, is described as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Drake outlined a number of public policy issues raised by the rapid growth of the alternative financing sector. These include the absence of industry codes of conduct, the difficulty in enforcing usury laws (Section 347 of the Criminal Code), the lack of full and clear disclosure of borrowing costs and terms, and the inaccessibility to comparable services from traditional lenders. He concluded by presenting a number of consumer protection challenges faced by policy makers and the implications these issues raised. Among them, the question of what policy instrument (legislation, education, standards) to use in consumer protection in response to the growing consumer credit market (see Annex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Preyde, the former Director of Consumer Policy and Program Development with the British Columbia Ministry of the Attorney General, attended the meeting and has provided an affidavit.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currently employed as Manager of Legislation, Ministry of Public Safety and Solicitor General with the Government of the Province of British Columbia (the "Government"). From 1994 to 2000, I was Director of Consumer Policy and Program Development for the Government. In late 2003, I resumed responsibility for research, policy and consultations for the Government in respect to short term loans. In 1999 and 2000 and from late 2003 onwards, I have acted as lead advisor to the Government with regard to its membership in a working group of the federal-provincial Consumer Measures Committee ("CMC"), the Alternative Consumer Credit Market Working Group ("ACCM"). As such, I have a personal knowledge of the facts and matters hereinafter deposed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CMC consists of representatives from the federal government as well as every province and territory. The CMC provides a federal-provincial-territorial forum for national cooperation to streamline regulation of business while at the same time improve the marketplace for Canadian consumers, through harmonization of laws, regulations and practices and through actions to raise public awareness.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concerns raised by the Government, ACCM was created by CMC to conduct research into consumer issues in respect of the alternative credit market, to ensure both that customers of this developing industry were able to make informed choices and that potentially vulnerable consumers were protected. ACCM was aware of and concerned about the general business practices of the payday loan industry in British Columbia by late 1999 or early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Summary of Proceedings states, developing a workable solution to the payday lending phenomenon was made a public policy priority by the then Attorney General of British Columbia. The Government had information on how some payday loan companies operated and the fees that such companies typically charged. If all fees and administrative charges were included within the definition of "interest" in relation to such a typical payday loan, then such fees would clearly amount to more than 60% per annum on a typical payday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overriding concern of the ACCM has been to ensure that a commensurate level of consumer protection be afforded to consumers in the alternative credit marketplace as enjoyed by consumers in the traditional credit marketplace. After considering efforts to enforce s. 347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 ACCM concluded that this provision was not a practical nor effective instrument to regulate the payday loan industry given the large number of transactions for small amounts of money. National consultations followed the roundtable discussions of June 2000. These consultations included the circulation of a Consultation Paper to stakeholders, including members of the Payday Loan industry, in 2002. A copy of the ACCM's Consultation Paper on Framework Options for Addressing Concerns with the Alternative Consumer Credit Market is attached to my affidavit as Exhibit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consultation paper, circulated to members of the payday loans industry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ACCM is the market for small sum, short term loans from non-traditional lending sources. Consumers in the ACCM are those that do not qualify for, or do not use, the small sum, short term credit products offered by traditional lenders (such as banks and credit unions). Instead of credit cards, overdraft protection or lines of credit, consumers of the ACCM use such credit-like instruments as payroll loans, cheque cashing services, pawn transactions and chattel mortgages.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ACCM provides credit to consumers who otherwise might not be eligible for it, concerns have been raised about the price of that credit and about other undesirable practices related to the credit, such as "rollovers" or aggressive collections practices. This paper and the proposals for amendment to law do not reflect any endorsement by government of the credit products offered within this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Latimer, the other principal of the corporate defendants, said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When you say that was your understanding it was an interpretation that was open to debate, how did you come to that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approached -- In B.C. we approached the provincial government and -- there were several meetings with the Consumers Measures Committee, and I think a Reg Forbet or Forje, I can't recall exactly what his name was, to discuss how the government might interpret section 347 and this industry.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we were led to believe that, you know, and I think it's been borne out, that section 347 was an inappropriate instrument to be used on -- and it wasn't designed for this situation. The federal government has subsequently recognized that and recently changed legislation. And your own Province of B.C. has recognized that and brought in enabling legislation, recognizing that the 347 isn't wholly inappropriate to be held over us, and there is value in the service, and there is some rate or charge that they will bring in. And the rate or charge that I understand is being contemplated for B.C. is substantially different than what 347 contemplated, which would bear out that 347 was not -- the political ins didn't believe that 347 have a bearing on this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have the meetings that you described to me at the beginning of your answer, when you said that you met with Mr. Reg Forbes,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I'm -- I might have misspoke to say that I directly met with him. I believe -- I recall that Marc met with Consumers Measures Committee directly, and we answered surveys directly. And I believe I talked to him on the phone. But to say that I met with him directly might be an overstatement.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When did Mr. Arcand meet with Mr. Forbes, do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That would have -- It would have been in the late '90s, but I am not recalling exactly when it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did you speak with Mr. Forbes?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would be about eight years ago now. Yeah. I'm not sure that I recall the day, if that's what you're asking.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Mr. Forbes say to you when you spoke with Mr. Forbes on the telephone?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general understanding was that as I had already explained, that 347 wasn't a consideration for this industry, and it was those kind of assurances that the company, that we needed to look for for the company to continue. There was -- There were other industry providers that were also having -- seeking those kind of assurances from the B.C. bureaucracy and legislators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Is it your evidence that Mr. Forbes gave you an assurance that section 347(1) of the </w:t>
            </w:r>
            <w:r>
              <w:rPr>
                <w:rFonts w:ascii="arial" w:eastAsia="arial" w:hAnsi="arial" w:cs="arial"/>
                <w:b/>
                <w:i/>
                <w:color w:val="000000"/>
                <w:sz w:val="18"/>
                <w:lang w:val="en-US" w:eastAsia="en-US" w:bidi="ar-SA"/>
              </w:rPr>
              <w:t>Criminal Code</w:t>
            </w:r>
            <w:r>
              <w:rPr>
                <w:rFonts w:ascii="arial" w:eastAsia="arial" w:hAnsi="arial" w:cs="arial"/>
                <w:color w:val="000000"/>
                <w:sz w:val="18"/>
                <w:lang w:val="en-US" w:eastAsia="en-US" w:bidi="ar-SA"/>
              </w:rPr>
              <w:t xml:space="preserve"> wouldn't apply to the business that was carried out in the name of Instaloans?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said I was looking for assurances. I don't think I said I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didn't receive such an assurance from Mr. Forbes,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received his concurrence that it was totally inappropriate, and he could not see -- I don't know that I'm saying the right name here or that you're saying. Do you know who this fellow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is nothing in the extracts of the meetings referred to that would objectively lead to a conclusion that the Governments of British Columbia and Canada consented to the business operations of the defendants, and in particular to charging interest above 60%. When Latimer sought assurance, it was not given. The expectations, if they existed, cannot be said to be reasonable. This circumstance is not akin to that of </w:t>
      </w:r>
      <w:r>
        <w:rPr>
          <w:rFonts w:ascii="arial" w:eastAsia="arial" w:hAnsi="arial" w:cs="arial"/>
          <w:b/>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where orders of the appropriate regulatory agency permitted the charges imposed. Here, at most, the defendants assumed that they would not be pursued criminally for breaches of s. 347.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Does s. 347.1 indicate a shift in public policy, such that the defendants should be permitted to retain the interest above 60%? The analysis of the Supreme Court of Canada at paras. 57, 59, and 64-65 in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much of which I set out earlier, is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overriding public policy consideration in this case is the fact that the LPPs were collected in contravention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As a matter of public policy, a criminal should not be permitted to keep the proceeds of his crime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(at para. 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LPPs were obtained in contravention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as a result, it cannot be unjust for the respondent to have to return them.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That reasoning applies and is binding in this case. The principals and the corporations they controlled were aware from the outset of their business of s.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They must have been aware, particularly after the consultations of 2000, that there was a serious possibility that their loan arrangements contravened s. 347. They continued to charge the impugned fees, in the absence of the regulations under consideration; this was a "gamble" as described in </w:t>
      </w:r>
      <w:r>
        <w:rPr>
          <w:rFonts w:ascii="arial" w:eastAsia="arial" w:hAnsi="arial" w:cs="arial"/>
          <w:b/>
          <w:i/>
          <w:color w:val="000000"/>
          <w:sz w:val="20"/>
          <w:lang w:val="en-US" w:eastAsia="en-US" w:bidi="ar-SA"/>
        </w:rPr>
        <w:t>Garland No. 2</w:t>
      </w:r>
      <w:r>
        <w:rPr>
          <w:rFonts w:ascii="arial" w:eastAsia="arial" w:hAnsi="arial" w:cs="arial"/>
          <w:color w:val="000000"/>
          <w:sz w:val="20"/>
          <w:lang w:val="en-US" w:eastAsia="en-US" w:bidi="ar-SA"/>
        </w:rPr>
        <w:t>. Section 347.1 as I have said above, only exempts payday lenders where other regulation is available. It does not "bless" the fees charged by the defendants. Furthermore, if Parliament had intended to protect fees charged prior to the implementation of s. 347.1, it could easily have done so. It did not. It cannot be unjust for the defendants to return the fees above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Were Latimer, Arcand and the non-lending companies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argue that the payday loans were advanced by the corporate defendants at the direction and for the benefit of the individual defendants Latimer and Arcand. The plaintiffs say that Latimer and Arcand were the officers and directors of the corporate defendants and they controlled the corporate defendants as well as the Instaloans business. They incorporated the Storefront Lenders to carry on the Instaloans business in British Columbia. Before starting the Instaloans business in British Columbia, Latimer and Arcand knew that they could not legally charge or collect interest above 60% and were of the view that they could not profit if payday loans were provided at a rate of 60% per annum. Latimer and Arcand say that they have received $5.6 million from the B.C. businesses. "Contract services" paid by the Storefront Lenders to the Head Office Companies, was not a fixed amount, it was the net income of a Storefront Lender. The plaintiffs say that Finance Charges were clearly paid to Latimer, Arcand, and the other corporate defendants, and that they have been unjustly enriched. Although Instaloans had other businesses, the payday lending business was more than 90% of the Instaloans business in British Columbia, so formed the bulk of the B.C. payments received by the defendants which were not Storefront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plaintiffs say that the "contract services" paid to the other corporate entities, or the "salary and bonuses" paid to Latimer and Arcand cannot form a juristic reason for the enrichment. They are not innocent parties, they are related entities, directed by Latimer and Arcand, collectively assigned roles in a business that was intended to and did breach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and that all have been unjustly enriched by receipt of interest at a criminal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say that there were no payments made by borrowers to the Head Office Companies, that the only payments from the plaintiff class were to the Storefront Lenders, so there is no enrichment of the other defendants. They say that there are juristic reasons for enrichment, in any event, because the payments were for providing management services (the Head Office Companies) and for salary and bonuses from other entities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Latimer and Arcand argue that the corporations are distinct legal entities, and that the corporate veil should only be lifted in limited circumstances such as fraud or deceit, which do not exist here. They say that the corporate veil may also be lifted where a corporation is formed for the purpose of doing a wrongful act, or is directed to follow a deliberate policy of wrongdoing, or the corporation is used as a cloak to cover fraud or improper conduct. They say that there is no evidence to support any of these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first consider the issue of unjust enrichment, apart from the defendants' argument with respect to "lifting the corporate veil", which I address below, under the heading on joint and several liability of the individual defendants (Common Issue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Have the various defendants been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Supreme Court of Canada discussed the legal theory and application of restitution for unjust enrichment in </w:t>
      </w:r>
      <w:r>
        <w:rPr>
          <w:rFonts w:ascii="arial" w:eastAsia="arial" w:hAnsi="arial" w:cs="arial"/>
          <w:b/>
          <w:i/>
          <w:color w:val="000000"/>
          <w:sz w:val="20"/>
          <w:lang w:val="en-US" w:eastAsia="en-US" w:bidi="ar-SA"/>
        </w:rPr>
        <w:t>Peel (Regional Municipality) v. Canada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Peel (Regional Municipality) v. Ontario</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98 D.L.R. (4th) 140</w:t>
        </w:r>
      </w:hyperlink>
      <w:r>
        <w:rPr>
          <w:rFonts w:ascii="arial" w:eastAsia="arial" w:hAnsi="arial" w:cs="arial"/>
          <w:color w:val="000000"/>
          <w:sz w:val="20"/>
          <w:lang w:val="en-US" w:eastAsia="en-US" w:bidi="ar-SA"/>
        </w:rPr>
        <w:t>. There Justice McLachlin (as she then was), speaking for the majority, said at p. 786-789: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modern law of restitution finds its roots in the 16th century writ of </w:t>
      </w:r>
      <w:r>
        <w:rPr>
          <w:rFonts w:ascii="arial" w:eastAsia="arial" w:hAnsi="arial" w:cs="arial"/>
          <w:i/>
          <w:color w:val="000000"/>
          <w:sz w:val="20"/>
          <w:lang w:val="en-US" w:eastAsia="en-US" w:bidi="ar-SA"/>
        </w:rPr>
        <w:t>indebitatus assumpsit</w:t>
      </w:r>
      <w:r>
        <w:rPr>
          <w:rFonts w:ascii="arial" w:eastAsia="arial" w:hAnsi="arial" w:cs="arial"/>
          <w:color w:val="000000"/>
          <w:sz w:val="20"/>
          <w:lang w:val="en-US" w:eastAsia="en-US" w:bidi="ar-SA"/>
        </w:rPr>
        <w:t xml:space="preserve"> which, as a form of trespass on the case, was returnable in the Court of King's Bench, as opposed to the Court of Common Pleas where all regular debt actions had to be instituted. Maddaugh and McCamus,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xml:space="preserve"> (1990), note at p. 5 that from the Writ's birth in </w:t>
      </w:r>
      <w:r>
        <w:rPr>
          <w:rFonts w:ascii="arial" w:eastAsia="arial" w:hAnsi="arial" w:cs="arial"/>
          <w:i/>
          <w:color w:val="000000"/>
          <w:sz w:val="20"/>
          <w:lang w:val="en-US" w:eastAsia="en-US" w:bidi="ar-SA"/>
        </w:rPr>
        <w:t>Slade's Case</w:t>
      </w:r>
      <w:r>
        <w:rPr>
          <w:rFonts w:ascii="arial" w:eastAsia="arial" w:hAnsi="arial" w:cs="arial"/>
          <w:color w:val="000000"/>
          <w:sz w:val="20"/>
          <w:lang w:val="en-US" w:eastAsia="en-US" w:bidi="ar-SA"/>
        </w:rPr>
        <w:t xml:space="preserve"> (1602), 4 Co. Rep. 92b, 76 E.R. 1074, a number of "standard forms of general </w:t>
      </w:r>
      <w:r>
        <w:rPr>
          <w:rFonts w:ascii="arial" w:eastAsia="arial" w:hAnsi="arial" w:cs="arial"/>
          <w:i/>
          <w:color w:val="000000"/>
          <w:sz w:val="20"/>
          <w:lang w:val="en-US" w:eastAsia="en-US" w:bidi="ar-SA"/>
        </w:rPr>
        <w:t>assumpsit</w:t>
      </w:r>
      <w:r>
        <w:rPr>
          <w:rFonts w:ascii="arial" w:eastAsia="arial" w:hAnsi="arial" w:cs="arial"/>
          <w:color w:val="000000"/>
          <w:sz w:val="20"/>
          <w:lang w:val="en-US" w:eastAsia="en-US" w:bidi="ar-SA"/>
        </w:rPr>
        <w:t xml:space="preserve"> were developed depending upon the type of circumstance giving rise to the original indebtedness'"; the standard forms were called the common 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these common counts, four have come to form the basis of the vast majority of common law actions in quasi-contract: (i) </w:t>
      </w:r>
      <w:r>
        <w:rPr>
          <w:rFonts w:ascii="arial" w:eastAsia="arial" w:hAnsi="arial" w:cs="arial"/>
          <w:i/>
          <w:color w:val="000000"/>
          <w:sz w:val="20"/>
          <w:lang w:val="en-US" w:eastAsia="en-US" w:bidi="ar-SA"/>
        </w:rPr>
        <w:t>money had and received to the plaintiff's use</w:t>
      </w:r>
      <w:r>
        <w:rPr>
          <w:rFonts w:ascii="arial" w:eastAsia="arial" w:hAnsi="arial" w:cs="arial"/>
          <w:color w:val="000000"/>
          <w:sz w:val="20"/>
          <w:lang w:val="en-US" w:eastAsia="en-US" w:bidi="ar-SA"/>
        </w:rPr>
        <w:t xml:space="preserve">, where money is paid directly to the defendant; (ii) </w:t>
      </w:r>
      <w:r>
        <w:rPr>
          <w:rFonts w:ascii="arial" w:eastAsia="arial" w:hAnsi="arial" w:cs="arial"/>
          <w:i/>
          <w:color w:val="000000"/>
          <w:sz w:val="20"/>
          <w:lang w:val="en-US" w:eastAsia="en-US" w:bidi="ar-SA"/>
        </w:rPr>
        <w:t>money paid to the defendant's use</w:t>
      </w:r>
      <w:r>
        <w:rPr>
          <w:rFonts w:ascii="arial" w:eastAsia="arial" w:hAnsi="arial" w:cs="arial"/>
          <w:color w:val="000000"/>
          <w:sz w:val="20"/>
          <w:lang w:val="en-US" w:eastAsia="en-US" w:bidi="ar-SA"/>
        </w:rPr>
        <w:t xml:space="preserve">, where money is paid, not to the defendant but to a third party for the defendant's benefit; (iii)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and (iv) </w:t>
      </w:r>
      <w:r>
        <w:rPr>
          <w:rFonts w:ascii="arial" w:eastAsia="arial" w:hAnsi="arial" w:cs="arial"/>
          <w:i/>
          <w:color w:val="000000"/>
          <w:sz w:val="20"/>
          <w:lang w:val="en-US" w:eastAsia="en-US" w:bidi="ar-SA"/>
        </w:rPr>
        <w:t>quantum valebat</w:t>
      </w:r>
      <w:r>
        <w:rPr>
          <w:rFonts w:ascii="arial" w:eastAsia="arial" w:hAnsi="arial" w:cs="arial"/>
          <w:color w:val="000000"/>
          <w:sz w:val="20"/>
          <w:lang w:val="en-US" w:eastAsia="en-US" w:bidi="ar-SA"/>
        </w:rPr>
        <w:t>, where services or goods, respectively, are bestowed by the plaintiff upon the defendant.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Chancery, or Equity, also played an important role in the development of the modern law of restitution. Maddaugh and McCamus consider equity's most fundamental contribution to be the development of the remedial constructive trust as a means by which the unjust enrichment of a defendant may be avoided. Late 19th and 20th century courts faced the arduous task of making sense of the diverse branches of restitution and of creating some general principle upon which to ground restitutionary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found the required unifying principle in the concept of unjust enrichment. The American </w:t>
      </w:r>
      <w:r>
        <w:rPr>
          <w:rFonts w:ascii="arial" w:eastAsia="arial" w:hAnsi="arial" w:cs="arial"/>
          <w:i/>
          <w:color w:val="000000"/>
          <w:sz w:val="20"/>
          <w:lang w:val="en-US" w:eastAsia="en-US" w:bidi="ar-SA"/>
        </w:rPr>
        <w:t>Restatement of the Law of Restitution: Quasi Contracts and Constructive Trusts</w:t>
      </w:r>
      <w:r>
        <w:rPr>
          <w:rFonts w:ascii="arial" w:eastAsia="arial" w:hAnsi="arial" w:cs="arial"/>
          <w:color w:val="000000"/>
          <w:sz w:val="20"/>
          <w:lang w:val="en-US" w:eastAsia="en-US" w:bidi="ar-SA"/>
        </w:rPr>
        <w:t xml:space="preserve"> (1937) states the principle simply at p. 12: "A person who has been unjustly enriched at the expense of another is required to make restitution to the other." A leading commonwealth text offers the following elaboration: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[Unjust enrichment] presupposes three things: first, that the defendant has been enriched by the receipt of </w:t>
      </w:r>
      <w:r>
        <w:rPr>
          <w:rFonts w:ascii="arial" w:eastAsia="arial" w:hAnsi="arial" w:cs="arial"/>
          <w:i/>
          <w:color w:val="000000"/>
          <w:sz w:val="20"/>
          <w:lang w:val="en-US" w:eastAsia="en-US" w:bidi="ar-SA"/>
        </w:rPr>
        <w:t>a benefit</w:t>
      </w:r>
      <w:r>
        <w:rPr>
          <w:rFonts w:ascii="arial" w:eastAsia="arial" w:hAnsi="arial" w:cs="arial"/>
          <w:color w:val="000000"/>
          <w:sz w:val="20"/>
          <w:lang w:val="en-US" w:eastAsia="en-US" w:bidi="ar-SA"/>
        </w:rPr>
        <w:t xml:space="preserve">; secondly, that he has been so enriched </w:t>
      </w:r>
      <w:r>
        <w:rPr>
          <w:rFonts w:ascii="arial" w:eastAsia="arial" w:hAnsi="arial" w:cs="arial"/>
          <w:i/>
          <w:color w:val="000000"/>
          <w:sz w:val="20"/>
          <w:lang w:val="en-US" w:eastAsia="en-US" w:bidi="ar-SA"/>
        </w:rPr>
        <w:t>at the plaintiff's expense</w:t>
      </w:r>
      <w:r>
        <w:rPr>
          <w:rFonts w:ascii="arial" w:eastAsia="arial" w:hAnsi="arial" w:cs="arial"/>
          <w:color w:val="000000"/>
          <w:sz w:val="20"/>
          <w:lang w:val="en-US" w:eastAsia="en-US" w:bidi="ar-SA"/>
        </w:rPr>
        <w:t xml:space="preserve">; and thirdly, that it would seem </w:t>
      </w:r>
      <w:r>
        <w:rPr>
          <w:rFonts w:ascii="arial" w:eastAsia="arial" w:hAnsi="arial" w:cs="arial"/>
          <w:i/>
          <w:color w:val="000000"/>
          <w:sz w:val="20"/>
          <w:lang w:val="en-US" w:eastAsia="en-US" w:bidi="ar-SA"/>
        </w:rPr>
        <w:t>unjust</w:t>
      </w:r>
      <w:r>
        <w:rPr>
          <w:rFonts w:ascii="arial" w:eastAsia="arial" w:hAnsi="arial" w:cs="arial"/>
          <w:color w:val="000000"/>
          <w:sz w:val="20"/>
          <w:lang w:val="en-US" w:eastAsia="en-US" w:bidi="ar-SA"/>
        </w:rPr>
        <w:t xml:space="preserve"> to allow him to retain the benefit. [Emphasis in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(Goff and Jones,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xml:space="preserve"> (3rd ed. 1986), at p.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three requirements, somewhat differently articulated, have been recognized as the basis of the action for unjust enrichment by this Court: e.g., </w:t>
      </w:r>
      <w:r>
        <w:rPr>
          <w:rFonts w:ascii="arial" w:eastAsia="arial" w:hAnsi="arial" w:cs="arial"/>
          <w:i/>
          <w:color w:val="000000"/>
          <w:sz w:val="20"/>
          <w:lang w:val="en-US" w:eastAsia="en-US" w:bidi="ar-SA"/>
        </w:rPr>
        <w:t>Pettkus v. Becker,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heart of the doctrine of unjust enrichment, whether expressed in terms of the traditional categories of recovery or general principle, lies the notion of restoration of a benefit which justice does not permit one to retain. As Goff and Jones,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put it at p. 12: "Most mature systems of law have found it necessary to provide, outside the fields of contract and civil wrongs, for the restoration of benefits on grounds of unjust enrichment". Thus for recovery to lie, something must have been given, whether goods, services or money. The thing which is given must have been received and retained by the defendant. And the retention must be without juristic justification, to quote Dickson J. in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tri-partite principle of general application which this Court has recognized as the basis of the cause of action for unjust enrichment is thus seen to have grown out of the traditional categories of recovery. It is informed by them. It is capable, however, of going beyond them, allowing the law to develop in a flexible way as required to meet changing perceptions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from this that the traditional categories of recovery, while instructive, are not the final determinants of whether a claim lies. In most cases, the traditional categories of recovery can be reconciled with the general principles enunciated in </w:t>
      </w:r>
      <w:r>
        <w:rPr>
          <w:rFonts w:ascii="arial" w:eastAsia="arial" w:hAnsi="arial" w:cs="arial"/>
          <w:i/>
          <w:color w:val="000000"/>
          <w:sz w:val="20"/>
          <w:lang w:val="en-US" w:eastAsia="en-US" w:bidi="ar-SA"/>
        </w:rPr>
        <w:t>Pettkus v. Becker, supra</w:t>
      </w:r>
      <w:r>
        <w:rPr>
          <w:rFonts w:ascii="arial" w:eastAsia="arial" w:hAnsi="arial" w:cs="arial"/>
          <w:color w:val="000000"/>
          <w:sz w:val="20"/>
          <w:lang w:val="en-US" w:eastAsia="en-US" w:bidi="ar-SA"/>
        </w:rPr>
        <w:t>. But new situations can arise which do not fit into an established category of recovery but nevertheless merit recognition on the basis of the general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McLachlin J. then went on to state at p. 797 that the benefit conferred must not be merely incidental: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not much discussed by common law authorities to date, it appears that a further feature which the benefit must possess if it is to support a claim for unjust enrichment, is that it be more than an incidental blow-by. A secondary collateral benefit will not suffice. To permit recovery for incidental collateral benefits would be to admit of the possibility that a plaintiff could recover twice -- once from the person who is the immediate beneficiary of the payment or benefit (the parents of the juveniles placed in group homes in this case), and again from the person who reaped an incidental benefit. See, for example, Fridman and McLeod,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361; Maddaugh and McCamus,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717; and, Gautreau,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265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xml:space="preserve"> It would also open the doors to claims against an undefined class of persons who, while not the recipients of the payment or work conferred by the plaintiff, indirectly benefit from it. This the courts have declined to do. The cases in which claims for unjust enrichment have been made out generally deal with benefits conferred directly and specifically on the defendant, such as the services rendered for the defendant or money paid to the defendant. This limit is also recognized in other jurisdictions. For example, German restitutionary law confines recovery to cases of direct benefits: Zwiegert and Kötz, </w:t>
      </w:r>
      <w:r>
        <w:rPr>
          <w:rFonts w:ascii="arial" w:eastAsia="arial" w:hAnsi="arial" w:cs="arial"/>
          <w:i/>
          <w:color w:val="000000"/>
          <w:sz w:val="20"/>
          <w:lang w:val="en-US" w:eastAsia="en-US" w:bidi="ar-SA"/>
        </w:rPr>
        <w:t>Introduction to Comparative Law</w:t>
      </w:r>
      <w:r>
        <w:rPr>
          <w:rFonts w:ascii="arial" w:eastAsia="arial" w:hAnsi="arial" w:cs="arial"/>
          <w:color w:val="000000"/>
          <w:sz w:val="20"/>
          <w:lang w:val="en-US" w:eastAsia="en-US" w:bidi="ar-SA"/>
        </w:rPr>
        <w:t>, vol. II (2nd ed. 1987), at pp. 234-35.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class has been deprived by payment of illegal fees. Each of the defendants has been enriched by some portion of those fees, because the vast majority of the Instaloans business in B.C. was payday loans, the net income from the Storefront Lenders was paid to the Head Office Companies for "contract services", and Latimer and Arcand received salary and bonuses from the non-lender companies. (Indeed, the defendants do not argue that they did not receive some portion of the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Is there a juristic reason for the deprivation?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only one defendant was involved in the payday lending business. A OK received the illegal interest and was unjustly enriched. Is there a difference if a group of related entities collectively pursues the payday lending business with one or more entities making the loans, other entities hiring and providing the employees and head office services, and receiving a portion of the illegal interest for doing so, with those entities in turn passing on a portion of the illegal interest to the companies' principals for their work in directing the entire operation? In my view, there can be no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benefit received by the Head Office Companies was not incidental or secondary. Each of the entities involved is impressed with the knowledge of its principals, Latimer and Arcand, that the Storefront Lenders were in the business of providing loans and receiving interest at a criminal rate. Each would know that the fees or salary and bonuses that it received were simply some portion of the illegal interest, passed on from the Storefront Lender. The contracts to receive these payments cannot form a juristic reason for their enrichment any more than the contracts with the borrowers forms a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Our courts have permitted restitution against those who did not directly receive payment: </w:t>
      </w:r>
      <w:r>
        <w:rPr>
          <w:rFonts w:ascii="arial" w:eastAsia="arial" w:hAnsi="arial" w:cs="arial"/>
          <w:b/>
          <w:i/>
          <w:color w:val="000000"/>
          <w:sz w:val="20"/>
          <w:lang w:val="en-US" w:eastAsia="en-US" w:bidi="ar-SA"/>
        </w:rPr>
        <w:t>Empire Life Insurance Co. v. Neufeld Estate</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(1998), 4 C.C.L.I. (3d) 278</w:t>
        </w:r>
      </w:hyperlink>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22 E.T.R. (2d) 207</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Rotman v. Cameron</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[1999] O.J. No. 17</w:t>
        </w:r>
      </w:hyperlink>
      <w:r>
        <w:rPr>
          <w:rFonts w:ascii="arial" w:eastAsia="arial" w:hAnsi="arial" w:cs="arial"/>
          <w:color w:val="000000"/>
          <w:sz w:val="20"/>
          <w:lang w:val="en-US" w:eastAsia="en-US" w:bidi="ar-SA"/>
        </w:rPr>
        <w:t xml:space="preserve"> (Ont. Gen. Div.) (QL). This issue was specifically addressed in </w:t>
      </w:r>
      <w:r>
        <w:rPr>
          <w:rFonts w:ascii="arial" w:eastAsia="arial" w:hAnsi="arial" w:cs="arial"/>
          <w:b/>
          <w:i/>
          <w:color w:val="000000"/>
          <w:sz w:val="20"/>
          <w:lang w:val="en-US" w:eastAsia="en-US" w:bidi="ar-SA"/>
        </w:rPr>
        <w:t>Smith v. National Money Mart Co.</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(2006), 80 O.R. (3d) 81</w:t>
        </w:r>
      </w:hyperlink>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266 D.L.R. (4th) 275</w:t>
        </w:r>
      </w:hyperlink>
      <w:r>
        <w:rPr>
          <w:rFonts w:ascii="arial" w:eastAsia="arial" w:hAnsi="arial" w:cs="arial"/>
          <w:color w:val="000000"/>
          <w:sz w:val="20"/>
          <w:lang w:val="en-US" w:eastAsia="en-US" w:bidi="ar-SA"/>
        </w:rPr>
        <w:t xml:space="preserve"> (C.A.). There the Ontario Court of Appeal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there was evidence in the record to show that the appellant was not merely the ultimate parent of Money Mart, but that it was enriched by receiving substantial royalties and management fees based on its contribution to the pay-day loan portion of Money Mart's business, that the respondent suffered a deprivation and that the enrichment was unlawful. It is therefore arguable that </w:t>
      </w:r>
      <w:r>
        <w:rPr>
          <w:rFonts w:ascii="arial" w:eastAsia="arial" w:hAnsi="arial" w:cs="arial"/>
          <w:i/>
          <w:color w:val="000000"/>
          <w:sz w:val="20"/>
          <w:lang w:val="en-US" w:eastAsia="en-US" w:bidi="ar-SA"/>
        </w:rPr>
        <w:t>Boulanger</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[2003] O.J. No. 2218</w:t>
        </w:r>
      </w:hyperlink>
      <w:r>
        <w:rPr>
          <w:rFonts w:ascii="arial" w:eastAsia="arial" w:hAnsi="arial" w:cs="arial"/>
          <w:color w:val="000000"/>
          <w:sz w:val="20"/>
          <w:lang w:val="en-US" w:eastAsia="en-US" w:bidi="ar-SA"/>
        </w:rPr>
        <w:t>, is distinguishable on the facts, and that there is a good, arguable case that Dollar Financial was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the issue before the Ontario Court of Appeal was whether the claimant had made out a good arguable case, and did not determine the issue, the court clearly recognized that a claim against secondary recipients was viable in circumstances virtually identical to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 the defendants hold the benefit in trust? Are they liable to account for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at para. 47,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w:t>
      </w:r>
      <w:r>
        <w:rPr>
          <w:rFonts w:ascii="arial" w:eastAsia="arial" w:hAnsi="arial" w:cs="arial"/>
          <w:b/>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the Court clarified that constructive trusts may be seen as falling into two general categories: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category concerns property obtained by a wrongful act of the defendant, notably breach of fiduciary obligation or breach of duty of loyalty. ... The second category concerns situations where the defendant has not acted wrongfully in obtaining the property, but where he would be unjustly enriched to the plaintiff's detriment by being permitted to keep the property for himself.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Common to both is the unifying concept underlying the doctrine of constructive trust, good conscience: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constructive trust may be imposed where good conscience so requires. The inquiry into good conscience is informed by the situations where constructive trusts have been recognized in the past. It is also informed by the dual reasons for which constructive trusts have traditionally been imposed: to do justice between the parties and to maintain the integrity of institutions dependent on trust-like relationships. Finally, it is informed by the absence of an indication that a constructive trust would have an unfair or unjust effect on the defendant or third parties, matters which equity has always taken into account. Equitable remedies are flexible; their award is based on what is just in all the circumstances of the case. (para.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plaintiff submits that both grounds exist in this case to find a constructive trust. Given my conclusion under the preceding question, it is clear that the plaintiff has established unjust enrichment, in an amount equal to interest paid in excess of the lawful limit. It is less clear, however, whether it has established that a constructive trust may be available on the basis that A OK engaged in wrongful conduct. The plaintiff claims that this arises out of A OK's wrongful act of collecting payments that were illegal under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 constructive trust will, however, arise as a result of wrongful conduct only if the test set out in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xml:space="preserve"> is met. That test provides the following:</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show a legitimate reason for seeking a proprietary remedy, either personal or related to the need to ensure that others like the defendant remain faithful to their duties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factors which would render imposition of a constructive trust unjust in all the circumstances of the case; e.g., the interests of intervening creditors must be protected. (para. 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With respect to a constructive trust founded on unjust enrichment, Professor Waters, in </w:t>
      </w:r>
      <w:r>
        <w:rPr>
          <w:rFonts w:ascii="arial" w:eastAsia="arial" w:hAnsi="arial" w:cs="arial"/>
          <w:i/>
          <w:color w:val="000000"/>
          <w:sz w:val="20"/>
          <w:lang w:val="en-US" w:eastAsia="en-US" w:bidi="ar-SA"/>
        </w:rPr>
        <w:t>Waters' Law of Trusts in Canada 3rd Ed.,</w:t>
      </w:r>
      <w:r>
        <w:rPr>
          <w:rFonts w:ascii="arial" w:eastAsia="arial" w:hAnsi="arial" w:cs="arial"/>
          <w:color w:val="000000"/>
          <w:sz w:val="20"/>
          <w:lang w:val="en-US" w:eastAsia="en-US" w:bidi="ar-SA"/>
        </w:rPr>
        <w:t xml:space="preserve"> (Toronto: Thomson, 2005) clarifies at 469 that there is a two stage inquiry: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defendant is required to make restitution of an unjust enrichment, this can be achieved in different ways. The defendant might be required to pay a sum of money measured by the value of the defective transfer; or he might be required to return the enrichment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This second possibility is usually activated by the constructive trust. So there are two steps. The liability in unjust enrichment is established by the proof of the three elements of the cause of action. There then follows a second inquiry, into how restitution should be made. The same issue arises where a defendant is required to disgorge the profits of a wrongful act. He could be ordered to pay a sum of money, or he could be declared to be a constructive trustee of the 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inquiry required at this second stage is discussed in </w:t>
      </w:r>
      <w:r>
        <w:rPr>
          <w:rFonts w:ascii="arial" w:eastAsia="arial" w:hAnsi="arial" w:cs="arial"/>
          <w:b/>
          <w:i/>
          <w:color w:val="000000"/>
          <w:sz w:val="20"/>
          <w:lang w:val="en-US" w:eastAsia="en-US" w:bidi="ar-SA"/>
        </w:rPr>
        <w:t>Peter v. Beblow</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There, the Court held that once the three elements of unjust enrichment are made 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is established and the right to claim relief made out. At this point, a second doctrinal concern arises: the nature of the remedy. "Unjust enrichment" in equity permitted a number of remedies, depending on the circumstances. One was a payment for services rendered on the basis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quantum valebat</w:t>
      </w:r>
      <w:r>
        <w:rPr>
          <w:rFonts w:ascii="arial" w:eastAsia="arial" w:hAnsi="arial" w:cs="arial"/>
          <w:color w:val="000000"/>
          <w:sz w:val="20"/>
          <w:lang w:val="en-US" w:eastAsia="en-US" w:bidi="ar-SA"/>
        </w:rPr>
        <w:t xml:space="preserve">. Another equitable remedy, available traditionally where one person was possessed of legal title to property in which another had an interest, was the constructive trust. While the first remedy to be considered was a monetary award, the Canadian jurisprudence recognized that in some cases it might be insufficient. This may occur, to quote La Forest J. in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p. 678, "if there is reason to grant to the plaintiff the additional rights that flow from recognition of a right of property". Or to quote Dickson J., as he then was, in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at p. 852, where there is a "contribution [to the property] sufficiently substantial and direct as to entitle [the plaintiff] to a portion of the profits realized upon sale of [the property]." In other words, the remedy of constructive trust arises, where monetary damages are inadequate and where there is a link between the contribution that founds the action and the property in which the constructive trust is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A second inquiry is also required when a constructive trust is sought on the basis of wrongful conduct. 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LaForest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vast majority of cases a constructive trust will not be the appropriate remedy. ... a constructive trust should only be awarded if there is reason to grant to the plaintiff the additional rights that flow from recognition of a right of property. (at 678)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As noted above, in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the Court held that a trust would only be available where it would not, in all the circumstances of the case, be unjust to the interests of third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the present case, I am unable to conclude on the argument and evidence currently before me whether a monetary award is inadequate or whether there is a reason to grant to the plaintiff the additional rights that flow from a constructive trust. Nor, am I able to determine whether a constructive trust in these circumstances would have an unfair effect on the defendant or third parties. The equities in this case may favour a remedy of constructive trust, but it may be more appropriate to order an accounting and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there was one defendant, who may be able to satisfy a monetary award, in which case a constructive trust may not be necessary or appropriate. Here, given the movement of assets between corporate entities, and the apparent lack of assets now, it may be that a constructive trust, which would permit the plaintiffs to trace assets, is the only meaningful remedy available to them. However, I am not satisfied that this is necessarily so. For example, the individual defendants may have sufficient assets to satisfy a monetary award (based on joint and several liability, Common Issue (m)) which would obviate the need for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While most restitutionary claims result in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judgment for the value of benefits received by the defendant, the constructive trust is a general remedial device for unjust enrichment. As the British Columbia Court of Appeal indicated in </w:t>
      </w:r>
      <w:r>
        <w:rPr>
          <w:rFonts w:ascii="arial" w:eastAsia="arial" w:hAnsi="arial" w:cs="arial"/>
          <w:b/>
          <w:i/>
          <w:color w:val="000000"/>
          <w:sz w:val="20"/>
          <w:lang w:val="en-US" w:eastAsia="en-US" w:bidi="ar-SA"/>
        </w:rPr>
        <w:t>Alers-Hankey v. Teixeira</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2006 BCCA 224</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267 D.L.R. (4th) 620</w:t>
        </w:r>
      </w:hyperlink>
      <w:r>
        <w:rPr>
          <w:rFonts w:ascii="arial" w:eastAsia="arial" w:hAnsi="arial" w:cs="arial"/>
          <w:color w:val="000000"/>
          <w:sz w:val="20"/>
          <w:lang w:val="en-US" w:eastAsia="en-US" w:bidi="ar-SA"/>
        </w:rPr>
        <w:t xml:space="preserve"> at paras. 24 and 34, equity is flexible in designing an appropriate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Equity as a court of conscience directs itself to the behaviour of the person who misconducts himself.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Supreme Court [has] endor[sed] "flexibility" and "common sense" in recent decisions where equity has been called upon to police the conscience of a commercial wrong-doer.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found that the constructive trustees should disgorge not only the constructive trust property, but any gains on receipt of that property by which they were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117 D.L.R. (3d) 257</w:t>
        </w:r>
      </w:hyperlink>
      <w:r>
        <w:rPr>
          <w:rFonts w:ascii="arial" w:eastAsia="arial" w:hAnsi="arial" w:cs="arial"/>
          <w:color w:val="000000"/>
          <w:sz w:val="20"/>
          <w:lang w:val="en-US" w:eastAsia="en-US" w:bidi="ar-SA"/>
        </w:rPr>
        <w:t>, Dickson J. (as he then was) said, at p. 847-848: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of unjust enrichment lies at the heart of the constructive trust. "Unjust enrichment" has played a role in Anglo-American legal writing for centuries. Lord Mansfield, in </w:t>
      </w:r>
      <w:r>
        <w:rPr>
          <w:rFonts w:ascii="arial" w:eastAsia="arial" w:hAnsi="arial" w:cs="arial"/>
          <w:i/>
          <w:color w:val="000000"/>
          <w:sz w:val="20"/>
          <w:lang w:val="en-US" w:eastAsia="en-US" w:bidi="ar-SA"/>
        </w:rPr>
        <w:t>Moses v. Macferlan</w:t>
      </w:r>
      <w:r>
        <w:rPr>
          <w:rFonts w:ascii="arial" w:eastAsia="arial" w:hAnsi="arial" w:cs="arial"/>
          <w:color w:val="000000"/>
          <w:sz w:val="20"/>
          <w:lang w:val="en-US" w:eastAsia="en-US" w:bidi="ar-SA"/>
        </w:rPr>
        <w:t xml:space="preserve">, 97 E.R. 676, put the matter in these words: "... the gist of this kind of action is, that the defendant, upon the circumstances of the case, is </w:t>
      </w:r>
      <w:r>
        <w:rPr>
          <w:rFonts w:ascii="arial" w:eastAsia="arial" w:hAnsi="arial" w:cs="arial"/>
          <w:i/>
          <w:color w:val="000000"/>
          <w:sz w:val="20"/>
          <w:lang w:val="en-US" w:eastAsia="en-US" w:bidi="ar-SA"/>
        </w:rPr>
        <w:t>obliged by the ties of natural justice and equity to refund</w:t>
      </w:r>
      <w:r>
        <w:rPr>
          <w:rFonts w:ascii="arial" w:eastAsia="arial" w:hAnsi="arial" w:cs="arial"/>
          <w:color w:val="000000"/>
          <w:sz w:val="20"/>
          <w:lang w:val="en-US" w:eastAsia="en-US" w:bidi="ar-SA"/>
        </w:rPr>
        <w:t xml:space="preserve"> the money". ... The great advantage of ancient principles of equity is their flexibility: the judiciary is thus able to shape these malleable principles so as to accommodate the changing needs and mores of society, in order to achieve justice. The constructive trust has proven to be a useful tool in the judicial armoury.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Finally, as Professors Maddaugh and McCamus note in </w:t>
      </w:r>
      <w:r>
        <w:rPr>
          <w:rFonts w:ascii="arial" w:eastAsia="arial" w:hAnsi="arial" w:cs="arial"/>
          <w:b/>
          <w:i/>
          <w:color w:val="000000"/>
          <w:sz w:val="20"/>
          <w:lang w:val="en-US" w:eastAsia="en-US" w:bidi="ar-SA"/>
        </w:rPr>
        <w:t>The Law of Restitution</w:t>
      </w:r>
      <w:r>
        <w:rPr>
          <w:rFonts w:ascii="arial" w:eastAsia="arial" w:hAnsi="arial" w:cs="arial"/>
          <w:color w:val="000000"/>
          <w:sz w:val="20"/>
          <w:lang w:val="en-US" w:eastAsia="en-US" w:bidi="ar-SA"/>
        </w:rPr>
        <w:t>, loose leaf (Aurora, Ont.: Canada Law Book, 2007) at 5-31, the constructive trust is often used to prevent wrongdoers from enjoying the profits of their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are other issues regarding the parameters of a constructive trust, were one to be ordered. For example, from which date should the constructive trust be imposed? See </w:t>
      </w:r>
      <w:r>
        <w:rPr>
          <w:rFonts w:ascii="arial" w:eastAsia="arial" w:hAnsi="arial" w:cs="arial"/>
          <w:b/>
          <w:i/>
          <w:color w:val="000000"/>
          <w:sz w:val="20"/>
          <w:lang w:val="en-US" w:eastAsia="en-US" w:bidi="ar-SA"/>
        </w:rPr>
        <w:t>Atlas Cabinets &amp; Furniture Ltd. v. National Trust Co.</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(1990), 68 D.L.R. (4th) 161</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45 B.C.L.R. (2d) 99</w:t>
        </w:r>
      </w:hyperlink>
      <w:r>
        <w:rPr>
          <w:rFonts w:ascii="arial" w:eastAsia="arial" w:hAnsi="arial" w:cs="arial"/>
          <w:color w:val="000000"/>
          <w:sz w:val="20"/>
          <w:lang w:val="en-US" w:eastAsia="en-US" w:bidi="ar-SA"/>
        </w:rPr>
        <w:t xml:space="preserve"> (C.A.). The existence of third parties who may be affected by the constructive trust order may be a basis for application of judicial discretion with respect to the timing of the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Similar issues arise with respect to an order for an accounting of profits. See </w:t>
      </w:r>
      <w:r>
        <w:rPr>
          <w:rFonts w:ascii="arial" w:eastAsia="arial" w:hAnsi="arial" w:cs="arial"/>
          <w:b/>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[2005] 5 W.W.R. 108</w:t>
        </w:r>
      </w:hyperlink>
      <w:r>
        <w:rPr>
          <w:rFonts w:ascii="arial" w:eastAsia="arial" w:hAnsi="arial" w:cs="arial"/>
          <w:color w:val="000000"/>
          <w:sz w:val="20"/>
          <w:lang w:val="en-US" w:eastAsia="en-US" w:bidi="ar-SA"/>
        </w:rPr>
        <w:t xml:space="preserve"> at paras. 50-58.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I am satisfied that the court will provide a remedy where defendants have been unjustly enriched at the plaintiffs' expense, I am not satisfied of the particular form that the relief should take in this instance. I note the two stage process referred to by Professor Waters and others and request the parties to appear before me with more detailed submissions regarding relief: specifically, what particular order(s) should be made and why. This may require further evidence. It may require detailed evidence from the defendants. It is the defendants who know what they received, what they did with it, and whether they can satisfy a monetary judgment. If such an accounting cannot be obtained without a constructive trust, that may be a reason to order a constructive trust. Again, I request that the parties address me further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Does the provision by the Instaloans defendants of loans that offend s. 347(1) of the Criminal Code, or the receipt by the Instaloans defendants of interest at a criminal rate, constitute an unconscionable act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This issue, as it concerns the Storefront Lenders, was addressed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The same reasoning applies here as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and I adopt my reasons there at paras. 54-66, and those of the Court of Appeal at paras. 26-28. As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I conclude that, as regards the Storefront Lenders, in the circumstances of this case (small short-term loans to consumers using standard form contracts) when the defendants' contracts contravene s.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they are unconscionable, inequitable, and therefore, in contravention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accept the defendants' submissions with respect to the Head Office Companies and individual defendants. The operative sections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are concerned with unconscionable practices of "suppliers". Supplier is defined in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whether in British Columbia or not, who in the course of business participates in a consumer transaction by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goods or services or real property to a consumer, or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offering, advertising or promoting with respect to a transaction referred to in paragraph (a) of the definition of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privity of contract exists between that person and the consumer, and includes the successor to, and assignee of, any rights or obligations of that person and, except in Parts 3 to 5 </w:t>
      </w:r>
      <w:r>
        <w:rPr>
          <w:rFonts w:ascii="arial" w:eastAsia="arial" w:hAnsi="arial" w:cs="arial"/>
          <w:i/>
          <w:color w:val="000000"/>
          <w:sz w:val="20"/>
          <w:lang w:val="en-US" w:eastAsia="en-US" w:bidi="ar-SA"/>
        </w:rPr>
        <w:t>[Rights of Assignees and Guarantors Respecting Consumer Credit; Consumer Contracts; Disclosure of the Cost of Consumer Credit]</w:t>
      </w:r>
      <w:r>
        <w:rPr>
          <w:rFonts w:ascii="arial" w:eastAsia="arial" w:hAnsi="arial" w:cs="arial"/>
          <w:color w:val="000000"/>
          <w:sz w:val="20"/>
          <w:lang w:val="en-US" w:eastAsia="en-US" w:bidi="ar-SA"/>
        </w:rPr>
        <w:t>, includes a person who solicits a consumer for a contribution of money or other property by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in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person, whether in British Columbia or not, ... who in the course of the person's business solicits, offers, advertises ... a consumer transaction, whether or not privity of contract exists between that person and the consumer, and includes the successor to, and assignee of, any rights or obligations of the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Head Office Companies and individual defendants do not come within the definition of supplier in either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Nor do ss. 164(5) and 189(8)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apply. Section 164 addresses administrative penalties, and s. 189 addresses offences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Neither is in issue here, and these sections cannot be read to attach liability for unconscionable acts of a supplier to the directors and officers of a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Are the defendants liable for damages to those who have suffered any loss or damage because of the unconscionable act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plaintiffs seek a declaration that those who have suffered damage are entitled to damages. In my view, this is premature. I have found an unconscionable practice but, as yet, have no basis to determine damages, or whether a damage award is appropriate. Certainly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contemplate such an award, but, as I stated in </w:t>
      </w:r>
      <w:r>
        <w:rPr>
          <w:rFonts w:ascii="arial" w:eastAsia="arial" w:hAnsi="arial" w:cs="arial"/>
          <w:b/>
          <w:i/>
          <w:color w:val="000000"/>
          <w:sz w:val="20"/>
          <w:lang w:val="en-US" w:eastAsia="en-US" w:bidi="ar-SA"/>
        </w:rPr>
        <w:t>Kilroy</w:t>
      </w:r>
      <w:r>
        <w:rPr>
          <w:rFonts w:ascii="arial" w:eastAsia="arial" w:hAnsi="arial" w:cs="arial"/>
          <w:color w:val="000000"/>
          <w:sz w:val="20"/>
          <w:lang w:val="en-US" w:eastAsia="en-US" w:bidi="ar-SA"/>
        </w:rPr>
        <w:t xml:space="preserve"> at para. 71, "I am not able to determine on the evidence and argument before me whether members of the class are entitled to damages, rather than, or in addition to, restitution, or one of the other remedies provided by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Did the Instaloans defendants, Latimer and Arcand (or any combination thereof) conspire to implement a scheme to provide the loans to class members in order to earn profits on the class loans at an unlawful rate of interest? Are they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plaintiffs argue that the defendants are liable for the tort of civil conspiracy. They rely on the law as set out by the Supreme Court of Canada in </w:t>
      </w:r>
      <w:r>
        <w:rPr>
          <w:rFonts w:ascii="arial" w:eastAsia="arial" w:hAnsi="arial" w:cs="arial"/>
          <w:b/>
          <w:i/>
          <w:color w:val="000000"/>
          <w:sz w:val="20"/>
          <w:lang w:val="en-US" w:eastAsia="en-US" w:bidi="ar-SA"/>
        </w:rPr>
        <w:t>Canada Cement LaFarge Ltd. v. British Columbia Lightweight Aggregate Ltd.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471-472, </w:t>
      </w:r>
      <w:hyperlink r:id="rId153" w:history="1">
        <w:r>
          <w:rPr>
            <w:rFonts w:ascii="arial" w:eastAsia="arial" w:hAnsi="arial" w:cs="arial"/>
            <w:i/>
            <w:color w:val="0077CC"/>
            <w:sz w:val="20"/>
            <w:u w:val="single"/>
            <w:shd w:val="clear" w:color="auto" w:fill="FFFFFF"/>
            <w:lang w:val="en-US" w:eastAsia="en-US" w:bidi="ar-SA"/>
          </w:rPr>
          <w:t>145 D.L.R. (3d) 385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has caused injury to the plaintiff, the law of torts does recognize a claim against them in combination as the tort of conspiracy if:</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Here, the plaintiffs say that the defendants have engaged in the second type of conspiracy: they have provided loans at an unlawful rate of interest for the purpose of earning the profit and, in doing so, have caused injury to the plaintiffs. They say that they must establish:</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to carry out a common design by unlawful means;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conduct is directed toward the plaintiff class, and the defendants should know in the circumstances that injury to the plaintiff class is likely to and does result;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plaintiff class caused by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plaintiffs say that there was an agreement to carry out a common design by unlawful means, that Latimer and Arcand agreed to carry on the Instaloans business and formed a plan to do so. They were of the view, when they formed the Instaloans business, that they would need to charge fees in addition to interest in order to make a profit. They knew that the maximum rate of interest was 60% per annum. The plaintiffs say that from the very start of the Instaloans business in British Columbia, Instaloans' standard form loan agreement required the payment of Finance Charges, which, if interest under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were unlawful. The plaintiffs say that all of the Instaloans defendants were parties to the conspiracy: the Storefront Lenders provided the loans and the Head Office Companies provided the management and staff. The Instaloans defendants agreed to carry out their respective roles in the Instaloans business through a series of administration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They say that even if the defendants were not aware that the fees charged made the loans unlawful, ignorance of the law is no defence. As was stated in </w:t>
      </w:r>
      <w:r>
        <w:rPr>
          <w:rFonts w:ascii="arial" w:eastAsia="arial" w:hAnsi="arial" w:cs="arial"/>
          <w:b/>
          <w:i/>
          <w:color w:val="000000"/>
          <w:sz w:val="20"/>
          <w:lang w:val="en-US" w:eastAsia="en-US" w:bidi="ar-SA"/>
        </w:rPr>
        <w:t>Belmont Finance Corporation v. Williams Furniture Ltd. and others (No. 2)</w:t>
      </w:r>
      <w:r>
        <w:rPr>
          <w:rFonts w:ascii="arial" w:eastAsia="arial" w:hAnsi="arial" w:cs="arial"/>
          <w:color w:val="000000"/>
          <w:sz w:val="20"/>
          <w:lang w:val="en-US" w:eastAsia="en-US" w:bidi="ar-SA"/>
        </w:rPr>
        <w:t>, [1980] 1 All E.R. 393 at 404 (C.A.) (</w:t>
      </w:r>
      <w:r>
        <w:rPr>
          <w:rFonts w:ascii="arial" w:eastAsia="arial" w:hAnsi="arial" w:cs="arial"/>
          <w:b/>
          <w:i/>
          <w:color w:val="000000"/>
          <w:sz w:val="20"/>
          <w:lang w:val="en-US" w:eastAsia="en-US" w:bidi="ar-SA"/>
        </w:rPr>
        <w:t>Belmont</w:t>
      </w:r>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Churchill v. Walton</w:t>
      </w:r>
      <w:r>
        <w:rPr>
          <w:rFonts w:ascii="arial" w:eastAsia="arial" w:hAnsi="arial" w:cs="arial"/>
          <w:color w:val="000000"/>
          <w:sz w:val="20"/>
          <w:lang w:val="en-US" w:eastAsia="en-US" w:bidi="ar-SA"/>
        </w:rPr>
        <w:t>, [1967] 1 All E.R. 497 at 503 (H.L.), "If all of the facts which make the transaction unlawful are known to the parties, as I think they were, ignorance of the law will not excuse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say that the defendants knew the identity of each borrower before the loans were made and, therefore, the conduct is directed towards each member of the plaintiff class and the defendants should have known, in the circumstances, that injury to the plaintiff class was likely to and did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say that they have been injured by the collection of interest at an unlawful rate and that, but for the unlawful conspiracy to carry on the Instaloans business, this harm would not have been caused to the plaintiffs and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plaintiffs say that the defendants are jointly and severally liable: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do not take issue with the proposition that conspirators are jointly and severally liable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argue that Latimer and Arcand were simply operating as directors, officers, and shareholders of the businesses, that there is no evidence that Latimer and Arcand intended to cause harm to any members of the plaintiff class and that there is no allegation that Latimer and Arcand were acting outside of their duties as directors and officers of the Storefront Lenders. They say that the consultations with federal and provincial governments show that the defendants did not intend to injure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have already dealt with the significance of the consultations with the federal and provincial governments above. While Latimer and Arcand (and the companies they directed) may have hoped or anticipated that the federal and provincial governments would introduce legislation/regulations that would permit the payday loans industry to charge interest and fees exceeding 60%, there was nothing in the consultations that indicated that s. 347 was not going to be applied to the payday loans industry. As in </w:t>
      </w:r>
      <w:r>
        <w:rPr>
          <w:rFonts w:ascii="arial" w:eastAsia="arial" w:hAnsi="arial" w:cs="arial"/>
          <w:b/>
          <w:i/>
          <w:color w:val="000000"/>
          <w:sz w:val="20"/>
          <w:lang w:val="en-US" w:eastAsia="en-US" w:bidi="ar-SA"/>
        </w:rPr>
        <w:t>Belmont</w:t>
      </w:r>
      <w:r>
        <w:rPr>
          <w:rFonts w:ascii="arial" w:eastAsia="arial" w:hAnsi="arial" w:cs="arial"/>
          <w:color w:val="000000"/>
          <w:sz w:val="20"/>
          <w:lang w:val="en-US" w:eastAsia="en-US" w:bidi="ar-SA"/>
        </w:rPr>
        <w:t>, all of the facts that make the transaction unlawful were known to the parties and their ignorance of the law (or belief that the law did not apply to them) will not excuse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defendants say that to find a conspiracy between directors of a corporation and that corporation, the directors must be regarded as acting in their separate personal capacities in entering into the alleged agreements, relying on </w:t>
      </w:r>
      <w:r>
        <w:rPr>
          <w:rFonts w:ascii="arial" w:eastAsia="arial" w:hAnsi="arial" w:cs="arial"/>
          <w:b/>
          <w:i/>
          <w:color w:val="000000"/>
          <w:sz w:val="20"/>
          <w:lang w:val="en-US" w:eastAsia="en-US" w:bidi="ar-SA"/>
        </w:rPr>
        <w:t>Hall-Chem Inc. v. Vulcan Packaging Inc.</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(1994), 12 B.L.R. (2d) 274</w:t>
        </w:r>
      </w:hyperlink>
      <w:r>
        <w:rPr>
          <w:rFonts w:ascii="arial" w:eastAsia="arial" w:hAnsi="arial" w:cs="arial"/>
          <w:color w:val="000000"/>
          <w:sz w:val="20"/>
          <w:lang w:val="en-US" w:eastAsia="en-US" w:bidi="ar-SA"/>
        </w:rPr>
        <w:t xml:space="preserve"> (Ont. Gen. Div.) (</w:t>
      </w:r>
      <w:r>
        <w:rPr>
          <w:rFonts w:ascii="arial" w:eastAsia="arial" w:hAnsi="arial" w:cs="arial"/>
          <w:b/>
          <w:i/>
          <w:color w:val="000000"/>
          <w:sz w:val="20"/>
          <w:lang w:val="en-US" w:eastAsia="en-US" w:bidi="ar-SA"/>
        </w:rPr>
        <w:t>Hall-Chem</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Hall-Chem</w:t>
      </w:r>
      <w:r>
        <w:rPr>
          <w:rFonts w:ascii="arial" w:eastAsia="arial" w:hAnsi="arial" w:cs="arial"/>
          <w:color w:val="000000"/>
          <w:sz w:val="20"/>
          <w:lang w:val="en-US" w:eastAsia="en-US" w:bidi="ar-SA"/>
        </w:rPr>
        <w:t>, a claim was made that the individual defendant, Belec, had conspired with two companies he controlled, Qualilab Marketing and Qualilab Industries, to cause Qualilab Marketing to cease to carry a line of business and transfer that business to Qualilab Industries to the injury of the plaintiff. The court found a conspiracy, saying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Belec was at all relevant times the directing and controlling mind of Marketing and Industries insofar as the transitional arrangements were concerned. He had an interest in the outcome of the arrangements as a shareholder in each company. This interest was separate from and in addition to his role as the president and a director of both companies and he should be regarded as acting in his separate personal capacity in the arrangements which were made with Marketing and Industries. The existence of an agreement among the three of them is to be inferred from the fact that the transfer of the business from Marketing to Industries could have been carried out only by the deliberate and concerted actions of all three parties, and it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Here, Latimer and Arcand each had an interest in the arrangements because they were shareholders (or shareholders of companies that were, in turn, shareholders) in each of the defendant companies. Their interest was separate from and in addition to their role as officers and directors of the companies. The arrangements that they caused the companies to enter into had the effect of benefiting Latimer and Arcand personally. Therefore, they must be seen as acting in their separate personal capacity in entering into the alleged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have satisfied me that the parties conspired, as they assert, and that the defendants would be jointly and severally liable for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Are Latimer and Arcand jointly and severally liable for the acts of the Instaloans defendants in advancing loans at a criminal rate and receiving interest at a criminal rate contrary to s. 347(1)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Here the plaintiffs argue that Latimer and Arcand are jointly and severally liable, and that the courts will lift the corporate veil in these types of circumstances, relying on </w:t>
      </w:r>
      <w:r>
        <w:rPr>
          <w:rFonts w:ascii="arial" w:eastAsia="arial" w:hAnsi="arial" w:cs="arial"/>
          <w:b/>
          <w:i/>
          <w:color w:val="000000"/>
          <w:sz w:val="20"/>
          <w:lang w:val="en-US" w:eastAsia="en-US" w:bidi="ar-SA"/>
        </w:rPr>
        <w:t>Rainham Chemical Works, Ltd. v. Belvedere Fish Guano Co.</w:t>
      </w:r>
      <w:r>
        <w:rPr>
          <w:rFonts w:ascii="arial" w:eastAsia="arial" w:hAnsi="arial" w:cs="arial"/>
          <w:color w:val="000000"/>
          <w:sz w:val="20"/>
          <w:lang w:val="en-US" w:eastAsia="en-US" w:bidi="ar-SA"/>
        </w:rPr>
        <w:t>, [1921] 2 A.C. 465 at 476 (H.L.) (</w:t>
      </w:r>
      <w:r>
        <w:rPr>
          <w:rFonts w:ascii="arial" w:eastAsia="arial" w:hAnsi="arial" w:cs="arial"/>
          <w:b/>
          <w:i/>
          <w:color w:val="000000"/>
          <w:sz w:val="20"/>
          <w:lang w:val="en-US" w:eastAsia="en-US" w:bidi="ar-SA"/>
        </w:rPr>
        <w:t>Rainham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company is formed for the express purpose of doing a wrongful act or if, when formed, those in control expressly direct that a wrongful thing be done, the individuals as well as the company are responsible for the consequences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They say that Latimer and Arcand formed the companies in British Columbia for the very purpose of providing loans on terms and collecting interest prohibited by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The companies operated at all times under the control of Latimer and Arcand and committed the criminal acts of providing loans on terms and collecting interest prohibited by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at the direction of Latimer and Arcand. The plaintiffs say that in these circumstances, Latimer and Arcand cannot invoke the separate legal personality of the corporate defendants to shield them from liability for their actions in causing the corporate defendants to commit the criminal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accept and rely on the characterization of the law in </w:t>
      </w:r>
      <w:r>
        <w:rPr>
          <w:rFonts w:ascii="arial" w:eastAsia="arial" w:hAnsi="arial" w:cs="arial"/>
          <w:b/>
          <w:i/>
          <w:color w:val="000000"/>
          <w:sz w:val="20"/>
          <w:lang w:val="en-US" w:eastAsia="en-US" w:bidi="ar-SA"/>
        </w:rPr>
        <w:t>Rainham.</w:t>
      </w:r>
      <w:r>
        <w:rPr>
          <w:rFonts w:ascii="arial" w:eastAsia="arial" w:hAnsi="arial" w:cs="arial"/>
          <w:color w:val="000000"/>
          <w:sz w:val="20"/>
          <w:lang w:val="en-US" w:eastAsia="en-US" w:bidi="ar-SA"/>
        </w:rPr>
        <w:t xml:space="preserve"> They say that the corporate veil should be lifted in rare and exceptional circumstances: where there is a finding of fraud or deceit directly against an officer or director; where the actions of a director or officer are tortious in and of themselves; where the director or officer formed a company for the purpose of doing a wrongful act, or directed a company to follow a deliberate policy of wrongdoing; or where the company is used as a cloak to cover fraud or improper conduct. They say that none of these circumstances applies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B.G. Preeco I (Pacific Coast) Ltd. v. Bond Street Holdings Ltd.</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(1989), 60 D.L.R. (4th) 30</w:t>
        </w:r>
      </w:hyperlink>
      <w:r>
        <w:rPr>
          <w:rFonts w:ascii="arial" w:eastAsia="arial" w:hAnsi="arial" w:cs="arial"/>
          <w:color w:val="000000"/>
          <w:sz w:val="20"/>
          <w:lang w:val="en-US" w:eastAsia="en-US" w:bidi="ar-SA"/>
        </w:rPr>
        <w:t xml:space="preserve"> at 38, </w:t>
      </w:r>
      <w:hyperlink r:id="rId715" w:history="1">
        <w:r>
          <w:rPr>
            <w:rFonts w:ascii="arial" w:eastAsia="arial" w:hAnsi="arial" w:cs="arial"/>
            <w:i/>
            <w:color w:val="0077CC"/>
            <w:sz w:val="20"/>
            <w:u w:val="single"/>
            <w:shd w:val="clear" w:color="auto" w:fill="FFFFFF"/>
            <w:lang w:val="en-US" w:eastAsia="en-US" w:bidi="ar-SA"/>
          </w:rPr>
          <w:t>37 B.C.L.R. (2d) 258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 xml:space="preserve">), the British Columbia Court of Appeal affirmed that a court may "pierce the corporate veil" on the ground of fraud or improper conduct in "instances where a corporation is used to effect a purpose or commit an act which the shareholder could not effect or commit". This statement was more recently applied by Brenner C.J.S.C. in </w:t>
      </w:r>
      <w:r>
        <w:rPr>
          <w:rFonts w:ascii="arial" w:eastAsia="arial" w:hAnsi="arial" w:cs="arial"/>
          <w:b/>
          <w:i/>
          <w:color w:val="000000"/>
          <w:sz w:val="20"/>
          <w:lang w:val="en-US" w:eastAsia="en-US" w:bidi="ar-SA"/>
        </w:rPr>
        <w:t>Re Bankruptcies of Down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2000 BCSC 1148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189 D.L.R. (4th) 709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Ontario Court of Appeal in </w:t>
      </w:r>
      <w:r>
        <w:rPr>
          <w:rFonts w:ascii="arial" w:eastAsia="arial" w:hAnsi="arial" w:cs="arial"/>
          <w:b/>
          <w:i/>
          <w:color w:val="000000"/>
          <w:sz w:val="20"/>
          <w:lang w:val="en-US" w:eastAsia="en-US" w:bidi="ar-SA"/>
        </w:rPr>
        <w:t>642947 Ontario Ltd. v. Fleischer</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(2001), 56 O.R. (3d) 417</w:t>
        </w:r>
      </w:hyperlink>
      <w:r>
        <w:rPr>
          <w:rFonts w:ascii="arial" w:eastAsia="arial" w:hAnsi="arial" w:cs="arial"/>
          <w:color w:val="000000"/>
          <w:sz w:val="20"/>
          <w:lang w:val="en-US" w:eastAsia="en-US" w:bidi="ar-SA"/>
        </w:rPr>
        <w:t xml:space="preserve"> at para. 68, </w:t>
      </w:r>
      <w:hyperlink r:id="rId716" w:history="1">
        <w:r>
          <w:rPr>
            <w:rFonts w:ascii="arial" w:eastAsia="arial" w:hAnsi="arial" w:cs="arial"/>
            <w:i/>
            <w:color w:val="0077CC"/>
            <w:sz w:val="20"/>
            <w:u w:val="single"/>
            <w:shd w:val="clear" w:color="auto" w:fill="FFFFFF"/>
            <w:lang w:val="en-US" w:eastAsia="en-US" w:bidi="ar-SA"/>
          </w:rPr>
          <w:t>209 D.L.R. (4th) 182</w:t>
        </w:r>
      </w:hyperlink>
      <w:r>
        <w:rPr>
          <w:rFonts w:ascii="arial" w:eastAsia="arial" w:hAnsi="arial" w:cs="arial"/>
          <w:color w:val="000000"/>
          <w:sz w:val="20"/>
          <w:lang w:val="en-US" w:eastAsia="en-US" w:bidi="ar-SA"/>
        </w:rPr>
        <w:t xml:space="preserve"> (C.A.), recently affirmed comments similar to those in </w:t>
      </w:r>
      <w:r>
        <w:rPr>
          <w:rFonts w:ascii="arial" w:eastAsia="arial" w:hAnsi="arial" w:cs="arial"/>
          <w:b/>
          <w:i/>
          <w:color w:val="000000"/>
          <w:sz w:val="20"/>
          <w:lang w:val="en-US" w:eastAsia="en-US" w:bidi="ar-SA"/>
        </w:rPr>
        <w:t>Rainham</w:t>
      </w:r>
      <w:r>
        <w:rPr>
          <w:rFonts w:ascii="arial" w:eastAsia="arial" w:hAnsi="arial" w:cs="arial"/>
          <w:color w:val="000000"/>
          <w:sz w:val="20"/>
          <w:lang w:val="en-US" w:eastAsia="en-US" w:bidi="ar-SA"/>
        </w:rPr>
        <w:t xml:space="preserve"> and stated the following with respect to piercing the corporate veil: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Typically, the corporate veil is pierced when the company is incorporated for an illegal, fraudulent or improper purpose. But it can also be pierced if when incorporated "those in control expressly direct a wrongful thing to be done" </w:t>
      </w:r>
      <w:r>
        <w:rPr>
          <w:rFonts w:ascii="arial" w:eastAsia="arial" w:hAnsi="arial" w:cs="arial"/>
          <w:i/>
          <w:color w:val="000000"/>
          <w:sz w:val="20"/>
          <w:lang w:val="en-US" w:eastAsia="en-US" w:bidi="ar-SA"/>
        </w:rPr>
        <w:t>Clarkson Co. v. Zhelka</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[1967] O.J. No. 1054</w:t>
        </w:r>
      </w:hyperlink>
      <w:r>
        <w:rPr>
          <w:rFonts w:ascii="arial" w:eastAsia="arial" w:hAnsi="arial" w:cs="arial"/>
          <w:color w:val="000000"/>
          <w:sz w:val="20"/>
          <w:lang w:val="en-US" w:eastAsia="en-US" w:bidi="ar-SA"/>
        </w:rPr>
        <w:t xml:space="preserve">, at 578. Sharpe J. set out a useful statement of the guiding principle in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at pp. 433-34 (Gen. Div.), aff'd </w:t>
      </w:r>
      <w:hyperlink r:id="rId719" w:history="1">
        <w:r>
          <w:rPr>
            <w:rFonts w:ascii="arial" w:eastAsia="arial" w:hAnsi="arial" w:cs="arial"/>
            <w:i/>
            <w:color w:val="0077CC"/>
            <w:sz w:val="20"/>
            <w:u w:val="single"/>
            <w:shd w:val="clear" w:color="auto" w:fill="FFFFFF"/>
            <w:lang w:val="en-US" w:eastAsia="en-US" w:bidi="ar-SA"/>
          </w:rPr>
          <w:t>[1997] O.J. No. 3754</w:t>
        </w:r>
      </w:hyperlink>
      <w:r>
        <w:rPr>
          <w:rFonts w:ascii="arial" w:eastAsia="arial" w:hAnsi="arial" w:cs="arial"/>
          <w:color w:val="000000"/>
          <w:sz w:val="20"/>
          <w:lang w:val="en-US" w:eastAsia="en-US" w:bidi="ar-SA"/>
        </w:rPr>
        <w:t xml:space="preserve"> (C.A.): "the courts will disregard the separate legal personality of a corporate entity where it is completely dominated and controlled and being used as a shield for fraudulent or improper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do not accept the position taken by the defendants. Latimer and Arcand knew and directed that the Storefront Lenders charge interest rates that exceeded the legal rate. The use of the corporations allowed Latimer and Arcand to receive the proceeds of these illegal loans in the form of salary and bonuses as opposed to illegal interest. In my view, the requirements in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 xml:space="preserve"> have been met in this case. The corporations were created/used by Latimer and Arcand to carry out illegal acts, those acts being the collection of interest at a rate greater than that permitted by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The corporations did, in fact, carry out illegal acts. The individual defendants, Latimer and Arcand, had clear knowledge of the illegality of the acts performed by the corporations and directed them to commit the acts. The corporations were necessary in order to run the business and collect the profits from the illegal interest. Accordingly, this is an appropriate case to pierce the corporate veil. Latimer and Arcand are jointly and severally liable for the acts of the Instaloans defendants in advancing loans at a criminal rate and receiving interest at a rate contrary to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common issues in the class proceeding are determined as follows: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the finance charges charged by the Instaloans defendants constitute interest as defined by and for the purpose of s.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either in whole or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(a) is yes, then do the standard form agreements pursuant to which those finance charges have been collected from class members constitute agreements or arrangements to receive interest at a criminal rate, contrary to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(a) is yes, then has the collection by the Instaloans defendants of those finance charges in accordance with the terms of the standard form agreements on which the payday loans have been advanced by Instaloans to class members, together with any charge expressly stated by those agreements to be interest, resulted in the payment by class members to and the receipt by the Instaloans defendants of interest at a criminal rate, contrary to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 is yes, have the Instaloans defendants been unjustly enriched by the collection of those finance charges from the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Instaloans defendants have received a payment of interest at a criminal rate from class members in respect of the class loans, then: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class loans advanced by the Instaloans defendants to the class members at the direction and for the benefit of Latimer and Arcand?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finance charges received by the Instaloans defendants paid in whole or in part to Latimer and Arcand?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Latimer and Arcand direct the transfer, use, or otherwise have the benefit of the finance charges collected by the Instaloans defendants from the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 to all</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one of (e)(i) to (iii) is yes, then have Latimer and Arcand been unjustly enriched by the payment by class members of interest at a criminal rate in respect of their class loans?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(b) or (c) is yes, does the provision by the Instaloans defendants of the class loans to class members on terms that offend s. 347(1)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or the receipt by the Instaloans defendants of interest at a criminal rate in respect of those class loans, constitute an unconscionable act or practice within the meaning of s. 4 of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and s. 8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irrespective of whether the factors set out in ss. 3(a) through (d) of those sections are present in any individual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 with respect to Storefront Lenders.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any one of (e)(i) to (iii) is yes, then does such conduct of Latimer and Arcand constitute unconscionable acts or practices within the meaning of s. 4 of the </w:t>
      </w:r>
      <w:r>
        <w:rPr>
          <w:rFonts w:ascii="arial" w:eastAsia="arial" w:hAnsi="arial" w:cs="arial"/>
          <w:b/>
          <w:i/>
          <w:color w:val="000000"/>
          <w:sz w:val="20"/>
          <w:lang w:val="en-US" w:eastAsia="en-US" w:bidi="ar-SA"/>
        </w:rPr>
        <w:t>TPA</w:t>
      </w:r>
      <w:r>
        <w:rPr>
          <w:rFonts w:ascii="arial" w:eastAsia="arial" w:hAnsi="arial" w:cs="arial"/>
          <w:color w:val="000000"/>
          <w:sz w:val="20"/>
          <w:lang w:val="en-US" w:eastAsia="en-US" w:bidi="ar-SA"/>
        </w:rPr>
        <w:t xml:space="preserve"> and s. 8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irrespective of whether the factors set out in ss. 3(a) through (d) of those sections are present in any individual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No</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(b) or (c) is yes, then did the Instaloans defendants, Arcand and Latimer (or any combination thereof) conspire to implement a scheme to provide those loans to the class members in order to earn profits on the class loans at an unlawful rate of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or all of the defendants conspired to provide class loans to the class members at an unlawful rate of interest, then are those defendants jointly and severally liable for damages to those class members who have suffered loss or damage as a result of that illegal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(b) or (c) is yes, then are Latimer and Arcand jointly and severally liable for the acts of the Instaloans defendants, or any of them, in advancing class loans on terms that offend s. 347 (1)(a)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or receiving interest in respect of the class loans at a criminal rate contrary to s. 347(1)(b)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Vagramov v. Zipursky, [2010] B.C.J. No. 552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16-20, February 23-26, March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supplemental written submissions, April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M100459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552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2010 BCSC 414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187 A.C.W.S. (3d) 888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2010 CarswellBC 745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Vagramov, Plaintiff, and Shaun Zipursky,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8"/>
      <w:bookmarkEnd w:id="190"/>
      <w:r>
        <w:rPr>
          <w:rFonts w:ascii="arial" w:eastAsia="arial" w:hAnsi="arial" w:cs="arial"/>
          <w:b/>
          <w:color w:val="000000"/>
          <w:sz w:val="20"/>
          <w:lang w:val="en-US" w:eastAsia="en-US" w:bidi="ar-SA"/>
        </w:rPr>
        <w:t>Damages — Physical and psychological injuries — Body injuries — Back and spine — Neck — Psychological injuries — Depression — Post-traumatic stress disorder — Plaintiff awarded $139,500 in total damages for injuries sustained in 2004 motor vehicle accident for which the defendant was found 100 per cent liable — The plaintiff was the dominant driver, having first entered the intersection, and the defendant was liable for the collision — The plaintiff's injuries, including his depression and post-traumatic stress disorder, had for the most part resolved — The award was composed of $70,000 in non-pecuniary damages, $2,500 for past lost earning capacity, $7,000 in special damages, $40,000 for lost future earning capacity, and $20,000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Non-pecuniary loss — Plaintiff awarded $139,500 in total damages for injuries sustained in 2004 motor vehicle accident for which the defendant was found 100 per cent liable — The plaintiff was the dominant driver, having first entered the intersection, and the defendant was liable for the collision — The plaintiff's injuries, including his depression and post-traumatic stress disorder, had for the most part resolved — The award was composed of $70,000 in non-pecuniary damages, $2,500 for past lost earning capacity, $7,000 in special damages, $40,000 for lost future earning capacity, and $20,000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for damages for personal injury allowed — The parties' vehicles collided in the middle of an intersection — Defendant did not see plaintiff approaching from his right — An independent witness was following behind plaintiff — The witness did not see plaintiff's brake lights, but noted that both vehicles entered the intersection at the same time and that defendant was travelling much faster than plaintiff — Defendant sought equal apportionment of liability — Plaintiff's version was consistent with the evidence — Defendant was the servient driver and required to yield the right of way.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8"/>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sustained in a Sept. 23, 2004 motor vehicle accident. The defendant argued the parties were equally liable for the accident, that the plaintiff sustained no more than minor soft tissue injuries and mild transitory post-traumatic stress disorder, and that he was entitled to no more than a nominal award of damages. The plaintiff was 39 years old at the time of the accident. He claimed to have suffered multiple injuries, including injuries to his right knee, jaw, chest, right upper arm, neck, shoulders and back. He also claimed to have suffered from post-traumatic stress disorder.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5"/>
            <w:bookmarkEnd w:id="19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awarded $139,500 in total damages. The plaintiff's description of the manner in which both vehicles were proceeding was consistent with the evidence, including the testimony of the witness Kam and the photos of the intersection and tire marks. The defendant was travelling at a much higher rate of speed than he maintained. The plaintiff's vehicle was the dominant vehicle and it had the right of way. It was in the process of crossing the intersection when it was struck by the defendant's vehicle. The plaintiff had only enough time to apply his brakes and swerve to the right, which was insufficient to avoid the collision. The defendant was 100 per cent liable for the accident. As for his injuries, most had resolved themselves very quickly after the accident. However, the injuries to his neck, shoulders and back continued to impact upon his ability to work and engage in the social and recreational activities he did prior to the accident. Notwithstanding his prior pain, the court accepted that the back and neck pain complained of was attributable to the accident. These were significantly healed by Dec. 2004. Any enduring discomfort or stiffness was due to the plaintiff's sedentary job. He had fallen into a depression and mild PTSD as a result of the accident. His condition gradually improved over time and by 2006 the PTSD had resolved. There was insufficient evidence of any mild traumatic brain injury. He had not been sufficiently aggressive in addressing his depression and PTSD symptoms. His decision to change his employment was not due to any impairment but due to his desire to take advantage of the opportunity to make a higher income. Given the nature, magnitude and duration of his injuries, he was awarded $70,000 in non-pecuniary damages. He was entitled to $2,500 for past lost earning capacity. He was awarded $7,000 in special damages, including physiotherapy, acupuncture, counselling and related transportation costs. His vulnerability to transitory neck and back pain and stiffness and a recurrence of depression had impaired his earning capacity, and he was awarded $40,000 for diminished earning capacity. He was awarded $20,000 for costs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18"/>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1"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173(1)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28"/>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Voss.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Moen and M. Gibson.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8"/>
      <w:bookmarkEnd w:id="195"/>
      <w:r>
        <w:pict>
          <v:line id="_x0000_s1171" style="position:absolute;z-index:2518415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March 30,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G.R.J. GAUL J."/>
            <w:bookmarkEnd w:id="196"/>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David Vagramov, sustained injuries in a motor vehicle accident on 23 September 2004. Mr. Vagramov claims the defendant, Shaun Zipursky, was entirely at fault for the accident and seeks an award for damages, both general and special, in addition to past income loss. Moreover, Mr. Vagramov seeks compensation for the loss of future income earning capacity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maintains that the parties are equally liable for the accident and that any award to the plaintiff should reflect that fact. Furthermore, the defendant asserts that the plaintiff sustained no more than minor soft tissue injuries and mild transitory Post Traumatic Stress Disorder ("PTSD") as a result of the accident. According to the defendant, the plaintiff's injuries have been substantially resolved and he no longer suffers from PTSD. The defendant consequently submits that the plaintiff is only entitled to a nominal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Vagramov was born in February 1966 in Georgia, in the former Union of Soviet Socialist Republics. As a youth, he worked alongside his father and gained experience in the field of automotive body mechanics.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Vagramov attended university in Georgia and graduated in 1988 with a diploma in civil engineering, specializing in tunnels and bridges. After graduation, he worked for the Georgian Department of Highways for approximately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1989, Mr. Vagramov married his wife Anna. Because of civil unrest in their home country, the couple moved to the Ukraine where they lived with Mrs. Vagramova's</w:t>
      </w:r>
      <w:bookmarkStart w:id="19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97"/>
      <w:r>
        <w:rPr>
          <w:rFonts w:ascii="arial" w:eastAsia="arial" w:hAnsi="arial" w:cs="arial"/>
          <w:color w:val="000000"/>
          <w:sz w:val="20"/>
          <w:lang w:val="en-US" w:eastAsia="en-US" w:bidi="ar-SA"/>
        </w:rPr>
        <w:t xml:space="preserve"> parents for about six months. During this period, the couple's first child, Robert,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Vagramov family travelled to England and remained there for three years. On account of his limited knowledge of the English language, Mr. Vagramov was unable to work in the area of civil engineering while in the England. Instead, he used the skills he had learned while working with his father and obtained employment as an auto body mechanic ("ABM").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1992 the Vagramovs immigrated to Canada and began residing in the metro Vancouver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2001, the Vagramov's second child, Sasha,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Vagramovs now live in Port Moody,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 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Vagramov was 39 years old at the time of the accident. He was an active person who enjoyed sports, particularly tennis and skiing. Mr. Vagramov was also quite conscious of his physical appearance and paid particular attention to his grooming and personal wardrobe.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Vagramovs had an active family life, taking holidays together, attending church on a regular basis and socializing with friends. On the occasions when their friends would gather, Mr. Vagramov would generally be the outgoing and happy toastmaster of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summer of 2004, Mr. Vagramov was in reasonably good physical condition. He had no major health issues, although in June of that year he did attend at a chiropractor complaining of pain and stiffness in his back, neck and arms. He underwent three chiropractic treatment sessions during the month of June and at the final session on 14 June 2004, Mr. Vagramov reported that his pain was gone. Some of the pain and stiffness re-appeared a short while later, prompting Mr. Vagramov to see his family doctor, Dr. Merrick Tosefsky on 19 July 2004. Upon examination by Dr. Tosefsky, Mr. Vagramov complained primarily of upper back pain. Dr. Tosefsky concluded that Mr. Vagramov had a rhomboid muscle strain and recommended that he undergo physiotherapy.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Within a few weeks of his arrival in British Columbia, Mr. Vagramov began working as an ABM at Burrard Auto Strauss in Vancouver. He remained with that company for approximately eighteen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Sometime in 1994, after having worked for Burrard Auto Strauss for approximately a year, Mr. Vagramov left and began working as an ABM at Craftsman Collision located at Cambie Street and Burrard Street in Vancouver ("Craftsman - Vancouver"). He remained there for approximately five years after which he transferred to the Craftsman Collision location in North Vancouver ("Craftsman -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the time the Vagramov's daughter Sasha was born in 2001 the family was living in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or around June 2003, Mr. Vagramov began working as an ABM at Boyd Autobody - Circuit Frame ("Circuit Frame") in Coquitlam, located a few minutes' drive from the Vagramov home. Mr. Vagramov's employment income for 2003 was $67,799.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Vagramov continued working at Circuit Frame until he was dismissed in mid-October 2004, a few weeks after the motor vehicle accident. Mr. Vagramov's period of unemployment was short as in or around the end of November 2004, he secured work as an ABM with Boyd Autobody - Claymore Collision ("Claymore Collision") in Port Coquitlam. His 2004 income tax return discloses that his total income for that year was $68,958.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early September 2004, Tamara Tsukalova became a Canadian landed immigrant. Ms. Tsukalova had met the Vagramovs in the Ukraine and had come to Canada in 2001 at the behest of the Vagramovs. In fact, the Vagramovs sponsored Ms. Tsukalova's immigration and upon her arrival she began working for them as a live-in nanny.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Tsukalova ended her employment with the Vagramovs in 2003 and secured new employment closer to her home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evening of 23 September 2004, Ms. Tsukalova joined the Vagramovs at their residence in Port Moody for dinner. It was a joyous occasion as Ms. Tsukalova was celebrating her new status in Canada. Neither Mr. Vagramov nor Ms. Tsukalova consumed any alcohol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Tsukalova stayed at the Vagramov home later than expected that evening. Around 11:00 pm, Mr. Vagramov insisted upon driving her home instead of allowing her to take public transit.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Vagramov took Ms. Tsukalova home driving his wife's 1995 Mercedes-Benz C220 SE four-door sedan which he knew had no collision insurance. Obtaining such that insurance coverage was on Mr. Vagramov's immediate things-to-do list for that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was a clear evening and the roadways were dry. Mr. Vagramov knew the general area where Ms. Tsukalova resided as he had driven her home on a number of previous occasions. However, the route to get there was not a completely familiar one to him and he required some assistance from Ms. Tsukalova as they approached her actual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Vagramov vehicle travelled south on Granville Street in Vancouver. Mr. Vagramov drove past the intersection with 49th Avenue, where he was supposed to turn right. As a result, he continued on Granville Street and turned right on 52nd Avenue. The speed limit on 52nd Avenue is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Shaun Zipursky is a 39 year old mortgage broker and partner in a mortgage firm located in Vancouver and Ladner, British Columbia. On the evening of 23 September 2004, Mr. Zipursky attended a business event hosted by his sister's company at a local Vancouver restaurant. He arrived at the function at approximately 5:00 or 5:30 pm. During the course of the evening appetizers were served and there was a "no-host" bar. Mr. Zipursky had some of the appetizers and consumed approximately four glasses of wine.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around 10:00 pm, Mr. Zipursky left the restaurant and began his journey home to Ladner in his new Mercedes-Benz C230 Kompressor two-door sports car. Mr. Zipursky had good reason to get home that evening as it was his wedding anniversary and his wife was at home waiting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he drove south on Granville Street, Mr. Zipusky decided, for reasons that are not clear, he needed to check messages on his Blackberry. He consequently turned west off of Granville Street onto 52nd Avenue and slowed down sufficiently to allow him to check his messages. Although his vehicle did not come to a complete stop, Mr. Zipursky was apparently able to control his vehicle and check his messages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Being unfamiliar with the area, Mr. Zipursky turned left on Churchill Street and proceeded south until he reached a cul-de-sac. He then turned his vehicle around and proceeded north on Churchill.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Mr. Zipursky approached the intersection of Churchill and 52nd Avenue, he failed to see Mr. Vagramov's vehicle approaching on his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two vehicles collided in the middle of the intersection, with the front driver's side of the Vagramov vehicle striking the rear passenger quarter panel of the Zipursky vehicle. The Vagramov vehicle spun to the right after the collision and came to a stop in the intersection. The Zipursky vehicle continued through the intersection, over a cement curb and up onto the lawn of a residence on the west side of Churchill.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damage to both vehicles was substantial, resulting in each of them being written off as total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Version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Vagramov testified that as he drove west on 52nd Avenue and approached the intersection with Churchill Street, he looked to his right where there was a chain link metal fence. As a result of that, Mr. Vagramov had a reasonably good view north on Churchill. There was a hedge on the south east corner of 52nd Avenue and Churchill Street that obstructed Mr. Vagramov's view to his left, down Churchill Street to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Vagramov's evidence is that his vehicle was travelling at approximately 40 kilometres per hour. As he neared the junction of 52nd and Churchill, he took his foot off of the accelerator, put his foot over the brake pedal and proceeded into the intersection looking to his left to see what, if anything was behind the hedge. It was at this point that he saw the headlights of Mr. Zipursky's vehicle coming quickly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 to Mr. Vagramov, he remembers feeling he could not avoid the oncoming vehicle. He claimed he only had time to apply his brakes and swerve to the right before the two cars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air bags in Mr. Vagramov's car deployed upon impact while the entire vehicle pivoted approximately forty-five degrees to the north. The vehicle came to a rest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Vagramov saw Mr. Zipursky's vehicle continue through the intersection and come to a rest on the lawn of a residence on the west side of Churchill, two houses from the north-west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situation in Mr. Vagramov's vehicle was chaotic immediately following the accident. Ms. Tsukalova was screaming and flowers she had been holding were all over the front seat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Vagramov exited his vehicle and proceeded to its passenger side where he attended to Ms. Tsukalova.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some point Mr. Zipursky exited his vehicle and returned back to the scene of the accident on foot. He and Mr. Vagramov eventually exchanged drivers' and insurance information with Mr. Zipursky. During this discussion, Mr. Zipursky apologised a number of times and indicated that he wished the accident had never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 ambulance arrived on the scene within a short period of time and after being examined by the paramedics, Mr. Vagramov took Ms. Tsukalova home in a taxi. He then returned to his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next morning Mr. Vagramov explained to his wife that he had been in an accident the night before and that her vehicle had sustained major damage. He felt particularly distraught over the fact that he had failed to renew the insurance on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Two or three days following the accident, Mr. Vagramov and his son re-attended the scene of the accident to take photographs and measurements of the intersection and its surroundings. According to Mr. Vagramov's measurements, the distance between the middle of the intersection where the accident occurred and the end of the tire marks on the grass where Mr. Zipursky's vehicle came to a halt was approximately seventy-six feet.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Tamara Tsukalova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Tsukalova remembers little of the actual motor vehicle accident. She recalls Mr. Vagramov failing to turn right on 49th Avenue and continuing until 52nd Avenue. She remembers him turning right on 52nd and the two of them discussing how to get back to 49th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recounted how everything at that point happened very quickly. She remembered looking to her left, towards Mr. Vagramov, and seeing something big with lights coming towards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 to Ms. Tsukalova, she felt two impacts: one when the cars collided and then a second when the air bags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Tsukalova did not provide any estimate of the speed of Mr. Vagramov's vehicle; nor did she have anything to say about the respective positions of the two vehicles, and in particular whether one entered the intersection before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During her testimony Ms. Tsukalova firmly denied that she was hysterical following the accident and claimed she was sure she did not scream inside the Vagramov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Version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Zipursky testified that he was driving approximately 30 kilometres an hour as he approached the intersection of Churchill and 52nd Avenue. He claimed during his examination in chief that he slowed down as he neared the intersection and shifted from third gear to second gear. He also maintained that he accelerated as he entered and began to proceed through the intersection. He estimated his speed at that point to be approximately 20 or 30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Zipursky testified that he was definitely half way through the intersection and on his way out of it when he saw vehicle lights to his right. Shortly thereafter his car was struck on his passenger side rear quarter panel by the Vagramov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 to Mr. Zipursky, his vehicle continued another ten to fifteen feet, up and over a small curb on the northwest corner of 52nd and Churchill and came to a stop on the lawn of the house on that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Zipursky got out of his vehicle feeling quite shook-up and walked over to the intersection. There, he and Mr. Vagramov had some conversation about their respective physical conditions and eventually exchanged motor vehicle licensing and insurance information. According to Mr. Zipursky, he apologized to Mr. Vagramov in a gentlemanly manner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about 15 minutes or so and after having spoken with emergency personnel who had arrived, Mr. Zipursky walked away from Mr. Vagramov and the accident scene, hailed a taxi and went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Independent Third Party Witness: Yu Hin Wilson Kam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sheer coincidence, Mr. Kam, someone unassociated with either the plaintiff or the defendant, was driving his vehicle approximately one half of a car's length behind Mr. Vagramov's vehicle as the latter proceeded west on 52nd towards Churchill. It was from this vantage point that Mr. Kam saw the collision between the Vagramov and the Zipursky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 to Mr. Kam, the Vagramov vehicle was going approximately 50 kilometres per hour and the Zipursky car was travelling much faster.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Kam did not recall seeing the brake lights of the Vagramov come on; however, he did see the two vehicles enter the intersection at about the same time, followed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Immediately after the accident, Mr. Kam parked and exited his vehicle and proceeded to check on Mr. Vagramov and Ms. Tsukalova.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Mr. Kam did not remember speaking with Mr. Zipursky, he did recall Mr. Zipursky getting out of his vehicle and repeatedly saying "I'm sorry".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two years that followed the motor vehicle accident, Mr. Vagramov continued to work as an ABM, first for Circuit Frame and then for Claymore Collision. Mr. Vagramov's total income for 2005 was $64,330.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summer of 2006, Mr. Vagramov left Claymore Collision and began working as an auto parts salesperson with A.P.T. Auto Parts Trading Co. Ltd. ("A.P.T.") in Vancouver. His total income for 2006 was $46,833, according to his income tax return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a period of time in the summer of 2007, Mr. Vagramov took time off from his job with A.P.T. to work as an ABM with Advanced Autoworks. This supplemental work ended sometime in 2007 and Mr. Vagramov returned to full-time work with 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some point in time after returning to work with A.P.T., Mr. Vagramov became involved in a side business with his friend David Siradze selling automobiles. Although the evidence is vague, it would appear that this business consisted of importing Dodge Sprinter delivery trucks from the United States and reselling them in Vancouver. Apparently Mr. Vagramov imported and resold three such vehicles. He claimed he bought the first two vehicles himself at a cost of approximately $37,000 and had them registered in his name. The third vehicle was purchased, imported and re-sold shortly after the first two. Mr. Vagramov sold all three of the vehicles to A.P.T. for approximately $25,000 each, however he could not say how much he earned from the sale of each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found Mr. Vagramov surprisingly vague in his answers when cross-examined about this truck importing endeavour. He could not remember exactly when he had conducted this business; although he was clear that it was in 2007 and not 2008. It is surprising then that the income he received from the sale of these vehicles is nowhere to be found on his 2007 income tax return. When asked in cross-examination about this fact, Mr. Vagramov asserted that the receipts and paperwork for the vehicles were with his accountant and that the income would be reflected on his 2008 and 2009 tax returns. I find this answer puzzling given that Mr. Vagramov claims he made the sales, and therefore earned the income, in 2007. On the whole, I was not impressed with his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Health &amp;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number of friends and associates testified, as did Mrs. Vagramova, concerning Mr. Vagramov's post-accident health and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painted a picture of a depressed person who was upset by the accident. This is not surprising given that fact that his wife's car had been destroyed and he had failed to renew the vehicle's insurance as he was supposed to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days following the accident, Mr. Vagramov withdrew from his family and friends and to a large degree ceased paying much attention to his physical appearance. He would not participate in family activities as he had prior to the accident and his friends noticed a marked decrease in his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general, all of the witnesses testified that Mr. Vagramov did not exhibit the personality traits that he had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Treatments &amp;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Various medical legal and consultation reports authored by health care professionals who had examined and treated Mr. Vagramov were entered into evidence pursuant to Rule 40A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Some of their clinical records, as well as those associated with chiropractic or physiotherapy treatment Mr. Vagramov underwent were also admitted into evidence pursuant to a Document Agreement executed by the parties' respective counsel (the "Document Agreement"). That Document Agreement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between the parties to the above noted action that the records submitted at trial will be admitting into evidence on the following basis, in all cases subject to proof to the contrary or specific objection as to admissibility: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are admitted into evidence on the basis that the documents are documents made and kept in the usual or ordinary course of business from which they were originally obtained;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indicated in the medical or clinical records contained within the Documents: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doctor or health care professional in question saw the Plaintiff on the day in question;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examined on that day;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examination findings were as recorded;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history was taken as recorded;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Treatments were prescribed as recorded;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was prescribed as recorded;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medical procedures or tests occurred as stated in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number of health care professionals testified at trial on behalf of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Merrick Tosefsky;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Andrew Woolfenden;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Richard Hay;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Douglas Cohen;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Paul Janke;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Rubin Feldman;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Lori Damon.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Merrick Tosefsky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Tosefsky has been the plaintiff's general physician since 1997. At the request of counsel for Mr. Vagramov, Dr. Tosefsky prepared a medical-legal report dated 8 May 2006 which was filed as an exhibit pursuant to Rule 40A. Dr. Tosefsky also testified for the plaintiff during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 to Dr. Tosefsky's testimony and his clinical records, Mr. Vagramov attended at his office in July 2004 complaining of an injury to his upper back muscle. An associate of Dr. Tosefsky's examined Mr. Vagramov and referred him to physiotherapy. There were no follow-up appointments regarding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28 September 2004, five days after the motor vehicle accident, Mr. Vagramov saw Dr. Tosefsky. On this initial visit Mr. Vagramov reported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soreness to his right knee;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heavy feeling on the left side of his chest which had diminished with the passing of time;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stiffness and soreness to his neck and upper arms;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 off balance, uneasy and emotionally drained;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Tosefsky observed that Mr. Vagramov appeared distressed. He also found Mr. Vagramov to have tender and tense trapesius muscles bilaterally.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Tosefsky diagnosed Mr. Vagramov as suffering from a strain injury to his neck, contusion and strain to his right knee and an acute stress reaction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Tosefsky counselled Mr. Vagramov regarding his stress and informed him to perform neck exercises. Mr. Vagramov was also advised to take simple analgesics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7 October 2004, Mr. Vagramov had a second appointment with Dr. Tosefsky. At this examination, Mr. Vagramov reported that :</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neck was stiff and felt worse with extension and flexion to the right;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jaw felt out of alignment;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still not sleeping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Tosefsky referred Mr. Vagramov to counselling and physiotherapy. He also prescribed the use of a tranquilizer to assist with Mr. Vagramov's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Tosefsky had a follow-up appointment with Mr. Vagramov on 20 October 2004. At this examination, Mr. Vagramov reported that he had been to physiotherapy and that his physical symptoms were lessening and his neck movement was improving. He also indicated a reduction in his stress reaction symptoms and an improvement in his ability to sleep. Dr. Tosefsky continued to counsel Mr. Vagramov regarding his stress and encouraged him to continue with physiotherapy. Dr. Tosefsky also recommended that Mr. Vagramov begin to exercise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Tosefsky saw Mr. Vagramov again on 17 November 2004. On this occasion, Mr. Vagramov claimed that his neck was much improved; however he was still experiencing pain and discomfort in his left mid-back area. Mr. Vagramov reported continued aggravated stress symptoms, including panic attacks. Concerned that these symptoms suggested a post-traumatic stress disorder, Dr. Tosefsky prescribed a trial dosage of an anti-depressant for Mr. Vagramov.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Vagramov's next appointment with Dr. Tosefsky was on 21 February 2005. At this examination, Mr. Vagramov informed Dr. Tosefsky that he had been following a regime of physiotherapy and acupuncture and that his physical symptoms had improved. Mr. Vagramov stopped physiotherapy in mid-January and had begun doing home exercises. For reasons that are unclear, Mr. Vagramov had not taken the anti-depressant medication that had been prescribed. Dr. Tosefsky noted that Mr. Vagramov's physical symptoms had largely settled and that his emotional condition had significantly improved, although there was some residual mild nervousness and some reported concentration difficulties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April 2005, Dr. Tosefsky saw Mr. Vagramov twice. On both occasions, Mr. Vagramov exhibited signs of depression. Mr. Vagramov reported that his energy levels were very low and that he was sleeping excessively. He also reported drinking approximately two alcoholic beverages per day and was advised by Dr. Tosefsky that this was counterproductive to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September and October 2005 Dr. Tosefsky saw Mr. Vagramov four times. During these appointments, Dr. Tosefsky noticed that Mr. Vagramov's symptoms of depression had not significantly improved. The anti-depressants that had been prescribed for Mr. Vagramov appeared to have had a positive effect in addressing the symptoms; however, the negative physical side-effects of the medications prompted him to discontinue their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25 October 2005, Dr. Tosefsky referred Mr. Vagramov for psychiatric treatment with Dr. DeFreitas.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February 2006, Dr. Tosefsky again saw Mr. Vagramov. He informed Dr. Tosefsky that he was still seeing Dr. DeFreitas and that he was continuing to take various anti-depressants. Mr. Vagramov also described his ongoing depressive symptoms, including low energy and lack of motivation. Dr. Tosefsky continued to encourage Mr. Vagramov to maintain an exercise program and referred him to rehabilitation clinic to assist with this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Tosefsky saw Mr. Vagramov again in April 2006. At this examination, Mr. Vagramov reported that he was attending the rehabilitation clinic and had seen improvement in his physical symptoms. He was still, however, suffering from low energy levels and periods of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his medical legal report dated 8 May 2006 and filed as an exhibit at trial, Dr. Tosefsky offered the following expert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Vagramov as described had developed an acute stress reaction following the motor vehicle accident followed by a diagnosis of post traumatic stress disorder. This has had a significant effect on his ability to function, quality of life and interaction with his family...Mr. Vagramov is beginning to show some signs of improvement. If Mr. Vagramov continues to engage in regular physical activity, complies with taking his medication and follows a possible alternate working path, he may continue to show further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 is fully recovered from his soft tissue injuries, but remains somewhat deconditioned in certain areas ... With appropriate strengthening and conditioning he should be able to regain his former physical status. Until now his motivation and energy levels have been limited by his psychological /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later summer and fall of 2006, after having started his new employment with A.P.T., Mr. Vagramov re-attended at Dr. Tosefsky's office complaining of upper back and neck pain and stiffness. Dr. Tosefsky was made aware that Mr. Vagramov had also seen a neurologist, Dr. Woolfenden.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2007, Mr. Vagramov continued to see Dr. Tosefsky regarding the pain he was feeling in his neck and back. Dr. Tosefsky also had blood work conducted on Mr. Vagramov the results of which indicated he was suffering from a low/normal testosterone level. During this time, Mr. Vagramov was also seeing Dr. Woolfenden and Dr. Feldman.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his appointments with Dr. Tosefsky, Mr. Vagramov reported continued improvement in his neck and back. At his examination on 26 November 2007, Mr. Vagramov reported doing better overall, that his mood and energy had increased and that his right neck and right lower back were only intermittently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addition to seeing Dr. Tosefsky in 2008, Mr. Vagramov also saw Dr. Fenton, who conducted magnetic resonance imaging tests on 18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During 2008, Dr. Tosefsky continued to address the sporadic back pain felt by Mr. Vagramov and the on-going difficulties he was having with his mood. Dr. Tosefsky reviewed the results of the MRI testing that had been conducted and found nothing of significance that could be related to Mr. Vagramov's motor vehicle accident. Moreover, he reviewed x-rays that had been taken of Mr. Vagramov's spine and found no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supplemental medical legal opinion dated 3 November 2008 and filed as an exhibit at trial, Dr. Tosefsky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Vagramov had suffered some soft tissue injuries to his neck, upper body, right knee and jaw. He had fully recovered from the soft tissue injuries, however as described he had continued to suffer from mechanical neck pain which had been diagnosed by Dr. Woolfenden as being as a result of the cervical strain. His symptoms relating to this had been persistent and variable and had responded to physiotherapy and acupuncture treatments. Relief from treatment however was incomplete and in September 2008 he had undergone facet block injections with subsequent relief of his symptoms. It is possible that his symptoms could recur and that he may require further facet block injections. I believe that as a result of his soft tissue neck injuries that he may be more vulnerable to injury in this area in the future. Other treatments that may be required in the future for this problem might include physiotherapy, acupuncture, massage therapy or pharmacologic treatments. I do not believe that he would require surgical intervention.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post traumatic disorder, details of this have been well described in the previous report ... Over the course of time and with the use of anti-depressant treatment, Mr. Vagramov has improved significantly, such as he has been able to become functional in an alternate line of work. I do note that Mr. Vagramov had attempted in 2007 to return to his previous line of work; however this had let (sic) to an exacerbation of post traumatic stress symptoms. I believe that Mr. Vagramov may require to be treated with anti-depressant medication for a prolonged and perhaps an indefinite period of time. He continues to remain at risk for exacerbations of the post traumatic stress disorder, particularly if he were to be exposed to specific triggers, such as further physical or emotional trauma. I would also defer to Dr. DeFreitas and the expert psychiatric opinion that you will be obtaining regarding Mr. Vagramov's psychiatric condition and prognosis.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Hay is Mrs. Vagramova's general physician. During one of their medical appointments in the fall of 2004, Mrs. Vagramova mentioned to Dr. Hay that she was concerned about the apparent chronic pain syndrome and the behavioural or depressive problems her husband was suffering following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Vagramov was not a patient of Dr. Hay's and he was never examined by the doctor. Notwithstanding those facts, as a favour for Mrs. Vagramova, Dr. Hay referred Mr. Vagramov to Dr. Woolfenden, for a neck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Andrew Woolfenden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Woolfenden is a neurologist who examined Mr. Vagramov at the request of Dr.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medical legal report dated 7 November 2006 relating to the examination of Mr. Vagramov that occurred on that date, Dr. Woolfenden concluded that the pain Mr. Vagramov complained of in his neck was "likely mechanical in nature (ie. cervical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Woolfenden made arrangements to have a computed tomography scan ("CT scan") performed on Mr. Vagramov's cervical spine. In his 19 February 2007 medical report, Dr. Woolfenden noted that the results of the CT scan of Mr. Vagramov's neck indicated he has degenerative changes predominantly at C6-7, but also at C5-6. The diagnosis regarding the nature of Mr. Vagramov's injuries remained unchanged; that is, Dr. Woolfenden continued to be of the opinion that the injuries were mechanical in nature. As Mr. Vagramov's pain had apparently not changed since their last appointment in November 2006, Dr. Woolfenden suggested that he consider undergoing facet block injection, which is a procedure where a small amount of local anaesthetic with a small mixture of steroid is injected into the neck joint. Mr. Vagramov rejected that advice and chose to wait and see if the symptoms improved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April 2008, Mr. Vagramov contacted Dr. Woolfenden and advised that he wished to proceed with a facet block injection. Dr. Woolfenden's office arranged for the procedure to occur in September 2008 at the C5-6 and C6-7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25 July 2008, Dr. Woolfenden examined Mr. Vagramov and in his medical report dated the same day, he noted that Mr. Vagramov continued to complain of "subjective persistent neck pain", notwithstanding the fact that his neck range of motion was normal and there was no tenderness to palpitation over the cervical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Woolfenden last saw Mr. Vagramov on 11 December 2008. During the course of the examination, Dr. Woolfenden noted that the facet block injections were successful and that Mr. Vagramov's neck pain was completely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Woolfenden confirmed in his testimony that he did not find Mr. Vagramov to be suffering from any neurological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Douglas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Cohen is a registered clinical psychologist who conducted neuropsychological testing on Mr. Vagramov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results of the test conducted on Mr. Vagramov led Dr. Cohen to the following opinions regarding his condition:</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suffering from a neurocognitive impairment;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intellectually, Mr. Vagramov's core learning and reasoning skills placed him in the "average" or better range;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memory skills were uneven, with mild to moderate deficits recorded in visual memory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Cohen's ultimate opinion, recorded in his written report dated 8 December 2008, is that Mr. Vagramov sustained a concussion and mild traumatic brain injury as a result of the September 2004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Paul Janke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Janke is a psychiatrist who examined Mr. Vagramov on 7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his medical legal report dated 19 November 2008, Dr. Janke offers the following opinions regarding Mr. Vagramov:</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suffered at most a very mild concussion or mild traumatic brain injury;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suffer from persistent Post-Concussion Syndrome;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described symptoms of PTSD following the accident, but those symptoms have resolved themselves over time and he would not presently meet the criteria for PTSD;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depression and anxiety exhibited by Mr. Vagramov since the accident are direct results of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Rubin Feldman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Feldman is a physiatrist with training and experience in head injuries. He examined Mr. Vagramov on 4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written report dated 1 August 2007, Dr. Feldman concludes that Mr. Vagramov suffered soft tissue injuries as a result of the accident. According to Dr. Feldman, those injuries were resolved by the time of his examination of Mr. Vagramov.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doctor also opined that the "historical evidence" indicated the presence of a post-concussion syndrome as a result of the motor vehicle accident that evolved into a mild traumatic brain injury. Dr. Feldman also concluded that Mr. Vagramov suffered from PTSD on account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Lori Damon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Damon is a clinical psychotherapist who saw Mr. Vagramov on four occasions in 2004. Ms. Damon did not prepare a written report nor did the plaintiff attempt to qualify her to give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During the course of her sessions with Mr. Vagramov she observed a number of physical traits, including trembling hands, blank expressions on his face and slow speech that she associated with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defence presented expert medical evidence from: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Richard Kendall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Derryck Smith.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Kendall is an orthopaedic surgeon who examined Mr. Vagramov on behalf of the defendant on 23 November 2006. In his written report, dated 5 December 2006, Dr. Kendall opined that Mr. Vagramov suffered a grade 1 or 2 soft tissue injury to his neck and jaw on account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Kendall also noted that Mr. Vagramov exhibited signs of major depression with anxiety; however, as this are was outside of his expertise he refrained from commenting on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Derryck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Smith is a psychiatrist with expertise in the area of assessing head injuries. He examined Mr. Vagramov on behalf of the defendant on 7 December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medical legal report, dated 20 December 2007, Dr. Smith opined that Mr. Vagramov experienced significant psychological stress at the scene of the accident and likely went on to develop problems with both major depression and PTSD. Dr. Smith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upon my examination of today this man does not currently qualify for a diagnosis of either major depression or post-traumatic stress disorder. It is likely that his symptoms have attenuated over time because of treatment and also because of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January 2009, Dr. Smith was provided with the reports of Dr. Tosefsky (3 November 2008); Dr. Woolfenden (13 December 2008); Dr. Feldman (1 August 2007); Dr. Janke (19 November 2008); and Dr. Cohen (8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After reviewing these additional materials relating to Mr. Vagramov's condition, Dr. Smith proffered the following opinions in his supplemental report, dated 27 January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 did not specifically address the issue of traumatic brain injury, it is my opinion that there was no evidence that Mr. Vagramov did sustain a traumatic brain injury. I did not get a history from him that there was any gap in his memory, and I did specifically question him on this not only in regard to the details of the accident itself but also when I was canvassing the symptoms of Post-Traumatic Stress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considering all of this information and reviewing previous reports and my notes, it remains my opinion that it is possible but not probable that Mr. Vagramov sustained a concussion or brain injury from the motor vehicle accident in question. The brief period of confusion and few seconds of lost memory can be easily accounted for by the fact that Mr. Vagramov was in a traumatic, unexpected event in which the airbags in his car deployed. Individuals who experience the deploying of airbags in cars frequently report a period of a few seconds of amnesia and confusion. Individuals who sustain concussion or brain injury have maximal cognitive impairment immediately after the accident and there is no evidence that Mr. Vagramov suffered such impairment. His actions after the accident appear to be logical and goal directed. He was examined by an ambulance crew who chose not to take him to hospital. In my experience if a man was showing evidence of a concussive episode it would be very unlikely that the ambulance would not insist that he come to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fully address the issue of reported brain injury in my initial report because there was nothing in either his statement of claim, the medical records which I reviewed or his presentation that would suggest a concussion or brain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Newport Village Chiropractic Services ("Newport")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Vagramov attended at Newport in early June 2004. While no one from this chiropractic clinic testified at trial, some of the records relating to the treatment of Mr. Vagramov were submitted into evidence by the defence pursuant to the Document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These records indicate that on 3 June 2004, Mr. Vagramov attended at Newport complaining of pain and stiffness in various parts of his body, including along the entire length of his back and up to and including his neck and his shoulders. The pain had been present for a couple of weeks. The records also indicate that Mr. Vagramov underwent three chiropractic treatment sessions in the first half of June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Port Moody Physiotherapy &amp; Sports Injury Clinic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Although no one from the Clinic testified at trial, the defence submitted into evidence Clinic records relating to Mr. Vagramov. From these records, I have taken note of the following:</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15 October 2004 Mr. Vagramov attended the Clinic on account of the pain he was feeling in his back and neck following the accident. In recounting the facts of the accident, Mr. Vagramov reported that he had not lost consciousness but was disoriented and trying to calm Ms. Tsukalova;</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several visits to the Clinic in November 2004, Mr. Vagramov reported he was feeling better and or making progress;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24 November 2004, having just started at Claymore Collision, he attended at the Clinic and complaining that he was feeling very sore;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29 December 2004, he reported to his physiotherapist at the Clinic that he was feel good and about 90% better;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recommenced treatment at the Clinic in August 2006 complaining of pain in his upper back and shoulders. From September to November, Mr. Vagramov made some progress, but he occasionally complained of pain.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of Dr. DeFreitas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DeFreitas is the psychiatrist to whom Dr. Tosefsky referred Mr. Vagramov in the fall of 2005 in light of his on-going issues relating to depression and stress. I have already commented on the fact that Dr. DeFreitas did not testify at trial, nor did he prepare an expert medical report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defence entered into evidence certain clinical records of Dr. DeFreitas.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addressing the issue of Mr. Vagramov's claim that he suffered from PTSD following the accident, the defence queried why Mr. Vagramov's treating psychiatrist, Dr. DeFreitas, did not prepare a medical legal report or testify at trial. The defence poses a legitimate question and it is open to this court to draw an adverse inference against the plaintiff on account of this failure to present any evidence from Dr. DeFreitas.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response, the plaintiff argued that such an inference would not be appropriate in the present circumstances. In support of this position, counsel for Mr. Vagramov relied upon the decision of Josephson J. in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are markedly different from those at the case at bar. In particular, Mr. Justice Josephson found that the doctors who did not testify were ones who the plaintiff did not consult on a regular basis. This is not the situation before me. Dr. DeFreitas was the plaintiff's treating psychiatrist and the person who was likely in the best position to provide expert evidence regarding Mr. Vagramov's mental state following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issue of drawing an adverse inference on account of a failure to call a witness was addressed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where, at paras. 31-33, Saunders J.A. observed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proposition long applied in British Columbia, stated by Mr. Justice Davey in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is that an inference adverse to a litigant may be drawn if, without sufficient explanation, that litigant fails to call a witness who might be expected to give supporting evidence. Further, said Mr. Justice Davey at 689, a plaintiff seeking damages for personal injuries "ought to call all doctors who attended him in respect of any important aspect of the matters that are in dispute, or explain why he does not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tactic of asking for an adverse inference is much over-used in today's legal environment, and requires, at the least, a threshold examination by the trial judge before such an instruction is given to the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judge trying a case with a jury is bound to instruct the jury as to the applicable law, and thereby to assist the jury in its consideration of the evidence and determination of the facts. Whether an adverse inference is drawn from failure to call a witness is a question for the trier of fact ... However, it bears reminding that the delivery of medical care is not now as it was in 1964 when Mr. Justice Davey made his comments in Barker. There is, today, a proliferation of "walk-in" medical clinics where the role of the "walk-in" clinic physician may be more limited than was the role of a family physician in 1964. Further, even people who have a family doctor may attend one or more such clinics as a matter of convenience, but still rely upon their family physician for core medical advice and treatment. The proposition stated by Mr. Justice Davey does not anticipate the present model of medical care. Likewise, the discovery process available to both sides of a lawsuit is not now as it was in 1964 when, in explaining his view on the need to call all treating physicians, Mr. Justice Davey referred to the professional confidence between doctor and the patient. Today, the free exchange of information and provision of clinical records through document discovery raises the possibility that an adverse inference may be sought in circumstances where it is known to counsel asking for the inference that the opinion of the doctor in question was not adverse to the opposite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only evidence I have that touches on this issue of Dr. DeFreitas not testifying comes from Mr. Vagramov himself. In his testimony, Mr. Vagramov explained that one day after trying to schedule an appointment with the doctor, his office left a message on Mr. Vagramov's answering machine indicating the doctor no longer wished to treat Mr. Vagramov. Apparently there was no explanation given, nor was one sought and obtained. Oddly, Mrs. Vagramova made no reference in her evidence to this message existing.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her closing submissions, counsel for Mr. Vagramov suggested that the reason for not calling Dr. DeFreitas as a witness was because he had refused to continue to treat Mr. Vagramov after he learned of the litigation. I find there is no evidence before me to substantiate that explanation. On the evidence before me, I am not persuaded that Dr. DeFreitas abandoned his patient, as suggested by Mr. Vagramov. I do not know if or when Dr. DeFreitas became aware of Mr. Vagramov's lawsuit, nor am I convinced that the doctor's alleged decision to cease treating Mr. Vagramov resulted from the fact that litigation had been initiated. In short, the evidence from the plaintiff is wholly insufficient and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circumstances of this case I do draw an adverse inference against the plaintiff and his case from the fact that he failed to present any expert evidence from his treating psychiatrist, Dr. DeFreitas.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governs the manner in which automobiles are driven on the roadways of our province. Section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deals with the issue of careless driving,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A person must not drive a motor vehicle on a highway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Section 173(1)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sets out the statutory rules of the road for vehicles that approach an uncontrolled intersection of the nature present in the case at bar.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175, if 2 vehicles approach or enter an intersection from different highways at approximately the same time and there are no yield signs, the driver of a vehicle must yield the right of way to the vehicle that is on the right of the vehicle that he or she is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law relating to the duties of motorists as they approach uncontrolled intersections was set out in the seminal case of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Brownlee</w:t>
      </w:r>
      <w:r>
        <w:rPr>
          <w:rFonts w:ascii="arial" w:eastAsia="arial" w:hAnsi="arial" w:cs="arial"/>
          <w:color w:val="000000"/>
          <w:sz w:val="20"/>
          <w:lang w:val="en-US" w:eastAsia="en-US" w:bidi="ar-SA"/>
        </w:rPr>
        <w:t>]. The following observations of Mr. Justice Cartwright, at 461, are apposite to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Another oft-cited case in the area of the duty of servient drivers is the Manitoba Court of Appeal decision in </w:t>
      </w:r>
      <w:r>
        <w:rPr>
          <w:rFonts w:ascii="arial" w:eastAsia="arial" w:hAnsi="arial" w:cs="arial"/>
          <w:i/>
          <w:color w:val="000000"/>
          <w:sz w:val="20"/>
          <w:lang w:val="en-US" w:eastAsia="en-US" w:bidi="ar-SA"/>
        </w:rPr>
        <w:t>Scheving v. Scott</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(1960), 24 D.L.R. (2d) 354</w:t>
        </w:r>
      </w:hyperlink>
      <w:r>
        <w:rPr>
          <w:rFonts w:ascii="arial" w:eastAsia="arial" w:hAnsi="arial" w:cs="arial"/>
          <w:color w:val="000000"/>
          <w:sz w:val="20"/>
          <w:lang w:val="en-US" w:eastAsia="en-US" w:bidi="ar-SA"/>
        </w:rPr>
        <w:t xml:space="preserve"> (Man. C.A.) [</w:t>
      </w:r>
      <w:r>
        <w:rPr>
          <w:rFonts w:ascii="arial" w:eastAsia="arial" w:hAnsi="arial" w:cs="arial"/>
          <w:i/>
          <w:color w:val="000000"/>
          <w:sz w:val="20"/>
          <w:lang w:val="en-US" w:eastAsia="en-US" w:bidi="ar-SA"/>
        </w:rPr>
        <w:t>Scheving</w:t>
      </w:r>
      <w:r>
        <w:rPr>
          <w:rFonts w:ascii="arial" w:eastAsia="arial" w:hAnsi="arial" w:cs="arial"/>
          <w:color w:val="000000"/>
          <w:sz w:val="20"/>
          <w:lang w:val="en-US" w:eastAsia="en-US" w:bidi="ar-SA"/>
        </w:rPr>
        <w:t>]. In his written reasons for a unanimous court, Mr. Justice Schultz articulates the appropriate principles to follow in cases such as the one presently before the court, at 358-359: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fair to infer that this provision [the section of the Manitoba Highway Traffic Act that is similar to s. 175(1) of the BC Motor Vehicle Act] was made for the purpose of controlling automobile traffic, the speed of which makes impractical and ineffective a rule giving priority to whichever vehicle first reaches an open intersection. It need hardly be emphasized that inevitably there is confusion and great danger inherent in races to get to such an intersection, underlining the necessity for the present right-of-way rule. The word "approximately" as used in the above subsection means "about" or "nearly" and is the direct opposite of "exactly" or "precisely". Therefore a vehicle approaches an intersection "at approximately the same time" as another vehicle if it approaches slightly before or slightly after such vehicle. Because the vehicle from the left reaches the intersection first -- momentarily or a fraction of a moment ahead of the vehicle from the right-- it cannot be said that the vehicle from the right has not approached it at "approximately"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may be referred to as the old rule -- that the car first reaching the intersection has the right-of-way -- may properly be applied under certain circumstances. Thus, When the vehicle on the left reaches an open intersection substantially in advance of the vehicle on the right, i.e., where the vehicle on the right is at such a distance and travelling at such a speed that there is no reasonable danger--no apparent danger--of collision to be apprehended if the driver on the left proceeds into the intersection, then, under such circumstances, the driver on the left can with safety and with reason proceed into the intersection. However, it is obvious that under such circumstances, there being no question of precedence involved, there is no question of right-of-way involved either.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entry into an intersection does not mean priority by a matter of a few feet or by a fraction of a second ahead of another vehicle; it means entry into an intersection with the opportunity of clearing it without obstructing the path of another vehicle under normal circumstances. "Who hit whom" is not the test. The driver on the left, even though he may reach the intersection first, must yield the right-of-way to the driver on the right where they approach the intersection so nearly at the same time that there would be imminent hazard of collision if both continue the same course at the same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 argues that the circumstances surrounding the evening of the accident suggest Mr. Vagramov might have been distracted and less than alert at the time of the accident and therefore partially liable for the collision. In support of this position, counsel for the defendant points to the following facts: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late in the evening and Mr. Vagramov had worked a full day;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Vagramov had not planned on driving Ms. Tsukalova back to her Vancouver residence;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Vagramov was not particularly familiar with the area where the accident occurred; and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Vagramov had missed a turn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reject the defendant's argument on this point. Although the above-noted facts are true, they do not lead to the conclusion or inference that Mr. Vagramov was distracted while he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accept the evidence of Mr. Vagramov regarding the manner in which he was driving just prior to the accident, including the fact that he had taken his foot off of the accelerator, had placed his foot over the brake pedal and looked to his left as he entered the intersection, to see what if anything was hidden by the hedge that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Mr. Vagramov's description of the manner in which both vehicles were proceeding is consistent with the evidence, including the testimony of Mr. Kam and the photographs of intersection and tire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Both Mr. Vagramov and Mr. Kam say the Zipursky vehicle was travelling very quickly. Mr. Kam confirms the Zipursky vehicle was going faster than the Vagramov vehicle. Mr. Vagramov says he was travelling approximately 40 kilometres per hour, while Mr. Zipursky says he was travelling 20 to 30 kilometres per hour. I accept the evidence of Mr. Vagramov and Mr. Kam over that of the defendant and find Mr. Zipursky was travelling at a much higher rate of speed than he maintains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also conclude that the Vagramov vehicle was the dominant vehicle and had the right of way. It had reached the intersection before the Zipursky vehicle and was in the process of traversing it when it was struck by the Zipursky vehicle. Contrary to the submission of counsel for the defendant, I find it was the Zipursky vehicle that struck the Vagramov vehicle, not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According to the defendant, if Mr. Vagramov was going as slowly as he claims and was paying attention to the road, he would have had sufficient time to react and avoid the Zipursky vehicle. I reject this argument as well. I find the Zipursky vehicle was travelling at such a fast speed that Mr. Vagramov only had the time to apply his breaks and swerve to the right which was insufficient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Finally, the defendant asserts that the location of the damage on each of the vehicles is conclusive evidence that the Zipursky vehicle was well into the intersection in advance of the Vagramov vehicle, before the collision. I disagree with the defendant's interpretation of the evidence. It is entirely consistent that a vehicle speeding through an intersection in the manner Mr. Zipursky's was would have the damage it did and in the location it was. In my opinion, Mr. Zipursky's vehicle did not reach the intersection "substantially before" the Vagramov vehicle, adopting the expression as it is used in </w:t>
      </w:r>
      <w:r>
        <w:rPr>
          <w:rFonts w:ascii="arial" w:eastAsia="arial" w:hAnsi="arial" w:cs="arial"/>
          <w:i/>
          <w:color w:val="000000"/>
          <w:sz w:val="20"/>
          <w:lang w:val="en-US" w:eastAsia="en-US" w:bidi="ar-SA"/>
        </w:rPr>
        <w:t>Scheving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Vagramov was the dominant driver with the right of way. Mr. Zipursky was the servient driver whose responsibility it was to yield to Mr. Vagramov.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On the evidence of Mr. Vagramov and Mr. Kam, I am satisfied that Mr. Zipursky was entirely at fault for the accident and consequently attribute 100% liability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Injuries and Causation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Physical Injuries: Neck, shoulders &amp;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Vagramov claims he suffered multiple physical injuries as a result of the accident. During the course of final submissions, counsel for the plaintiff acknowledged that the injuries to the plaintiff's right knee, jaw, chest and right upper arm resolved themselves very quickly after the accident. However, the injuries to the plaintiff's neck, shoulders and back continue to impact upon his ability to work and engage in the social and recreational activities that 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accept that Mr. Vagramov suffered very minor and transitory injuries to his knee, jaw, chest and arm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What is more challenging however, is determining the causation of his back, neck and shoulder pain. It is challenging, because I find Mr. Vagramov suffered from back, neck and shoulder pain prior to the motor vehicle accident. I reach this conclusion based upon the clinical records of Newport as well as those of Dr. Tosefsky's office. These records indicate that Mr. Vagramov attended at Newport complaining of back, neck and shoulder pain in June 2004. Dr. Tosefsky's records confirm that in July 2004, Mr. Vagramov attended at his office complaining of pain in his upper back. In cross-examination, Mr. Vagramov confirmed that the pain being complained of had not subsided following the chiropractic treatments he received and by the time he saw the physician in Dr. Tosefsky's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Notwithstanding this prior pain, I accept that the back and neck pain that Mr. Vagramov complained of following the accident was attributable to the accident. However, having reached this conclusion, I also find that these injuries were significantly healed, with only some occasional mild pain and or stiffness, by December 2004. I also find that the intermittent discomfort and stiffness Mr. Vagramov has been enduring in recent years is largely attributable to the nature of his present work where he is seated at a desk speaking on the telephone for most of the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addition to the soft tissue injuries, the plaintiff also asserts that he suffered from PTSD on account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Mrs. Vagramova and a number of Mr. Vagramov's friends and associates testified at trial and described how they had observed a significant change in his physical appearance and personal demeanour following the accident. Mrs. Vagramova in particular described how the change in her husband's personality after the accident has had a tangible impact on their relationship as well as Mr. Vagramov's relationship with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evidence of the medical experts is that Mr. Vagramov did experience a heightened anxiety level in the weeks following the accident and that this anxiety transformed into a mild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arguing that the plaintiff only suffered from a very mild and short lived depression following the accident, counsel for the defendant points to the following facts:</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able to drive himself to work within a week of the accident;</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confirmed to Dr. Tosefsky in February 2005 that he was "significantly improved with residual mild nervousness and some concentration difficulty at work";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reported to his treating psychiatrist, Dr. DeFreitas, in January 2006 that during a trip he took to Georgia he did not take any depression medications, was busy socializing and enjoying himself, and felt energetic and not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find that Mr. Vagramov did fall into a depression that developed into a mild form of PTSD as a result of the accident. In addressing the situation, he eventually followed a course of medication prescribed for him by Dr. Tosefsky and began treatment with Dr. DeFreitas.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treatment with Dr. DeFreitas ended in 2007 when apparently the doctor's office contacted Mr. Vagramov to tell him the doctor no longer wished to treat him. Since that time, Mr. Vagramov has not had any further treatment or counselling from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find that Mr. Vagramov's condition gradually improved over time and that by 2006 the PTSD had resolved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am not satisfied that the fact that Mr. Vagramov continues to feel depressed at times and has not returned to his pre-accident level of activity is solely or principally attributable to the accident. There was evidence before me indicating that Mr. Vagramov suffers from low testosterone levels and that this fact could explain why at times his mood continues to be subdued and his concentration lacking. I also note that since he stopped seeing Dr. DeFreitas, Mr. Vagramov has shown little initiative to see a new psychiatrist. Common sense dictates that if he was still suffering from chronic symptoms bordering on PTSD to the extent he claims, he would have been much more active in seeking psychiatric help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medical expert who was in the best position to comment upon Mr. Vagramov's PTSD was his treating psychiatrist, Dr. DeFreitas. Mr. Vagramov chose not to call Dr. DeFreitas as a witness or have him prepare an expert medical legal report. In the present case, I find the evidence of Dr. DeFreitas was crucial in determining and understanding the nature and extent of Mr. Vagramov's psychiatric problems, and particularly his claim that he suffered and continues to suffer from PTSD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have drawn an adverse inference against the plaintiff from the fact that he failed to present any evidence from Dr. DeFreitas.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On the whole of the evidence, I find that Mr. Vagramov's PTSD resulting from the accident was mild and was resolved by the middle of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medical evidence presented has persuaded me that a threshold requirement for the diagnosis of a concussion or mild traumatic brain injury is a loss of consciousness or a period of altered mental state immediately following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With respect, I find the plaintiff has failed to convince me on a balance of probabilities that he suffered a concussion or any form of mild traumatic brain injury on account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reaching this conclusion I specifically reject the evidence of Dr. Feldman and find his diagnosis of a mild traumatic brain injury to be unsupported. I also find that Dr. Cohen, while able to assess Mr. Vagramov's cognitive abilities, was not capable as a neuropsychologist of making a medical diagnosis or prognosis relating to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Based on Mr. Vagramov's own evidence, as well as what he told the health care providers who examined and treated him, Mr. Vagramov did not lose consciousness as a result of the accident. Nor does the evidence satisfy me that he experienced such an altered mental state immediately following the accident to justify a finding of any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summary, I find Mr. Vagramov suffered soft tissue injuries primarily to his neck and back as a result of the car accident. The minor injuries to his right knee and jaw resolved themselves shortly after the accident. I accept that Mr. Vagramov continues to feel some mild pain and stiffness on occasion in his back and that he needs to stretch it whenever this occurs. Some of this discomfort is attributable to the sedentary nature of his present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also accept the fact that the facet block that was performed in the fall of 2008 completely alleviated the pain in his neck; however, it is uncertain whether this treatment will be a permanent cure or whether he will require subsequent treatments in the future. He also suffered a mild episode of PTSD that, with the assistance of medication and therapy, was brought under control by the middle of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plaintiff argues the purpose of an award for non-pecuniary damages is to provide monetary compensation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I accept this proposition; however, it must be kept in mind that any such award must be commensurate with the nature and gravity of the losses the court finds attributable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Counsel for the plaintiff submits that Mr. Vagramov sustained life altering and lifelong injuries as a result of the motor vehicle accident. Counsel argues that an award in the range of $100,000 to $175,000 is appropriate in the circumstances of this case. Naturally, this range is predicated upon a finding that Mr. Vagramov suffered the type and extent of injuries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support of this position, the plaintiff relies upon a number of case authorities: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Johnstone v. Canada (Attorney General)</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2006 BCSC 1867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Watt v. Meier</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2006 BCSC 1341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Chowdhry v. Burnaby (City)</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accept that the plaintiff suffered physical injuries to his neck and back as a result of the accident. I also accept that he suffered some depression. However, those injuries and that condition have, to a great extent, resolved themselves. I note that in cross-examination Mr. Vavramov acknowledged that the conclusions of Dr. Tosefsky were accurate and that by mid to late January 2005 the physical symptoms from the accident had largely settled. Moreover, Mr. Vagramov agreed with the final conclusion in Dr. Tosefsky's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 is fully recovered from his soft tissue injuries, but remains somewhat deconditioned in certain areas ... with appropriate strengthening and conditioning he should be able to regain his former physical status. Until now his motivation and energy levels have been limited by his psychological /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determination of the amount of compensation to be awarded in the present case has been made more difficult by the plaintiff's failure to follow through with his prescribed treatment and more particularly his failure to obtain and follow through with psychological and or psychiatric treatment for his depression and PTSD symptoms. He last saw Dr. DeFreitas in 2007 and since that time he has not seen another psychiatrist. He saw Ms. Damon, the clinical psychotherapist, on four occasions in 2004 but since then he has sought and taken no more psychotherapy 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accept the defendant's argument that Mr. Vagramov has not been sufficiently aggressive in addressing the lingering depression he suffers and that fact must be considered when deciding upon the amount of compensation to be awarded. The evidence supports the conclusion that if Mr. Vagramov had been more diligent in seeking treatment for his depression and PTSD symptoms, it is likely his cognitive problems would have abated. During his cross-examination, Dr. Janke described the situation as follows:</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your opinion is that Mr. Vagramov obviously requires ongoing and more intense intervention. Presumably then, the result being that effective treatment is going to help decrease any perceived cognitive deficits that Mr. Vagramov is experiencing?</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if, if, as I would postulate, that his cognitive deficits are related to his depression and anxiety, sleep disorder and residual PTSD, if we can improve, if not eliminate, those factors, I would expect his cognitive functioning to improve. We do know that individuals with - treated for post-traumatic stress disorder and depression often report persisting cognitive complaints for some time after all their other symptoms have resolved, it's believed that those will resolve over time. But in - the short answer is, yes, I would expect his cognition to improve.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in fact, with more aggressive and prolonged treatment that he's had to date, perhaps the cognition problems will abate completely; is that fair to 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would be a, certainly a goal of therapy,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it's a possible outcome of therapy?</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yes, well, I don't set goals that you can't possibly reach. That would be silly. So, yes, you would anticipate that that would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find Mr. Vagramov could have and should have done more to help himself and reject his assertion that his change in career path was caused by the injuries he suffered as a result of the motor vehicle accident. Although I accept that he has some lingering physical and psychological after-effects from the accident that have had some minor impact upon his work performance, I find he chose to change his employment from an ABM to an auto parts sales person not because of any physical or psychological impediment but because of his desire to take advantage of the opportunity to make a higher income the new position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plaintiff has failed to persuade me on a balance of probabilities that the impact of the accident on his quality of life has been as dramatic as he claims. This is not a case like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where the court was satisfied that the significant changes to the plaintiff's life were directly attributable to the accident in question. Mr. Vagramov has been able to travel to Europe and enjoy himself thoroughly while on vacation and according to his friend and sometime business partner David Siradze, he has been able to resume playing tennis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the circumstances of this case, given the nature, magnitude and duration of the physical and psychological injuries suffered by the plaintiff, I find that an award of $70,000 is appropriate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This claim is founded on the proposition that a plaintiff is entitled to be compensated for the loss of the value of work that he would have performed but for the injuries suffered from the accident: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evidence points consistently to the fact that Mr. Vagramov had good skills as an ABM. However, there is a wide divergence of opinion with respect to his dedication and thoroughness.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Vagramov testified that he enjoyed working as an ABM and considered himself capable and competent to perform the work. However, he claims that following the accident he lost his ability to concentrate, thus reducing his efficiency and productivity. Moreover, he found that the pain he was suffering in his back and neck was exacerbated by the nature of the work he was performing and that this also caused his productivity to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Martin Van Rijswijk was the production manager at Craftsman - Vancouver and to a certain degree supervised the work of Mr. Vagramov during the time he worked at that location. Mr. Van Rijswijk testified on behalf of the plaintiff and had difficulty remembering back nine years to the time he and Mr. Vagramov worked together. When asked by counsel for the plaintiff to describe what Mr. Vagramov was like when the two of them worked together, Mr. Van Rijswijk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it's difficult. It's, it's ... he was a bodyman. He was - he came to work. He did a good job. I thought he was efficient at getting his time, his work through the shop pretty quick. I'm - it's, it's a hard question to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Steve Maric was an ABM at Craftsman - Vancouver when Mr. Vagramov was employed at that location. The two of them worked together for approximately two years. Mr. Maric remembered Mr. Vagramov as someone who was organized and able to get the job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defence called a number of witnesses to describe Mr. Vagramov's abilities and work ethic. Darrel Ollenberger was the assistant manager at Craftsman - North Vancouver when Mr. Vagramov worked at that location. He observed that Mr. Vagramov's performance diminished shortly after he arrived at Craftsman - North Vancouver. According to Mr. Ollenberger, Mr. Vagramov had a tendency to "cut corners" and in general performed inferior quality repairs on vehicles. In Mr. Ollenberger's opinion Mr. Vagramov "was probably my worst offender" when it came to quality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Jerry Sly is the owner of Circuit Frame and he testified on behalf of the defence. According to Mr. Sly, the quality of Mr. Vagramov's work was substandard and he regularly had to redo work previously completed because of deficiencies. Mr. Sly testified that Mr. Vagramov's employment was terminated after a vehicle he had worked on was brought back a third time by a customer complaining of defective repairs. When Mr. Vagramov was confronted with this fact and the substandard nature of his work, Mr. Vagramov challenged Mr. Sly and invited him to terminate his employment saying he would go find work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William Thomson was the final auto body repair witness presented as a defence witness. Mr. Thomson is the general manager of Claymore Collision and he testified that his business had a greater amount of work than Circuit Frame and that Mr. Vagramov had told him upon arrival that he came to work at Claymore Collision because he wanted to earn more money. Apparently Mr. Vagramov did not inform Mr. Thomson that he had been dismissed from Circuit Frame. Mr. Thomson was firm in his evidence that Mr. Vagramov did not complain of concentration difficulties at work, nor did he complain of any physical problems affecting his work performance. Mr. Thompson observed that Mr. Vagramov was able to work on multiple vehicles on a daily basis and showed no signs of being disorganized or unable to perform the work of an ABM. According to Mr. Thomson, Mr. Vagramov was his best producing ABM, was regularly seeking more work and always had a project on the go. When Mr. Vagramov decided to leave Claymore Collision and join A.P.T., he explained to Mr. Thomson that he was doing so because he was going to make more money selling auto parts. Mr. Vagramov made no mention to Mr. Thomson of any physical or psychological difficulties he was having performing the work of an ABM.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find the evidence of the defence more persuasive than that of the plaintiff on the issue of past lost income earning capacity. Moreover, I find some of the plaintiff's evidence corroborates the position taken by the defence on this issue. In particular, I note that when asked in cross-examination if he knew why Mr. Vagramov left Claymore Collision and began working at A.P.T., David Siradze testified that the plaintiff had mentioned the potential for more pay and advancement with A.P.T. and made no reference to the change being on account of any physical or mental inability to continue as an ABM.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also take note of what Dr. Janke recorded Mr. Vagramov telling him regarding his earning potential at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states that his current job is paying him less money but there is the potential for him to make more money over time with greater responsibilities or greater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When cross-examined on this passage and asked whether he had told Dr. Janke that he had an opportunity to make more money at A.P.T., Mr. Vagramov responded that he did not remember as it was "always hard to remember these type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reject the evidence of Mr. Vagramov on the issue of lost income and find that he was less than candid when he testified about this area of his claim. On the whole, the evidence presented by the plaintiff has not persuaded me that he was incapable of working as an ABM on account of the physical and psychological injuries he suffered in the accident. I note that the timing of Mr. Vagramov's change of employment from Claymore Collision to A.P.T. coincided with the continued and steady increase in the income his wife was earning from her growing business and that may well have influenced his decision to change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conclude that Mr. Vagramov decided to seek new employment with A.P.T. not because of his inability to work as an ABM, but because he wanted to obtain a position that would provide him with the potential to earn more money. I reject the suggestion that he was compelled to change employment because of the injuries he suffered in the accident. In reaching this conclusion I have paid particular attention to and given significant weight to the evidence of Mr. Thomson, a witness who I found to be impartial and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light of my conclusion relating to this portion of the plaintiff's claim, I find he is entitled to compensation for the time he missed from work on account of the accident as well some compensation for his reduced productivity during the time he was working but still recovering. I therefore award him $2,500 for his past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claims reimbursement for the out of pocket expenses he has incurred addressing the injuries he suffered in the accident. These include, but are not limited to, the cost of physiotherapy, acupuncture, counselling, and the transportation costs associated with attending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the plaintiff's claim under this heading of damages is a reasonable one, except for the $1,075.44 attributed to the MRI that was conducted in January 2008. No evidence was presented explaining the need to proceed with this medical procedure outside of the scope of the provincial medical services plan and therefore I reject this portion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is entitled to $7,000 in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Counsel for the plaintiff is correct when she argues that the standard of proof for making an award for loss of future earning capacity is simple probability and not balance of probabilities: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assessing whether Mr. Vagramov is entitled to compensation under this heading of damages, it is of assistance to refer to the list of considerations that Finch J., as he then was,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find that Mr. Vagramov's vulnerability to transitory neck and back pain and stiffness along with along with his susceptibility to a reoccurrence of depression, has somewhat impaired his earning capacity as a capital asset, and in particular has made him "less marketable and attractive to potential employers" and "less valuable to himself as a person capable of earning an income in a competitive labour market." Mr. Vagramov is therefore is entitled to some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question becomes: how much compensation? In answering this question I find guidance in the following observations of Huddard J.A.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task of the court is to assess damages, not to calculate them according to some mathematical formula ... The valuation may involve a comparison of the likely future of the plaintiff if the accident has not happened with the plaintiff's likely future after the accident has happened. As a starting point, a trial judge may determine the present value of the difference between the amounts earned under those two scenarios. But if this is done, it is not to be the end of the enquiry ... The overall fairness and reasonableness of the award must be considered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Despite finding that Mr. Vagramov changed his employment from ABM to auto parts salesman for reasons unrelated to the accident, it is still possible that the occasional flare-ups of the pain and depression associated with the accident will cost him income making opportunities. In recognition of this impairment of his earning capacity as a capital asset, I award him $40,000.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accept the evidence presented by the plaintiff that he will continue to be in need of some treatment and counselling in the future to address what remains of his symptoms and any flare-ups that occur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particular, I accept the recommendations of Dr. Tosefsky that Mr. Vagramov may benefit from further facet block injections, as well as supplemental physiotherapy and acupuncture treatments as needed. Moreover, I accept the recommendation of Dr. Janke that Mr. Vagramov should address any lingering depression with psychiatric counselling and psychopharmacological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Some of the future care costs claimed by Mr. Vagramov have no evidentiary foundation linking them to the accident. His claim for the costs associated with his testosterone treatment is one such example. While I find that a membership to a health club or gym would be of assistance to Mr. Vagramov, I do not accept that his situation calls for the engagement of a personal trainer. Nor do I find that a persuasive evidentiary foundation has been laid to justify the costs earmarked for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have reduced the frequency of the physiotherapy and acupuncture sessions claimed by the plaintiff in half given the nature of his symptoms, as I am not satisfied he will regularly and consistently require such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presented Mr. Robert Carson, an economist, as an expert witness capable of testifying with respect to the computation of future care costs. I have accepted his evidence and have used the charts contained in his report dated 22 December 2008 to determine the award under this heading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difficult aspect of calculating the future care costs in the case of Mr. Vagramov is determining how long those costs should last. I am not persuaded by the evidence before me that Mr. Vagramov will require this support indefinitely and therefore find that a period of 10 years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conclude that Mr. Vagramov will require in the range of $2,000 per year for his future care costs and therefore award him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conclusion, Mr. Vagramov is entitled to an award under the following headings: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1046"/>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 earning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51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67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earning</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82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award:</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$139,500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is entitled to his costs, with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30,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Gaul dated March 29, 2010 have been amended as follows:</w:t>
      </w:r>
      <w:r>
        <w:rPr>
          <w:rFonts w:ascii="arial" w:eastAsia="arial" w:hAnsi="arial" w:cs="arial"/>
          <w:sz w:val="20"/>
          <w:lang w:val="en-US" w:eastAsia="en-US" w:bidi="ar-SA"/>
        </w:rPr>
        <w:cr/>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M. Gibson has been added as Counsel for the Defendant.</w:t>
      </w:r>
    </w:p>
    <w:p>
      <w:pPr>
        <w:spacing w:after="240"/>
        <w:rPr>
          <w:rFonts w:ascii="arial" w:eastAsia="arial" w:hAnsi="arial" w:cs="arial"/>
          <w:sz w:val="20"/>
          <w:lang w:val="en-US" w:eastAsia="en-US" w:bidi="ar-SA"/>
        </w:rPr>
      </w:pPr>
      <w:r>
        <w:pict>
          <v:line id="_x0000_s1172" style="position:absolute;z-index:25188249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9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98"/>
      <w:r>
        <w:rPr>
          <w:rFonts w:ascii="arial" w:eastAsia="arial" w:hAnsi="arial" w:cs="arial"/>
          <w:sz w:val="20"/>
          <w:lang w:val="en-US" w:eastAsia="en-US" w:bidi="ar-SA"/>
        </w:rPr>
        <w:tab/>
      </w:r>
      <w:r>
        <w:rPr>
          <w:rFonts w:ascii="arial" w:eastAsia="arial" w:hAnsi="arial" w:cs="arial"/>
          <w:color w:val="6D6E71"/>
          <w:sz w:val="18"/>
          <w:lang w:val="en-US" w:eastAsia="en-US" w:bidi="ar-SA"/>
        </w:rPr>
        <w:t>In the Russian language, the feminine spelling of "</w:t>
      </w:r>
      <w:r>
        <w:rPr>
          <w:rFonts w:ascii="arial" w:eastAsia="arial" w:hAnsi="arial" w:cs="arial"/>
          <w:i/>
          <w:color w:val="6D6E71"/>
          <w:sz w:val="18"/>
          <w:lang w:val="en-US" w:eastAsia="en-US" w:bidi="ar-SA"/>
        </w:rPr>
        <w:t>Vagramov</w:t>
      </w:r>
      <w:r>
        <w:rPr>
          <w:rFonts w:ascii="arial" w:eastAsia="arial" w:hAnsi="arial" w:cs="arial"/>
          <w:color w:val="6D6E71"/>
          <w:sz w:val="18"/>
          <w:lang w:val="en-US" w:eastAsia="en-US" w:bidi="ar-SA"/>
        </w:rPr>
        <w:t>" is "</w:t>
      </w:r>
      <w:r>
        <w:rPr>
          <w:rFonts w:ascii="arial" w:eastAsia="arial" w:hAnsi="arial" w:cs="arial"/>
          <w:i/>
          <w:color w:val="6D6E71"/>
          <w:sz w:val="18"/>
          <w:lang w:val="en-US" w:eastAsia="en-US" w:bidi="ar-SA"/>
        </w:rPr>
        <w:t>Vagramova</w:t>
      </w:r>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Visona v. Stewart, [2013] B.C.J. No. 2420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M138130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Patsy Ann Visona, Plaintiff, and Herbert Anderson Stewart and Roger Paul Visona,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9" w:name="Keywords_29"/>
      <w:bookmarkEnd w:id="199"/>
      <w:r>
        <w:rPr>
          <w:rFonts w:ascii="arial" w:eastAsia="arial" w:hAnsi="arial" w:cs="arial"/>
          <w:b/>
          <w:color w:val="000000"/>
          <w:sz w:val="20"/>
          <w:lang w:val="en-US" w:eastAsia="en-US" w:bidi="ar-SA"/>
        </w:rPr>
        <w:t>Damages — Physical and psychological injuries — Physical injuries — Body injuries — Back and spine — Neck — Soft tissue — Action by 46-year-old plaintiff for damages for personal injuries arising from low-impact collision in 2009 allowed in part — Liability admitted — Plaintiff's soft tissue injuries lasted no longer than two years from date of accident — Given minimal impact, delay in reporting, and subsequent accident and falls, not established plaintiff's tailbone injury caused by accident — Blaming accident for breakup of her marriage not credible — Awarded $30,000 in non-pecuniary damages — Past loss of income assessed at $1,500 — Future income loss claim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Past loss of income — Non-pecuniary loss — Action by 46-year-old plaintiff for damages for personal injuries arising from low-impact collision in 2009 allowed in part — Liability admitted — Plaintiff's soft tissue injuries lasted no longer than two years from date of accident — Given minimal impact, delay in reporting, and subsequent accident and falls, not established plaintiff's tailbone injury caused by accident — Blaming accident for breakup of her marriage not credible — Awarded $30,000 in non-pecuniary damages — Past loss of income assessed at $1,500 — Future income loss claim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Application of principles — Action by 46-year-old plaintiff for damages for personal injuries arising from low-impact collision in 2009 allowed in part — Liability admitted — Plaintiff's soft tissue injuries lasted no longer than two years from date of accident — Given minimal impact, delay in reporting, and subsequent accident and falls, not established plaintiff's tailbone injury caused by accident — Blaming accident for breakup of her marriage not credible — Awarded $30,000 in non-pecuniary damages — Past loss of income assessed at $1,500 — Future income loss claim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0" w:name="Case Summary_29"/>
            <w:bookmarkEnd w:id="2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46-year-old plaintiff for damages for personal injuries arising from a low-impact collision in 2009. Liability was admitted. The defendant's bumper hit the tire of the truck in which the plaintiff was a passenger. Both vehicles sustained minimal damage. The plaintiff was wearing her seatbelt. By choice, the plaintiff was not working at the time of the accident. She had worked in retail and office administration prior to the accident, with an annual income less than $15,000. The plaintiff suffered neck, shoulder and back pain and headaches after the accident. At trial, she continued to experience headaches two or three times per month and neck pain five times per month. Her most significant ongoing complaint was pain in her tailbone which she testified she continued to experience daily. She had not complained about her tailbone to her treating professionals until 2011. She claimed the pain left her depressed and contributed to the breakup of her marriage. The plaintiff was involved in another accident and two falls after the subject accident. She began working in September 2010.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1" w:name="Holdings of Court_26"/>
            <w:bookmarkEnd w:id="20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blaming of the accident for the breakup of her marriage was simply not credible. The plaintiff's soft tissue injuries lasted no longer than two years from the date of the accident. Taking into account the minimal impact, the delay in reporting, and the subsequent accident and falls, it was not established that the tailbone injury was caused by the accident. The plaintiff was awarded $30,000 in non-pecuniary damages. It was likely but for the accident the plaintiff could have found work prior to September 2010 but the nature of work, hours and amount of wages was speculative. Past loss of income was assessed at $1,500. Given the finding that she had recovered from her injuries, the plaintiff's future income loss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Counsel_29"/>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G.A.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Perry.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29"/>
      <w:bookmarkEnd w:id="203"/>
      <w:r>
        <w:pict>
          <v:line id="_x0000_s1176" style="position:absolute;z-index:2517913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R.W. JENKINS J."/>
            <w:bookmarkEnd w:id="204"/>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Visona, claims damages arising from a low-impact collision which occurred on November 23, 2009 in Surrey, B.C. ("the accident"). Liability is admitted and only causation and the extent of various heads of damage were in issue at trial. Ms. Visona seeks damages for pain and suffering, special damages, and damages for loss of past and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Ms. Visona and the defendant owner and operator of the other vehicle, Mr. Stewart, testified as to the collision and events following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the plaintiff was in the front passenger seat of a very large 2008 Dodge Ram pickup truck owned and driven by her husband. Ms. Visona's husband at the time of the accident, Roger, did not testify at the trial. Mr. and Ms. Visona separated in April 2010, and subsequently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impact of the collision was slight. The left front bumper of the defendant's vehicle, a Mazda, struck the left front tire of Mr. Visona's pickup truck. The only apparent damage to Mr. Stewart's vehicle was a smudge mark on the left front bumper. The only apparent damage to the Visona vehicle was a smudge mark on the outside of the front left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Visona testified that the Visona vehicle was travelling at 50 km/h at the time of the accident. However, that estimate appears to err on the high side considering the minimal damage to both vehicles. Mr. Stewart, who admitted responsibility for the accident and was somewhat embarrassed at what had occurred, estimated he had been travelling at 40 km/h immediately before he applied the brakes in his vehicle. He testified that he then skidded several feet before his left front bumper impacted with the front left tire of Mr. Visona's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Visona testified that despite securing herself with a shoulder and lap seat belt, she was "tossed in the truck" and when she went to move she soon felt neck and back pain. She believed that her right shoulder may have hit the passenger-side door and her outer left knee may have come in contact with the hard plastic console in the truck. Ms. Visona did not recall back pain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further testified that her husband soon called for an ambulance, and after the fire and ambulance attendants arrived, they secured her on a backboard, affixed a neck collar, and took her to Langley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Stewart stated that at the time of impact, his car was "hardly moving", and that there was no "physical impact". He testified that he was not thrown in the accident and that neither he nor his wife, who was in the front passenger seat, suffered any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Stewart stated he pulled his Mazda to the side of the road and went over to the driver of the truck, Mr. Visona, to ask if everyone was okay. Both Mr. Stewart and Mr. Visona looked at the damage, which appeared to be minimal. Mr. Stewart asked Mr. Visona about Ms. Visona's condition and Mr. Visona responded that she was "having a hissy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Stewart testified that there was no mention of any injuries at the accident scene in his exchange with Mr. Visona. Mr. Stewart stated that they exchanged information and a fireman told Mr. Stewart he could leave. It was only much later that Mr. Stewart says he learned that an ambulance had been called for Ms. Visona, which surprised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Visona's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accident, Ms. Visona was 42 years old. She is the mother of two children who were 11 and 20 years of age at the time. Also at the time of the accident, Ms. Visona was living with her husband and two children in Surrey. She was not working at that time as Ms. Visona testified that she and her husband had agreed that she should spend more time raising her children, especially since the youngest child had been the victim of bullying and needed more guidance from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Visona has a grade 11 education. For many years, including the time when her children were young, Ms. Visona worked at several jobs including retail work in clothing and jewelry stores, office administration, and part-time work at Costco. Prior to the accident she had last worked as an assistant manager at "Gymboree", a children's clothing store in Surrey. Ms. Visona stated that after quitting the Gymboree position, she sought work near Guildford Mall in Surrey but as of November 2009, she had no prospects for work save for a possibility of employment at a "Bowring" store at Guildford Mall. It is clear from the evidence that Ms. Visona's search for employment in the fall of 2009 was not aggressive. She also stated in evidence that it was not a matter of "economic necessity" for her to work since Mr. Visona had good employment with Costco and that it had become more important for her to stay home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Exhibit 1 at trial was an agreed statement of facts, which was basically a summary of Ms. Visona's employment history both before and after the accident. That document showed earnings of between $6,668 and $11,888 annually from 2006 to 2008 and $2,930 in 2009 up to the date of the accident on November 23, 2009. Ms. Visona also received employment insurance benefits in 2008 and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Visona testified that in January 2009, she slipped on black ice in Surrey, fell forward, and injured the inside of her left knee and her right hand. She testified that she did not suffer any back pain as a result of the fall. She also stated she had suffered some minor back pain which had gone away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Ms. Visona's Description of the Pain and Suffering Arising from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Immediately following the accident, Ms. Visona complained of the injuries described above. Ms. Visona's evidence was that she was suffering pain in her lower back into her buttocks near her "upper tailbone" when she was discharged from Langley Memorial Hospital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Visona testified that she suffered headaches starting shortly after the accident which "were almost always there at first", and for which she took Tylenol and was prescribed other medicine by her family doctor, Dr.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Visona moved to Edmonton on April 13, 2010, following her separation from her husband. She stated that the headaches continued through April 2010, but the severity of the pain lessened over time. She also testified that she has continued to suffer from headaches two or three times a month, for which she takes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Visona described the neck pain on the day of the accident as "unbelievable, even in a collar", and stated that the pain was "burning, throbbing, went to the base of her skull and into her shoulders with the right side a bit worse". For treatment she applied ice and heat, and was prescribed further medicine. Throughout 2010, Ms. Visona described neck pain lasting eight to 10 hours per day, especially during cooler weather. Presently, she stated she has neck pain symptoms averaging five times per month in her back and up to the base of her skull, for which she applies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Visona also described pain in her shoulders and arms lasting until June 2012, which was aggravated by cold weather. She stated that although she no longer notices that pain, she sleeps only on her right side due to low back and hip pain on her left side, so her right upper arm is tender each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Visona described upper back pain from the top of her shoulders down, that initially was throbbing most of the day. She stated that lifting aggravated the pain and that she was unable to walk her dog as the dog pulling on the leash aggravated the pain. The pain in her upper back eased somewhat by April 2010, but the pain continued to be aggravated if she did any lifting or made quick movements. By June 2012, Ms. Visona had upper back problems "once in a while, once every two months between the shoulder blades" that was "not severe." From November 2012 to date, Ms. Visona stated that upper back pain has diminished in all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Visona also described pain in her lower back to her tailbone and left hip. She stated at trial that the small of her back "burned, ached and throbbed for days after the accident - all day" and affected her activities. Ms. Visona gave evidence that her lower back pain lessened in severity in 2010, was aggravated by activity, and was always present. She has found the pain more severe of late in her new position with Paris Jewelers in Edmonton. She tries to avoid too much sitting at work and elsewhere in order to lessen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far the most significant pain Ms. Visona is still experiencing is in what she describes as her tailbone. This area of pain is also the most controversial. The defendants' position is that any pain in what she describes as her tailbone was not caused by the November 23, 2009 accident. Ms. Visona stated in evidence that the pain in her tailbone has increased over time, especially since June of 2012, and that she experiences pain "every day, all day". She testified that the pain worsened whenever she sat on hard surfaces and that the pain feels like a "pit bull has me on the side of my hip and won't let go some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Visona also testified that the pain she has suffered left her depressed and contributed to the breakup of her marriage. She stated that "we should still be together - I've loved him and will for the rest of my life and but for the accident we would not have split up". She also explained how her daughter describes her as grumpy and moody. She has neither sought counselling for her depression nor taken any medicine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Visona's evidence regarding her depression and blaming the accident for the breakup of her marriage is simply not credible, especially in light of the comments of Dr. Helper, the expert in physical medicine and rehabilitation called by Ms. Visona. In his March 10, 2010 report, Dr. Helper stated at page 9:</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State: Premorbidly, Patsy describes herself as being well with no history of depression or anxiety. Currently, she describes a sense of loss in self-worth without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in his June 25, 2012 report, Dr. Helper stated, at page 8:</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State: Good. No concerns of depression or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Medical Evidence regarding Ms. Visona's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accept that Ms. Visona suffered soft-tissue injuries to her neck, back and left hip as a result of the accident and that Ms. Visona suffered a bruise from the impact of the left side of her left knee on the centre console of the Dodge Ram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Dr. Street's report for the defendants dated July 12, 2012, the cervical CT scan taken at Langley Memorial Hospital on the day of the accident indicated an "unremarkable examination" which evidenced no cervical spine damage or compression of the spinal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her January 2011 report, Ms. Visona's family doctor, Dr. Jackson, stated, at p.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last saw Mrs. Visona on April 6, 2010. She was still experiencing pain as noted above, and her exam remained unchanged. I also felt that she had mechanical neck and back pain, and right shoulder strain. I agreed with Dr. Helper's recommendations for treatment.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Visona's complaints arose from her MVA. She had not previously been troubled by neck, back or shoulder pain. She still had significant symptoms when I last saw her, which had been present for over four months. Because of the length of time she had her neck and back symptoms, without significant improvement, I feel that her prognosis for complete recovery would be guarded. I cannot comment further on this however as I have not seen her since she moved to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Jackson's assessment of mechanical neck and back pain are consistent with Dr. Street's interpretation of the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Both Dr. Helper and Dr. Street refer to a period of general lower back pain Ms. Visona experienced. In his July 18, 2012 report, Dr. Street stated,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Visona's low lumbosacral or coccygeal pain was more diffuse in the weeks and months following the accident and in months immediately prior to my assessment had become more localized to the coccyx. It is probable that she had a mild soft tissue injury, or sprain, to her low back secondary to the motor vehicle accident. It appears that those symptoms have completely resolved. By her own admission, the disabling symptom which Ms. Visona continues to suffer from is focal coccygeal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Regarding the effect and duration of the soft-tissue injuries on Ms. Visona's functional status or activities of daily living, in his March 10, 2010 report Dr. Helper stated,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Premorbidly, she performed approximately 50% of the housework split with her husband. She participated in all basic housework duties. Currently, she is participating at a slightly lessened level. Some of the more physical activities such as lifting the vacuum cleaner up and down the stairs and lifting heavy laundry baskets are too difficult for her at the current time and has her husband do it. Otherwise, she participates in housekeeping to the best she can. Her overall participation has dropped from 50:50 to approximately 40:60.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 10 of the same report, Dr. Helper stated, regarding Ms. Visona's vocational capabilities: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Patsy describes her vocational participation as a source of satisfaction, rather than an economic necessity. If this is correct, attempting to work in her current pain state would likely be less satisfying. I do recommend that Patsy return to the workforce as soon as she is able to tolerate the demands of her desired position. I would expect her to be able to work after a 50% improvement from her current level of neck and low-back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Helper also stated at p. 10 of the same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my own experience as a frame of reference, I believe Patsy Visona is performing below expectations for the average patient with her injuries in the categories of: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Recreational: I believe an increase in activity will result in benefit to all of her spinal complaints. I do suggest Patsy undergo a course of active rehab to guide her through the early stages of her return to recreational activity. I agree that an attempt to return to swimming is a good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Visona began to look for work in summer 2010 and secured employment in Edmonton in October 2010 for the first time since the accident. Since this time, Ms. Visona has not missed any work due to the injuries she says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Also informative regarding the extent and duration of the injuries are Dr. Helper's statements in his June 25, 2012 report at p. 7 where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ADLs/Activities of Daily Living: </w:t>
            </w:r>
            <w:r>
              <w:rPr>
                <w:rFonts w:ascii="arial" w:eastAsia="arial" w:hAnsi="arial" w:cs="arial"/>
                <w:color w:val="000000"/>
                <w:sz w:val="18"/>
                <w:lang w:val="en-US" w:eastAsia="en-US" w:bidi="ar-SA"/>
              </w:rPr>
              <w:t xml:space="preserve"> For the most part, Ms. Visona has no limitations with her activities of daily living. The one thing she cannot do is sit in a bathtub due to tailbone pain; she showers instead. Otherwise, her ADLs are not limited by her musculoskeletal complaints.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IADLs/Instrumental Activities of Daily Living: </w:t>
            </w:r>
            <w:r>
              <w:rPr>
                <w:rFonts w:ascii="arial" w:eastAsia="arial" w:hAnsi="arial" w:cs="arial"/>
                <w:color w:val="000000"/>
                <w:sz w:val="18"/>
                <w:lang w:val="en-US" w:eastAsia="en-US" w:bidi="ar-SA"/>
              </w:rPr>
              <w:t xml:space="preserve"> Ms. Visona has now returned to full function with driving, housework, yardwork, and grocery shopping.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Vocational: </w:t>
            </w:r>
            <w:r>
              <w:rPr>
                <w:rFonts w:ascii="arial" w:eastAsia="arial" w:hAnsi="arial" w:cs="arial"/>
                <w:color w:val="000000"/>
                <w:sz w:val="18"/>
                <w:lang w:val="en-US" w:eastAsia="en-US" w:bidi="ar-SA"/>
              </w:rPr>
              <w:t>... In April of 2011, she obtained a new job at International Clothiers. This is a managerial position. She had no limitations with her function in this position. In February of 2012, she applied for and got a new job with Paris Jewellers. The reason for the vocational change was due to improved pay. She is currently an associate training to be an assistant manager. She anticipates no limitations with her vocational participation. With regard to her position as a manager at the International Clothiers Company (previous job), she states that she was required to do some physical labour with lifting activities. She states that the lifting activities actually felt beneficial for her musculosketetal complaints. She felt that she gained strength through this activity.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Based on the statements above and Ms. Visona's evidence at trial, her suffering and the effects of the soft tissue injuries likely lasted no longer than two years from the date of the accident. In making this determination, I am not taking into account the "tailbone" injury which Ms. Visona claims was caused by the November 23, 2009 accident. The evidence supports a finding that Ms. Visona continued suffering from her tailbone injury long after the soft-tissue injuries appear to have healed. I am considering the tailbone injury separately because on the evidence of the nature and severity of the accident, all of the medical practitioners' evidence and Ms. Visona's evidence, I find it unlikely that her tailbone injury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facts which lead me to conclude that the "tailbone" or "coccyx"</w:t>
      </w:r>
      <w:bookmarkStart w:id="205"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05"/>
      <w:r>
        <w:rPr>
          <w:rFonts w:ascii="arial" w:eastAsia="arial" w:hAnsi="arial" w:cs="arial"/>
          <w:color w:val="000000"/>
          <w:sz w:val="20"/>
          <w:lang w:val="en-US" w:eastAsia="en-US" w:bidi="ar-SA"/>
        </w:rPr>
        <w:t xml:space="preserve"> injury was not caused by the accident include the following: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Visona's evidence was clear that the tailbone pain is the most disabling and painful injury she suffered as a result of the accident. Dr. Jackson's January 2011 report reviews the injuries claimed to have been suffered by Ms. Visona, but makes no mention of the tailbone or coccyx pain. Considering Dr. Jackson attended upon Ms. Visona two days after the accident and on other occasions up to March of 2010, one would expect a reference to this claimed injury.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until Dr. Helper's June 2012 report that he opined that there had been an injury to the sacroiliac joint. In his March 2010 report, Dr. Helper concluded that the plaintiff had suffered discogenic pain or a soft-tissue injury to the lower back. During the trial there was evidence of other incidents including a further motor vehicle "near-miss" which exacerbated Ms. Visona's injuries, a July 2010 motor vehicle accident which resulted in injuries to her back, a slip at a Safeway in January 2011, and a fall in November 2011 when Ms. Visona fell and her face hit the ground. It is quite possible that one or more of these subsequent events could have caused or contributed to the tailbone injury, which was reported in the June 2012 report of Dr. Helper.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referred earlier in these reasons to the minimal impact of the November 23, 2009 collision. On cross-examination, Dr. Helper stated that an injury to the coccyx is likely to be the result of a direct blow to the coccyx or lower spine, and it is less likely that an injury to the coccyx would be caused to a person in a well-padded seat while belted in an automobile. In other words, it is unlikely that a direct significant impact to the coccyx could have occurred in the circumstances of this case while Ms. Visona was seated in the Dodge Ram truck.</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report of April 13, 2013, Dr. Street stated, at p. 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As Dr. Helper himself stated, in point 3 on page 3 of his report of June 25, 2012, "the only way to clarify this diagnosis is to undergo diagnostic testing". I would absolutely agree with this assertion by Dr. Helper. I am not aware that Ms. Visona underwent any such diagnostic testing. No records have been made available to me to indicate that Ms. Visona has undergone diagnostic injections of either her sacroiliac joints or her coccyx.</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both Dr. Helper and I have provided leading diagnoses that require diagnostic testing for clarification. As these diagnostic tests have not been performed to date, then I believe neither of us can be firm on our diagnosis as to the source of Ms. Visona's low back pain. Consequently, without a clear diagnosis as to the source of the pain, I believe that it is very difficult then to opine on either causation or prognosis.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p. 6 of the same report Dr. Street summarized the conclusions reached by him and Dr. Helper and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summary, it appears to me that Dr. Helper and I have very similar opinions with regard to most of Ms. Visona's complaints apart from that of her low back pain. Dr. Helper and I have provided differing leading diagnoses with regard to the low back pain. We have both stated that our respective diagnoses can only be clarified with the use of advanced diagnostic testing. We have both observed that, to date, these diagnostic tests have not been performed.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leading diagnoses provided by both Dr. Helper and I are fraught with clinical lack of reliability and, as such are very dependent on the advanced diagnostic testing for crystallization of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conclude from these passages that neither Dr. Helper nor Dr. Street is able to provide a conclusive opinion without the diagnostic testing both stated would likely be determinative as to the cause of Ms. Visona's low back and tailbone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conclusion I have arrived at is thus supported by the absence of any mention of tailbone pain by Ms. Visona in Dr. Jackson's January 2011 report which covered Dr. Jackson's appointments with Ms. Visona up to March 2010, the lack of diagnosis of sacroiliac pain in Dr. Helper's March 2010 report, the evidence of the minimal impact of the vehicles and lack of any direct impact in the area of Ms. Visona's lower back, the possibility of other incidents having caused or contributed to the lower back pain, and the lack of conclusive diagnosis by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of Appeal's decision in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is instructive regarding the assessment damages for a minimal impact collision. Particularly instructive is the following excerpt from the decision of Smith,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Here, the respondents did not argue that Mrs. Cahoon could not have been injured in the collision. Rather, they conceded she suffered some injury but submitted that she was exaggerating her injuries and that she had not proven that all of the injuries and losses of which she complained were caused by the collision. The burden of proof of these matters lay with Mrs. Cahoon - the respondents did not bear the burden of proving that the injuries she claimed were not caused by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The evidence of automobile damage was relevant to the question whether Mrs. Cahoon suffered the injuries she claimed as a result of the collision. In </w:t>
      </w:r>
      <w:r>
        <w:rPr>
          <w:rFonts w:ascii="arial" w:eastAsia="arial" w:hAnsi="arial" w:cs="arial"/>
          <w:i/>
          <w:color w:val="000000"/>
          <w:sz w:val="20"/>
          <w:lang w:val="en-US" w:eastAsia="en-US" w:bidi="ar-SA"/>
        </w:rPr>
        <w:t>R. v. Watson</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(1996), 108 C.C.C. (3d) 310</w:t>
        </w:r>
      </w:hyperlink>
      <w:r>
        <w:rPr>
          <w:rFonts w:ascii="arial" w:eastAsia="arial" w:hAnsi="arial" w:cs="arial"/>
          <w:color w:val="000000"/>
          <w:sz w:val="20"/>
          <w:lang w:val="en-US" w:eastAsia="en-US" w:bidi="ar-SA"/>
        </w:rPr>
        <w:t xml:space="preserve"> at 323-24 (Ont. C.A.), Doherty J.A. explained relevance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Relevance ... requires a determination of whether as a matter of human experience and logic the existence of "Fact A" makes the existence or non-existence of "Fact B" more probable than it would be without the existence of "Fact A". If it does then "Fact A" is relevant to "Fact B". As long as "Fact B" is itself a material fact in issue or is relevant to a material fact in issue in the litigation then "Fact A" is relevant and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admissible.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Human experience and logic, qualities for which juries are particularly valued, are the essence of common sense. They suggest there is a relationship between the force of an impact between two vehicles and the resulting damage to the vehicles. Thus, evidence of minimal damage makes it more likely the force of the impact was minimal (Fact A). Human experience and logic also suggest there is a relationship between force exerted on the human body and injury caused by the force. Thus, evidence of minimal force applied to the human body tends to make it more probable that the resulting injury would not be serious (Fact B). It follows that the evidence of vehicle damage was relevant on this issue and the trial judge did not err in instructing the jury that they could use it as circumstantial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abundantly clear in this case that there was minimal impact between the two vehicles. Even Ms. Visona stated in cross-examination that she had no recollection of the sound of the impact and "our car moved south a little bit, a few inches". The clear evidence of very minimal impact of the vehicles thus justifies consideration of the impact in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considering all of the evidence relating to causation of Ms. Visona's low back pain, I find on a balance of probabilities that the sacroiliac mediate pain, or the diagnosis of coccydynia, to use the words of Dr. Street, was not caused by the November 23, 2009 motor vehicle accident. Therefore, the only injuries suffered by Ms. Visona as a result of the November 23, 2009 accident are the soft-tissue injuries to her neck, back and left hip as well as a bruise to the left side of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Assessment of Non-Pecuniary Damages for Pain and Suffering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 result of the November 23, 2009 accident, Ms. Visona suffered soft-tissue injuries to her neck, back and left hip, and a bruise to the left side of her knee. Based on my finding above that Ms. Visona suffered from these injuries for a period of at most two years, the authorities quoted by the defence are more applicable in assessing damages for pain and suffering. In contrast, the submissions from counsel for Ms. Visona took into account ongoing low back pain almost four years after the accident, and emotional considerations such as the breakup of Ms. Visona's marriage and difficulties in her relationship with her daughter, neither of which can be related to the November 23,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Awards of damages for pain and suffering from other cases act as a guide but are not determinative as to appropriate compensation for the injuries. I agree that each case must be considered on its own merits, and consideration of an individual's situation makes the assessment of damages a very subjective task. The decisions referred to which are of some assistance are Mr. Justice Verhoeven's decision in </w:t>
      </w:r>
      <w:r>
        <w:rPr>
          <w:rFonts w:ascii="arial" w:eastAsia="arial" w:hAnsi="arial" w:cs="arial"/>
          <w:i/>
          <w:color w:val="000000"/>
          <w:sz w:val="20"/>
          <w:lang w:val="en-US" w:eastAsia="en-US" w:bidi="ar-SA"/>
        </w:rPr>
        <w:t>Carter v. Zhan,</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2012 BCSC 595</w:t>
        </w:r>
      </w:hyperlink>
      <w:r>
        <w:rPr>
          <w:rFonts w:ascii="arial" w:eastAsia="arial" w:hAnsi="arial" w:cs="arial"/>
          <w:color w:val="000000"/>
          <w:sz w:val="20"/>
          <w:lang w:val="en-US" w:eastAsia="en-US" w:bidi="ar-SA"/>
        </w:rPr>
        <w:t xml:space="preserve">, and Madam Justice Maisonville's decision in </w:t>
      </w:r>
      <w:r>
        <w:rPr>
          <w:rFonts w:ascii="arial" w:eastAsia="arial" w:hAnsi="arial" w:cs="arial"/>
          <w:i/>
          <w:color w:val="000000"/>
          <w:sz w:val="20"/>
          <w:lang w:val="en-US" w:eastAsia="en-US" w:bidi="ar-SA"/>
        </w:rPr>
        <w:t>Vela v. MacKenzie,</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2012 BCSC 438</w:t>
        </w:r>
      </w:hyperlink>
      <w:r>
        <w:rPr>
          <w:rFonts w:ascii="arial" w:eastAsia="arial" w:hAnsi="arial" w:cs="arial"/>
          <w:color w:val="000000"/>
          <w:sz w:val="20"/>
          <w:lang w:val="en-US" w:eastAsia="en-US" w:bidi="ar-SA"/>
        </w:rPr>
        <w:t>. In those cases, the learned judges awarded non-pecuniary damages of $35,000 and $27,000,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in light of all of the evidence, that Ms. Visona is entitled to non-pecuniary damages of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Income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her assessments of Ms. Visona only up to early March 2010, Dr. Jackson concluded in her January 2011 report that Ms. Visona's injuries would have precluded her from working at the time Dr. Jackson was seeing Ms. Visona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Visona testified that she was not working at the time of the accident as a matter of choice as she and her husband decided it was more important for Ms. Visona to be at home helping their daughter than to be in the workforce. Contrary to this, Ms. Visona also testified that on the day of the accident she was intending to apply for a job at Guildford Mall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2009, up to the time of the accident in November, Ms. Visona had earned $2,930 and received employment insurance proceeds of $3,523.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at the time of the accident, Ms. Visona was not working as a result of her and her husband's decision that she withdraw from the workforce to spend more time with their daughter. I also find that Ms. Visona was not seriously considering returning to the workforce in November 2009 or soon thereafter. Ms. Visona likely could have found work at some point in time prior to September of 2010. However, the nature of work, whether part-time or full-time and the amount of wages, is speculative. I therefore find past loss of income in the amount of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Visona also claims lost income from not being able to continue with her July 2012 promotion to administrative assistant with her current employer, Paris Jewelers, an assignment which had increased her pay. As I find that most the injuries suffered in the accident had been overcome within two years and that the continued low back pain was not caused by the accident, I dismiss any claim by Ms. Visona for loss of income in 2012 relating to this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leading case in B.C. on the loss of future earning capacity is the Court of Appeal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as a capital asset approach, as in </w:t>
      </w:r>
      <w:r>
        <w:rPr>
          <w:rFonts w:ascii="arial" w:eastAsia="arial" w:hAnsi="arial" w:cs="arial"/>
          <w:i/>
          <w:color w:val="000000"/>
          <w:sz w:val="20"/>
          <w:lang w:val="en-US" w:eastAsia="en-US" w:bidi="ar-SA"/>
        </w:rPr>
        <w:t xml:space="preserve">Brown, </w:t>
      </w:r>
      <w:hyperlink r:id="rId537"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i/>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stated above, Ms. Visona has fully recovered from the injuries suffered in the November 23, 2009 accident. On the evidence before me, there is no possibility of a future event leading to a loss of income that could be related in any way to the accident. Accordingly, Ms. Visona's claim for future income loss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parties have agreed that Ms. Visona is entitled to $1,049.25 in special damages. I order payment of special damages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have been generally successful in this action and in that case I would typically order costs on Scale B in the cause to the defendants. However, there may be factors of which I am not aware. Therefore, if the parties wish to make submissions as to costs to me in writing, they are free to do so if those submissions are received by November 22,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77" style="position:absolute;z-index:25184256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06"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06"/>
      <w:r>
        <w:rPr>
          <w:rFonts w:ascii="arial" w:eastAsia="arial" w:hAnsi="arial" w:cs="arial"/>
          <w:sz w:val="20"/>
          <w:lang w:val="en-US" w:eastAsia="en-US" w:bidi="ar-SA"/>
        </w:rPr>
        <w:tab/>
      </w:r>
      <w:r>
        <w:rPr>
          <w:rFonts w:ascii="arial" w:eastAsia="arial" w:hAnsi="arial" w:cs="arial"/>
          <w:color w:val="6D6E71"/>
          <w:sz w:val="18"/>
          <w:lang w:val="en-US" w:eastAsia="en-US" w:bidi="ar-SA"/>
        </w:rPr>
        <w:t>The terms "tailbone" and "coccyx" are at times used interchangeably, and both terms have been used in the several reports in evidence in this case. The coccyx is a bone located at the tip of the spine or vertebral column.</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Wilson v. Switlo, [2011] B.C.J. No. 1800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Terrace,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 30, October 1, 2, 5-9, 26-30,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19-22 and February 18,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15896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Terrace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1287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Steve Wilson, Margaret Grant, Jonah (Keith) Nyce, Ellis Ross, Kevin Stewart, Rod Bolton, Ken Hall, Alex Grant Sr., Godfrey Grant Jr., Henry Amos Sr., Henry Amos Sr., and Kitamaat Village Council, Plaintiffs, and Janice Georgina Alice Eleanor Switlo, John Wilson Sr., Allan Williams Sr., Morris Amos, Sandra Robinson, Wendy Bolton, Harvey Grant Sr., John Doe, Jane Doe, Richard Roe, Jane Roe, and Jennifer Grant Howard, also known as Jennifer Grant,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30"/>
      <w:bookmarkEnd w:id="207"/>
      <w:r>
        <w:rPr>
          <w:rFonts w:ascii="arial" w:eastAsia="arial" w:hAnsi="arial" w:cs="arial"/>
          <w:b/>
          <w:color w:val="000000"/>
          <w:sz w:val="20"/>
          <w:lang w:val="en-US" w:eastAsia="en-US" w:bidi="ar-SA"/>
        </w:rPr>
        <w:t>Aboriginal law — Communities and governance — Status of community — Types — Indian bands and First Nations — Civil actions and liabilities — Action by plaintiffs, who consisted of band council and its members, against defendants for damages for defamation allowed — Counterclaim by some of defendants for similar relief dismissed — Action arose out of divisive band politics and conflict as to who spoke for an Indian band — Council was government body and it did not have the capacity to maintain an action for defamation.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Injunctions — Circumstances when granted — Action by plaintiffs, who consisted of band council and its members, against defendants for damages for defamation allowed — Two individual defendants were subject to an injunction that required them or their agents not to make any defamatory statements against the plaintiffs.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Defamation — Method of publication — Action by plaintiffs, who consisted of band council and its members, against defendants for damages for defamation allowed — Counterclaim by some of defendants for similar relief dismissed — Action arose out of divisive band politics and conflict as to who spoke for an Indian band — Four of five defendants who were liable acted with malice — Their aim was to challenge and undermine authority of elected band council — Plaintiffs were awarded general and aggravated damages — One defendant was liable for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Exemplary or punitive damages — Where high-handed, malicious, arbitrary of highly-reprehensible misconduct — Action by plaintiffs, who consisted of band council and its members, against defendants for damages for defamation allowed — Counterclaim by some of defendants for similar relief dismissed — Action arose out of divisive band politics and conflict as to who spoke for an Indian band — Four of five defendants who were liable acted with malice — Their aim was to challenge and undermine authority of elected band council — Plaintiffs were awarded general and aggravated damages — One defendant was liable for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Defences — Fair comment — Qualified privilege — Action by plaintiffs, who consisted of band council and its members, against defendants for damages for defamation allowed — Counterclaim by some of defendants for similar relief dismissed — Action arose out of divisive band politics and conflict as to who spoke for an Indian band — Four of five defendants who were liable acted with malice — Their aim was to challenge and undermine authority of elected band council — Plaintiffs were awarded general and aggravated damages — One defendant was liable for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30"/>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for damages for defamation. Counterclaim by five of the defendants for similar relief. The plaintiff Wilson was a former chief councilor of the plaintiff Kitamaat Village Council and the remaining individual plaintiffs were present and former elected band councillors of the Council. The Council was the band council of the Haisla First Nation. The defendants were opposed to the plaintiffs' actions. The action arose out of divisive band politics and a conflict as to who spoke for the Haisla. There were 14 publications made by the defendants. Twelve of them gave rise to allegations of libel and two of them gave rise to allegations of slander. The counterclaim pertained to alleged defamation that was contained in the plaintiffs' press release that announced the writ.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7"/>
            <w:bookmarkEnd w:id="209"/>
            <w:r>
              <w:rPr>
                <w:rFonts w:ascii="arial" w:eastAsia="arial" w:hAnsi="arial" w:cs="arial"/>
                <w:color w:val="000000"/>
                <w:sz w:val="20"/>
                <w:lang w:val="en-US" w:eastAsia="en-US" w:bidi="ar-SA"/>
              </w:rPr>
              <w:t>HELD: Action by individual plaintiffs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dismissed. The claims by the Council were dismissed because it was a government body and it did not have the capacity to maintain an action for defamation. Five of the defendants were found to be liable for 14 defamatory publications and four of them were found to have acted with malice when they defamed the plaintiffs. Their aim was to challenge and to undermine the authority of the elected band council. The defences of qualified privilege or fair comment did not apply to the defendants. The defendants were liable to some of the plaintiffs for general and aggravated damages in varying amounts. The total amount of general damages awarded amounted to $98,000. Each plaintiff received $4,000 from the defendants. Regarding four of the defendants no award was made for punitive damages because the combined award of general and aggravated damages was sufficient to punish and deter them. One of the defendants, who was primarily responsible for what occurred in this case and who continued with his defamatory conduct up to the first day of the trial, was liable for $10,000 in punitive damages. The same defendant and another of the individual defendants were also subject to an injunction that required them or their agents not to make any defamatory statements against the plaintiffs. The press release was defamatory. The counterclaiming defendants established that the complained of words referred to them in fact. However, the press release was protected by qualified privilege for it was an appropriate response to an untrue attack and not to valid criticism.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19"/>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r>
        <w:rPr>
          <w:rFonts w:ascii="arial" w:eastAsia="arial" w:hAnsi="arial" w:cs="arial"/>
          <w:i/>
          <w:color w:val="000000"/>
          <w:sz w:val="20"/>
          <w:lang w:val="en-US" w:eastAsia="en-US" w:bidi="ar-SA"/>
        </w:rPr>
        <w:t>SBC 2004, CHAPTER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Reg. 245/2009,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Terms of Union, s. 53, s. 62, s.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1867, R.S.C. 1985, App. II, No. 5,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753" w:history="1">
        <w:r>
          <w:rPr>
            <w:rFonts w:ascii="arial" w:eastAsia="arial" w:hAnsi="arial" w:cs="arial"/>
            <w:i/>
            <w:color w:val="0077CC"/>
            <w:sz w:val="20"/>
            <w:u w:val="single"/>
            <w:shd w:val="clear" w:color="auto" w:fill="FFFFFF"/>
            <w:lang w:val="en-US" w:eastAsia="en-US" w:bidi="ar-SA"/>
          </w:rPr>
          <w:t>R.S.C. 1985, c. C-46, s. 111</w:t>
        </w:r>
      </w:hyperlink>
      <w:r>
        <w:rPr>
          <w:rFonts w:ascii="arial" w:eastAsia="arial" w:hAnsi="arial" w:cs="arial"/>
          <w:color w:val="000000"/>
          <w:sz w:val="20"/>
          <w:lang w:val="en-US" w:eastAsia="en-US" w:bidi="ar-SA"/>
        </w:rPr>
        <w:t>, s. 118, s. 122, s. 123(1), s. 336, s. 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Estate Administration Act, RSBC 1996, CHAPTER 122, 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754"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Act, </w:t>
      </w:r>
      <w:hyperlink r:id="rId755" w:history="1">
        <w:r>
          <w:rPr>
            <w:rFonts w:ascii="arial" w:eastAsia="arial" w:hAnsi="arial" w:cs="arial"/>
            <w:i/>
            <w:color w:val="0077CC"/>
            <w:sz w:val="20"/>
            <w:u w:val="single"/>
            <w:shd w:val="clear" w:color="auto" w:fill="FFFFFF"/>
            <w:lang w:val="en-US" w:eastAsia="en-US" w:bidi="ar-SA"/>
          </w:rPr>
          <w:t>R.S.C. 1985, c. I-5, s. 2</w:t>
        </w:r>
      </w:hyperlink>
      <w:r>
        <w:rPr>
          <w:rFonts w:ascii="arial" w:eastAsia="arial" w:hAnsi="arial" w:cs="arial"/>
          <w:color w:val="000000"/>
          <w:sz w:val="20"/>
          <w:lang w:val="en-US" w:eastAsia="en-US" w:bidi="ar-SA"/>
        </w:rPr>
        <w:t>(b), s. 10, s. 74, s. 80, s. 81(1), s. 81(1)(f), s. 81(1)(I), s. 81(1)(o), s. 81(1)(q), s.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Indian Advancement Act, 1884,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Indian Band Council Procedure Regulation, C.R.C. 1978, c. 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Industrial Development Act, </w:t>
      </w:r>
      <w:r>
        <w:rPr>
          <w:rFonts w:ascii="arial" w:eastAsia="arial" w:hAnsi="arial" w:cs="arial"/>
          <w:i/>
          <w:color w:val="000000"/>
          <w:sz w:val="20"/>
          <w:lang w:val="en-US" w:eastAsia="en-US" w:bidi="ar-SA"/>
        </w:rPr>
        <w:t>RSBC 1996, CHAPTER 220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Society Act, </w:t>
      </w:r>
      <w:hyperlink r:id="rId756" w:history="1">
        <w:r>
          <w:rPr>
            <w:rFonts w:ascii="arial" w:eastAsia="arial" w:hAnsi="arial" w:cs="arial"/>
            <w:i/>
            <w:color w:val="0077CC"/>
            <w:sz w:val="20"/>
            <w:u w:val="single"/>
            <w:shd w:val="clear" w:color="auto" w:fill="FFFFFF"/>
            <w:lang w:val="en-US" w:eastAsia="en-US" w:bidi="ar-SA"/>
          </w:rPr>
          <w:t>RSBC 1996, CHAPTER 433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 Foreign Corrupt Practices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Utilities Commission Act, </w:t>
      </w:r>
      <w:hyperlink r:id="rId757" w:history="1">
        <w:r>
          <w:rPr>
            <w:rFonts w:ascii="arial" w:eastAsia="arial" w:hAnsi="arial" w:cs="arial"/>
            <w:i/>
            <w:color w:val="0077CC"/>
            <w:sz w:val="20"/>
            <w:u w:val="single"/>
            <w:shd w:val="clear" w:color="auto" w:fill="FFFFFF"/>
            <w:lang w:val="en-US" w:eastAsia="en-US" w:bidi="ar-SA"/>
          </w:rPr>
          <w:t>RSBC 1996, CHAPTER 473, s. 3</w:t>
        </w:r>
      </w:hyperlink>
      <w:r>
        <w:rPr>
          <w:rFonts w:ascii="arial" w:eastAsia="arial" w:hAnsi="arial" w:cs="arial"/>
          <w:color w:val="000000"/>
          <w:sz w:val="20"/>
          <w:lang w:val="en-US" w:eastAsia="en-US" w:bidi="ar-SA"/>
        </w:rPr>
        <w:t>, s.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Westbank First Nation Election Code, s.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Westbank First Nation Self-Government Act, </w:t>
      </w:r>
      <w:hyperlink r:id="rId758" w:history="1">
        <w:r>
          <w:rPr>
            <w:rFonts w:ascii="arial" w:eastAsia="arial" w:hAnsi="arial" w:cs="arial"/>
            <w:i/>
            <w:color w:val="0077CC"/>
            <w:sz w:val="20"/>
            <w:u w:val="single"/>
            <w:shd w:val="clear" w:color="auto" w:fill="FFFFFF"/>
            <w:lang w:val="en-US" w:eastAsia="en-US" w:bidi="ar-SA"/>
          </w:rPr>
          <w:t>S.C. 2004, c. 17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0"/>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R.D.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Sandra Robinson and Wendy Bolton: D.W. Burnett.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and on behalf of Harvey Grant Sr., Allan Williams Sr. and Jennifer Grant Howard: Morris Amos.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0"/>
      <w:bookmarkEnd w:id="212"/>
      <w:r>
        <w:pict>
          <v:line id="_x0000_s1182" style="position:absolute;z-index:25184358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17, 2011;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Table of Contents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Paragraph Range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 [87]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Background and Findings of Fact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 - [41]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Band Council Projects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 - [30]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Alcan Electricity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 - [32]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 Agreement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Europa Creek/Crab River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 - [41]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Events in Question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 - [87]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August 2006 Meeting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 - [55]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September 27, 2007</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 - [63]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Meeting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Signature Stamp and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 - [87]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Withdrawal Letter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CREDIBILITY AND MOTIVATION OF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 - [125]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PARTIES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 - [89]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 - [125]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Morris Amos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 - [114]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Allan Williams Sr.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 - [117]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Sandra Robinson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 - [121]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Wendy Bolton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 - [124]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Jennifer Grant Howard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 - [125]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 - [127]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 A BAND COUNCIL SUE IN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[128] - [131]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DEFAMATION?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DEFAMATION: LEGAL PRINCIPLES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 - [178]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 - [140]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Establishing Whether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[141] - [166]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Impugned Words Were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Defamatory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Imputations of Illegal</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[142] - [146]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Conduct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Imputations Concerning</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[147] - [161]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Persons Holding a Public</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Office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Words Referring to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[155] - [156]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Defamation of Groups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[157] - [161]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Publication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 - [162]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Responsibility for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Publication and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Republication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[163] - [166]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Individual Responsibility for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[167] - [173]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Publication by a Group</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Membership and Nature of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[174] - [178]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Strategic Alliance Committee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 IS DEFAMATION ESTABLISHED?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[179] - [336]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October 3 Words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 - [191]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 - [184]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 - [186]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[187] - [191]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1</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 - [209]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 - [209]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9 Words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 - [217]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 - [217]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2</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[218] - [229]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[226] - [229]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3</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 - [243]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[233] - [233]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[234] - [236]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 - [243]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4</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[244] - [255]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[249] - [249]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 - [252]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[253] - [255]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5</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[256] - [262]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 - [262]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6</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 - [270]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[267] - [270]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7</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[271] - [276]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[273] - [276]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8</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[277] - [283]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 - [283]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9</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[284] - [291]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[288] - [291]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Position Paper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[292] - [302]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[295] - [302]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 Page Document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[303] - [332]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[308] - [332]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0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November 28 Words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[333] - [335]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Summary of Publications and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[336] - [336]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DEFENCES RAISED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 - [494]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 Privilege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 - [348]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 - [339]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[340] - [341]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Principles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[342] - [348]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Was the BCUC Exercising a</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[349] - [401]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Judicial Function?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Tribunal Recognized by Law</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[355] - [355]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Nature of the Question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[356] - [371]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Powers and Procedures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[372] - [377]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Similar to those of a</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Court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Legal Consequences of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[378] - [382]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Decision Reached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Application of Absolute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[383] - [384]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Privilege to the BCUC</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Hearing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Connection of Letters 1</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[385] - [388]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9 to the BCUC Hearing</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Irrelevant Gratuitous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[389] - [401]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Statements about Third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Parties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Was the Haisla Traditional Court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[402] - [415]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Exercising a Judicial Function?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Oral Evidence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[406] - [415]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Qualified Privilege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[416] - [439]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[419] - [425]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[426] - [429]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[430] - [439]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Publications to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[430] - [434]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BCUC</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5 Page Document and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[435] - [439]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November 28 Words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Justification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[440] - [453]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Principles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[440] - [444]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[445] - [446]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[447] - [447]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[448] - [453]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Fair Comment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[454] - [470]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Principles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[454] - [461]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[462] - [463]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[464] - [464]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[465] - [470]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Malice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[471] - [494]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Principles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[471] - [479]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 - [480]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Position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[481] - [481]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[482] - [494]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[495] - [561]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Principles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[496] - [534]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[496] - [508]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Aggravated Damages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[509] - [511]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[512] - [518]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[515] - [516]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[517] - [518]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Contributory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[519] - [521]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u w:val="single"/>
                <w:lang w:val="en-US" w:eastAsia="en-US" w:bidi="ar-SA"/>
              </w:rPr>
              <w:t>Negligence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24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[522] - [528]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Steve Wilson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[529] - [532]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Margaret Grant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[533] - [534]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Jonah (Keith) Nyce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[535] - [537]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Ellis Ross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[538] - [552]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Kevin Stewart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[541] - [543]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Rod Bolton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[544] - [546]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Ken Hall</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[547] - [548]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Alex Grant Sr.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[549] - [550]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Godfrey Grant Jr.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[551] - [551]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Henry Amos Sr.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[552] - [552]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Assessment of General</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[553] - [553]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Assessment of Aggravated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[554] - [557]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[558] - [561]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INJUNCTION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[562] - [562]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COUNTERCLAIM</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[563] - [584]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 Press Release Defamatory?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[569] - [577]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Defences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[578] - [584]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"Attack Privilege"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[578] - [584]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[585] - [586]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B -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C -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D -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E -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F -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G -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H - 5 PAGE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I - NOTICE TO THE HAISLA FROM THE KVC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J - KVC COUNCIL RESPONSE TO FALSEHOODS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R.D. PUNNETT J._2"/>
            <w:bookmarkEnd w:id="213"/>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defamation action. It is a sad tale of a community divided. It is about reputation in that community. It is about politics. It contains elements that are both unique and 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Steve Wilson is a former chief councillor of the Kitamaat Village Council (the "KVC"). The remaining individual plaintiffs are all present or former elected band councillors of the KVC. The KVC, also a plaintiff in this case, is the band council of the Haisla First Nation. The defendants are individuals who are alleged to have formed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group opposed to the actions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John Wilson Sr. died during the litigation. As a result, pursuant to s. 59 of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neither a claim nor a defence founded in libel or slander survive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order of Justice Griffin, a default judgment was taken against the defendant Janice Switlo, a non-practicing lawyer, on March 31, 2009. Pursuant to that order, the individual plaintiffs were granted judgement for damages and costs to be assessed. The KVC was granted judgment against Janice Switlo subject to determination of the issue of the KVC's entitlement to judgment for defamation. Janice Switlo did not participate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July 30, 2009, default judgment was taken against Jennifer Grant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fourteen publications alleged, seven arising prior to the commencement of this action and seven subsequently. The statement of claim was amended to include the subsequent allegations. Twelve of the publications give rise to allegations of libel; two give rise to allegations of slander. Attached as Appendix A is a chart summarizing the plaintiffs and defendants with respect to each alleged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Generally, the impugned words raise allegations of conflict of interest, misrepresentation, fraud, deceit, dishonesty, incompetence, corruption, breach of trust and treason and relate to the conduct of the plaintiff council members and the band council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seek general, aggravated and punitive damages, interest, special costs and a permanent injunction against the defendants, restraining them from publishing defamatory words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Allan Williams Sr., Morris Amos, Sandra Robinson, Wendy Bolton and Harvey Grant Sr. have counterclaimed, alleging that the plaintiffs defamed them in a press release announcing the writ. They seek an injunction, general damages, aggravated damages, punitive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result is the defendants who remain parties to the action with respect to both liability and damages are Allan Williams Sr., Morris Amos, Sandra Robinson, Wendy Bolton and Harvey Grant Sr. With respect to Janice Switlo and Jennifer Grant Howard, damages remain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Sandra Robinson and Wendy Bolton were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Morris Amos appeared on the first day of trial and advised the court that he did not recognize the court's authority. He was warned of the consequences of leaving and not participating. Despite that, he left. However, on the second day of trial he reappeared and participated thereafter. He appeared on his own behalf and on behalf of Allan Williams Sr. and Harvey Grant Sr. He adopted, on his own behalf and on behalf of those for whom he appeared, the submissions of counsel for Sandra Robinson and Wendy Bolton.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multiple parties and multiple publications, this case involves numerous legal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was stated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3, "As in all actions for libel, the factual background is extremely important and must be set out in some detail." In this case, the number of plaintiffs and defendants as well as the number of alleged defamatory statements make that instruction particularly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action arises out of divisive band politics and a conflict over who speaks for the Haisla, a band of approximately 1600 members of whom 900 live on-reserve at Kitamaat Village, near the City of Kitimat on the north coast of British Columbia. There are approximately 1000 eligible voters on and off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is the case with many bands, they are governed both traditionally and under the provisions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xml:space="preserve">. The KVC, is elected pursuant to s. 74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The elections are held every two years. Its powers flow from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As described in J. Woodward, </w:t>
      </w:r>
      <w:r>
        <w:rPr>
          <w:rFonts w:ascii="arial" w:eastAsia="arial" w:hAnsi="arial" w:cs="arial"/>
          <w:i/>
          <w:color w:val="000000"/>
          <w:sz w:val="20"/>
          <w:lang w:val="en-US" w:eastAsia="en-US" w:bidi="ar-SA"/>
        </w:rPr>
        <w:t>Native Law</w:t>
      </w:r>
      <w:r>
        <w:rPr>
          <w:rFonts w:ascii="arial" w:eastAsia="arial" w:hAnsi="arial" w:cs="arial"/>
          <w:color w:val="000000"/>
          <w:sz w:val="20"/>
          <w:lang w:val="en-US" w:eastAsia="en-US" w:bidi="ar-SA"/>
        </w:rPr>
        <w:t>, vol. 1 Toronto: Thomson Carswell, 1994 (loose-leaf updated 2011, release 1) at 168-169: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may be said that band councils possess at least all the powers necessary to effectively carry out their responsibilities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even when not specifically provided for. There is an implied power to contract, without the need for authority in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 A band is bound by the decisions of its elected council unless the council acts in bad faith.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despite the band's governance by an elected band council, the members and the hereditary chiefs are not excluded. Again in </w:t>
      </w:r>
      <w:r>
        <w:rPr>
          <w:rFonts w:ascii="arial" w:eastAsia="arial" w:hAnsi="arial" w:cs="arial"/>
          <w:i/>
          <w:color w:val="000000"/>
          <w:sz w:val="20"/>
          <w:lang w:val="en-US" w:eastAsia="en-US" w:bidi="ar-SA"/>
        </w:rPr>
        <w:t>Native Law</w:t>
      </w:r>
      <w:r>
        <w:rPr>
          <w:rFonts w:ascii="arial" w:eastAsia="arial" w:hAnsi="arial" w:cs="arial"/>
          <w:color w:val="000000"/>
          <w:sz w:val="20"/>
          <w:lang w:val="en-US" w:eastAsia="en-US" w:bidi="ar-SA"/>
        </w:rPr>
        <w:t xml:space="preserve"> at 171: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alternative way to describe the relationship of the band chief and council to members of the band may be found in aboriginal custom, which insofar as it is not repugnant to natural justice, equity and good conscience, is enforceable in the Courts. Thus the rights and duties of the community and chief cannot necessarily be described in terms of equity, but are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and dependent upon an historical and continuing, customary relationship.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was complicated by the practice of hereditary chiefs naming speakers, individuals who are authorized to participate in band matters on their behalf and execute documents in their name. The naming is done orally, leading to issues respecting who was or was not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litigation has its genesis in certain actions taken by the KVC that were the subject of controversy and criticism among some members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June 2007 election saw Steve Wilson elected as chief councillor, Margaret Grant as deputy chief councillor and, as councillors, Jonah (Keith) Nyce, Ellis Ross, Kevin Stewart, Rod Bolton, Ken Hall, Alex Grant Sr., Godfrey Grant Jr., Henry Amos Sr. and Sylvia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Steve Wilson testified that he and the council were elected on a platform of economic development. He was first elected to council in 2001 and re-elected in 2003, 2005 and 2007. Steve Wilson served as chief councillor from 2003 to 2009. Under his leadership, the KVC took steps to improve the economic circumstances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Morris Amos had served on the council in the 1990s, including a term as deputy chief. He ran in the 2003, 2005 and 2007 elections but lost in each 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Certain of the defendants have traditional names as well as their given names. In order to avoid confusion, I shall refer to them by their given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attempt to characterize this matter as a struggle between the band council and the hereditary chiefs. They allege that the band council was, as an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entity, restricted to dealing with administrative matters affecting the operations of the band. They argue that the hereditary chiefs remained the governing authority for all other matters such as negotiations with third parties respecting band lands, treaty matters and economic development. They allege the KVC operated without sufficient transparency and failed to keep the electorate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doing so, the defendants purport to represent the hereditary chiefs. However, as will be discussed, they were merely a small group of dissidents who sometimes referred to themselves as the Strategic Alliance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relationship of the KVC towards the hereditary chiefs was one of deference, as is illustrated by a declaration made in 1995. This declaration, entitled the "Grand Council of the Hereditary Chiefs of the Haisla Nation", was signed by the 11 hereditary chiefs and stated their support for the KVC with respect to treaty negotiations. It also provided that a framework agreement, a treaty agreement in principle and a final draft of a treaty would be presented to the Haisla Nation at large for approval. That declaration remained in place and formed the basis for the KVC and the hereditary chiefs' interactions.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practice of the KVC was to negotiate potential agreements and then return to the hereditary chiefs with the draft proposed agreements. Steve Wilson testified that Tom Robinson, the senior hereditary chief, instructed him in 2001-2002 only to return once there was an agreement for their review. He stated that he met informally with Tom Robinson at least monthly thereafter to deliver an oral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practice, the band council's areas of responsibility and the necessary approval of the hereditary chiefs were not limited to treaty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KVC also published a monthly newsletter referred to as the Dootilh. In addition, their annual audit was circulated each year along with a summary document. Nevertheless, the defendants challenged the transparency with which the council operated.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Band Council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alleged lack of disclosure particularly with respect to two initiatives undertaken by the band council. The first involved the modernization of the Alcan (now Rio Tinto Alcan) Kitimat Smelter, which was subject to the successful conclusion of an electricity purchase agreement ("the Alcan Electricity Purchase Agreement" or "EPA"); the second involved what is referred to as the Europa Creek/Crab River Hydroelectric Development.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Alcan Electricity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Alcan Electricity Purchase Agreement, filed in 2007, is a long-term agreement in which Alcan agreed to provide to BC Hydro electrical energy. It was the subject of a British Columbia Utilities Commission ("BCUC") hearing in 2007. On September 7, 2007, the BCUC issued an order (No. G-100-07) establishing a procedural conference on September 26, 2007 "to hear submissions on the regulatory process for the review of the 2007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October 5, 2007 the BCUC held a procedural conference regarding the scope of the EPA review proceeding. This resulted in a Scoping Order, issued October 10, 2007 (Letter No. L-83-07) that defined the scope of the proceeding. On the issue of the Commission's duty to consult with First Nations, the Scoping Order stated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Therefore, the duty of the Crown to consult and, if necessary, accommodate is not within the scope of this proceeding because it is not relevant to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Commission will continue to hear from the Haisla Nation during this proceeding, provided that such participation is subject to this decision to limit the scope of the oral hearing to cost-effectiveness.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Europa Creek/Crab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Europa Creek/Crab River Hydroelectric Development was a proposed run of the river power project on Haisla lands. The KVC incorporated a numbered company, 0728078 B.C. Ltd., the shares of which are held by the Kitamaat Indian Band as represented by the chief and band council. In addition, the Kitamaat Renewable Energy Corporation was incorporated, the shareholders of which are 0728078 B.C. Ltd. (30%), Dr. Alexander Eunall (30%) and Colmac Power Inc. (40%). It was explained that the result of the shareholdings was the project would proceed without cost to the Haisla. The terms of the arrangement are set out in a shareholders agreement dated March 7, 2007 between 0728078 B.C. Ltd, Colmac Power Inc. and the Kitamaat Renewable Energy Corporation. It was predicted to produce twenty million dollars in revenue per year upon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most contentious issues surrounding the Kitamaat Renewable Energy Corporation were the lack of Haisla ratification granting an interest in the company to a non-Haisla (Dr. Eunall), that Steve Wilson had held shares in the numbered company in his name and that this proposed power project had been pursued since 2005 but was not publicly disclosed until late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argued that in granting an interest in the Kitamaat Renewable Energy Corporation to a non-Haisla, the plaintiffs were acting contrary to their authority and contrary to the approval arrangement required by their 1995 instructions from the hereditary chiefs. They allege that Dr. Eunall was given a 30% stake in the project without Haisla consultation or band council resolution. An analysis of this issue must consider what that stake in fact consisted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Steve Wilson emphasized that despite the documentation showing the shareholders of Kitamaat Renewable Energy Corporation as himself (as shareholder in the numbered company) and Dr. Eunall, the company itself did not have assets, aside from a water license. The rights and title to the land remained with the band. Further, when it came time to ratify any agreement that related to Haisla lands, rights, or title, the support of the hereditary chiefs and a majority vote of the band members in a referendum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also raised the issue that originally Steve Wilson was shown as the shareholder with no documentation stating that he held the numbered company shares in trust. The evidence of Steve Wilson was that he held the shares because the band apparently lacked the legal ability to do so. As a result, legal counsel issued the shares in his name. I accept Steve Wilson's evidence that he had always held the shares in trust for the band and it was not until 2007 that the trust documentation was prepared. The only evidence supporting the allegation he owned the shares personally is the register of the company. While that may describe registered ownership of the shares, it does not address the issue of beneficial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Had the defendants asked, these matters could have been explained to them.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lack of disclosure became contentious when it was revealed that Steve Wilson had been pursuing the power project on Haisla land for two years and had proposed the granting of interests in it to a non-Haisla. It was also alleged that the band council was taking a pro-Alcan position regarding a matter affecting Haisla land at the BCUC hearings without involving the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contentiousness increased in the fall of 2007 when members of the band, including some hereditary chiefs became involved, resulting in a hostile meeting between the KVC and those band members and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was in this volatile environment that the documents that are the subject of this action were created.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Events in Question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August 2006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Hemaas (male chiefs) and Musmagilth (female chiefs) arranged to hold a public meeting with the KVC on August 29, 2006. However, the KVC failed to attend, having provided notice shortly before the meeting that they were not prepared for the meeting and suggesting an alternate date of October 7, 2006. The meeting proceeded on August 29, 2006 in the absence of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meeting contributed to an apparently growing schism in the village between the KVC and certain hereditary chiefs and their supporters. The failure of the KVC to attend was viewed by some as a disrespectful to the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3, 2007, a letter signed by five of the hereditary chiefs was sent to the KVC requesting a meeting with the council to discuss the cemetery and the status of the land claims negotiations. The council did not respond until September 25, 2007 when they invited the hereditary chiefs to a meeting on September 27, 2007. Apparently the dissident group took exception to this delay, although I am satisfied by Steve Wilson's explanation that during the summer and early fall it was impossible to get the ten councillors together for an earlier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this point, the relationship between the KVC and some of the hereditary chiefs was contentious. However, subsequent actions of certain of the defendants exacerbated the situation. Those actions moved matters from a political issue between members of the band into the broader forum of the BCUC hearings and set into motion the events that led to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early fall of 2007, the opposition to the KVC coalesced into an organized group. The leader of the group was the defendant Morris Amos. It was his idea to intervene in the BCUC hearings. The evidence of the late John Wilson Sr. on discovery explained that "the B.C. Utilities Commission was the only way we figured we would somehow stop -- stop them. Q. Stop who? A. The Council". Allan Williams Sr. confirmed that it was Morris Amos' idea to write to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BCUC hearings in question were in respect of the Alcan Electricity Purchase Agreement. As mentioned, on September 7, 2007, the BCUC ordered that a procedural conference take place on September 26, 2007 to hear submissions on the regulatory process for the review of the Alcan Electricity Purchase Agreement. On September 13, 2007, the KVC, on behalf of the Haisla Nation, registered as intervenor at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Unbeknownst to the KVC, Morris Amos, Harvey Grant Sr. and John Wilson Sr. took steps to request intervenor status on behalf of the hereditary chiefs. They decided to seek assistance in doing so. They found that assistance in the person of the defendant Janice Switlo, a non-practicing lawyer. Morris Amos had been given her name by Harvey Grant Sr. His due diligence consisted of reviewing her website. He did not conduct background searches respecting her history or qualifications nor did he seek references. He requested her assistance in the BCUC intervention on behalf of himself, John Wilson Sr., Allan Williams Sr. and Harvey Grant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Morris Amos drafted a letter dated September 26, 2007 that was entirely in his words except for the last two sentences added by Janice Switlo. The letter to the BCUC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the Hereditary Chiefs of the Haisla First Nation and as such we represent the Haisla Nation.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now inform you that we will be intervening the this [sic] B.C. Hydro proceeding.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request that our advisor, Ms. Janice G.A.E. Switlo, be caron [sic] copied any material that is sent to our group.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shown as from John Wilson Sr. and Harvey Grant Sr. and copied to Janice G.A.E. Switlo,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Morris Amos admitted that only John Wilson Sr. and Harvey Grant Sr. asked him to create this letter. He also acknowledged that he sent the letter to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note that this intervention only involved one hereditary chief, that being John Wilson Sr. Despite that, the intervention purported to be on behalf of the hereditary chiefs generally. Given there are more than ten hereditary chiefs, such a representation was false. The evidence is that there are four main houses represented by four chiefs but that there are also a significant number of other chiefs, both male and female.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Notwithstanding their knowledge that the KVC had already applied as intervenor, they failed to copy this letter to the KVC. This letter brought the division in the community to a head in that it was a direct challenge, involving third parties, to the authority of the KVC.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mentioned, on September 26, 2007, the BCUC set a second procedural conference for October 5, 2007 regarding the scope of the proceeding. The BCUC set the oral public hearing into the Alcan Electricity Purchase Agreement for November 19, 2007 and laid out a timetable for the regulatory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meantime, events began to unfold in Kitamaat Village.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September 27, 2007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September 27, 2007 meeting of the KVC and certain hereditary chiefs occurred at the healing centre boardroom. A recording of the meeting was introduced into evidence along with a transcript. What occurred at the meeting is the subject of disagreement. Clearly it was contentious. Voices were raised and opinions vigorously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end of the meeting, Steve Wilson stated clearly that a letter was to be prepared and signed withdrawing the September 26, 2007 letter prepared by Morris Amos to the BCUC requesting intervenor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argue there was no consensus reached at the meeting that this letter would be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those at the meeting were concerned at the actions taken by John Wilson Sr. and Harvey Grant Sr. without their input and that when the withdrawal letter was proposed, no one indicated their opposition. In fact, Harvey Grant Sr. clearly changed his position with respect to the original Intervention Letter. He indicated that he supported the withdrawal of that letter, stating that he wanted it undone that very day. Moreover, a review of the transcript and the recording indicates that the late John Wilson Sr., while not stating the letter of September 26, 2007 should be withdrawn, did not disagree with that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also submit that the meeting was not attended by all those who should have attended as the true agenda for the meeting was not circulated, given the meeting was stated to be for the purpose of discussing the cemetery and land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Harvey Grant Jr. attended and participated at the meeting. Allan Williams Sr., while not at the meeting, subsequently signed the October 2, 2007 letter withdrawing the September 26, 2007 Intervention Letter. He also acknowledged that he had a representative at the meeting. Kevin Stewart testified that Tom Robinson informed him that Sammy Robinson would attend on his behalf. Sammy Robinson did attend but left for another appointment before the meeting dealt with the letter to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criticism that not all who should have been present (the other hereditary chiefs) attended is disingenuous given the original letter of September 26, 2007 was done without the authority of the hereditary chiefs. Several of the plaintiffs present were hereditary chiefs, including Ken Hall, one of the 11 who had signed the 1995 hereditary chiefs' declaration. There were certainly more hereditary chiefs present for the withdrawal discussion than for the original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letter prepared and sent as a result of this meeting was dated October 2, 2007 (the "Withdrawal Letter") and was signed by Allan Williams Sr., John Wilson Sr., Harvey Grant Jr. and, purportedly, by Tom Robinson, the most senior chief, through the use of a signature stamp in his name held at the band office.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Signature Stamp and the Withdrawal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was much made of Tom Robinson's signature stamp. The circumstances surrounding its use formed the basis for a number of the defendants'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a result of the September 27, 2007 meeting, the KVC faxed the Withdrawal Letter to the BCUC. The letter stated that the writers, John Wilson Sr., Harvey Grant Jr., Tom Robinson and Allan Williams Sr., were the true representatives of the hereditary chiefs and wished to withdraw the hereditary chiefs' September 26, 2007 request for intervenor status. The authors pointed out that there were four Haisla Nation clans each with a "chiefly" name and that they were the four hereditary chiefs of those clans. It further recognized the KVC as the one voice to speak for the Haisla.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letter was signed personally by three of the chiefs. However, the signature of Tom Robinson was affixed with a rubber stamp. It was affixed by Deputy Chief Councillor Margaret Grant because Councillor Kevin Stewart had been told by Tom Robinson's brother Sammy Robinson (who was understood to speak for Tom Robinson) that it should be used for the letter to the BCUC. This occurred without the knowledge of Steve Wilson, who would have sought direct instructions from Tom Robinson given that was their agreement respecting the use of the stamp.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stamp was originally created on the instructions of Tom Robinson at a time when his signature was going to be required on 100 copies of a book that was being distributed to the community. The arrangement between Tom Robinson and Steve Wilson was that the stamp was to be retained and only used on the instructions of Tom Robinson. Steve Wilson was instructed to use it once more in 2006. It was kept locked in the KVC's safe, accessible only by their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 the stamp came to be used to sign the Withdrawal Letter is relevant to the defendants' complaints against the plaintiffs and the validity of those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Kevin Stewart explained that when he and Tom Robinson discussed the upcoming September 27, 2007 meeting, Tom Robinson told him that Sammy Robinson would attend on his behalf as his speaker. It is acknowledged that at the time Tom Robinson was only told that the meeting would consider cemetery and land claim issues. Tom Robinson was very ill at that time and died during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Kevin Stewart testified that after the meeting it was his understanding that Sammy Robinson had authorized the use of the stamp on the Withdrawal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challenged the evidence of Kevin Stewart as follows:</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Tom Robinson was not told that the issue of the BCUC intervention would arise at the meeting.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Tom Robinson did not give him authority to sign anything.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excuse for not consulting Tom Robinson about the signature was that Tom Robinson was too ill, yet just days earlier he had consulted Tom Robinson about the meeting.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evidence as to what Sammy Robinson said was hearsay and significantly Sammy Robinson was never called as a witness.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Wilson conceded in cross that the use of the signature stamp was in breach of the agreement with Tom Robinson about the use of that stamp.</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Stewart admitted under cross that in January 2009, at a public meeting of 100-150 people at the Kitamaat Village Recreation Centre, Steve Wilson responded to shouts of "drop the lawsuit" by saying maybe a feast would solve it. He [Kevin Stewart] then admitted that he stood up and emotionally said: "I feel sick. It was me who put the stamp on. I didn't mean to be fraudulent. I should have gone to Tommy". Wendy Bolton recounted this in her testimony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death of Tom Robinson prior to the trial left the court with the evidence of Kevin Stewart. Sammy Robinson was not called by either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accept that Kevin Stewart thought the use of the stamp was authorized. I also accept that had he thought its use was not authorized, he would not have instructed Margaret Grant to use it. His subsequent comments respecting its use are consistent with his belief at the time that it could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that neither Kevin Stewart nor Margaret Grant intended to use the stamp fraudulently or without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uncontroverted evidence of Steve Wilson was that he did not become aware of the use of the stamp until after October 5, 2007. That is supported by the evidence of Sandra Robinson that Steve Wilson told her that the stamp had only been used twice, referring to its use long before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also attack the manner in which the other signatures were obtained and Steve Wilson's comments concerning the Withdrawal Letter at the BCUC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chronology of the signing of the letter is complicated by the fact that it was initially prepared with places for the four signatories but without their status as chiefs indicated under their signatures. That oversight was subsequently corrected in a second version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Kevin Stewart testified he attended at the home of John Wilson Sr. and explained the first copy of the letter to him. He stated that John Wilson Sr. signed it after reading it. He next saw Harvey Grant Sr. at Alcan where he worked. He also explained the letter to him and Harvey Grant Sr. signed it. He stated that he spoke to Sammy Robinson to get authority to use the stamp given his understanding of Tom Robinson's poor health and showed the letter to Sammy Robinson. He then returned to the band office with the signatures of John Wilson Sr. and Harvey Grant Sr. and his understanding that Tom Robinson's signature could be affixed with the stamp. As it developed, the stamp was not used on the first copy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was at that point decided that the status of the chiefs should be added. Kevin Stewart testified that when the new version was prepared, he called Allan Williams Sr. and explained the letter and the need to have it signed. As he had a meeting, he asked that Margaret Grant arrange to get Allan Williams Sr.'s signature. She later returned with the signatures of Allan Williams Sr. and John Wilson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stamp of Tom Robinson's signature was then affixed by Margaret Grant in Kevin Stewart's presence. The letter was subsequently signed by Harvey Grant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Allan Williams Sr. stated on direct examination that he had just had cataract surgery when he signed the Withdrawal Letter and could not read it. He further stated that he asked that it be read to him and that was not done. This was contradicted by the evidence of Margaret Grant who attended at his home with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Margaret Grant's evidence was that when she attended at Allan Williams Sr.'s home with the second copy of the letter, he was just leaving. He had a cup of coffee and his keys in his hand. He informed her that he was late for an appointment in town. She stated that he confirmed that Kevin Stewart had explained the letter to him, he then read it and signed it. A copy was left with him. He was the first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She then attended at the home of John Wilson Sr. and explained it was a copy of the letter he had signed before and 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submitted that the use of Tom Robinson's stamped signature would have affected the securing of the signatures of the other three. However, that cannot be the case if some or all signed before his signature was affixed. I do not accept that they would have signed merely because Tom Robinson's name was typed on the letter as a proposed signatory. Harvey Grant Sr. in particular had already agreed at the meeting to the withdrawal of the hereditary chiefs'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After these events, the campaign of the Strategic Alliance Committee escalated. They attempted to portray this as a dispute between the KVC and the hereditary chiefs, and at trial maintained this position. On November 6, 2007, Tom Robinson, Allan Williams Sr. and John Wilson Sr. issued what is referred to in these reasons as the Position Paper, which purported to strip the members of the KVC of their status, such that they were no longer recognized as the band's leaders. However, I am satisfied that these four individuals did not in fact have the support of all of the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Sandra Robinson on cross-examination acknowledged this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after Exhibit 20 was created and circulated in the community, you know a great many hereditary chiefs and Musmagilth, M-u-s-m-a-g-i-l-t-h, of the Haisla Nation took exception. You became aware that they took exception to the document which is marked Exhibit 20 at this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at that -- they were at that 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after the meeting, a great many of the hereditary chiefs of the Haisla Nation and the chief ladies, if I can call them that, were very vocal in their disagreement with the stripping of authority from Kitamaat Village Council, chief councillor and the council,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never made themselves present at any of the meetings that were going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not my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we didn't know they disagreed with anything until that notice came 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 this -- the notice came out and then, boy, did they disagree, right? Lots of disagreement?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lots of -- this -- this whole incident that's what it caused.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lots of disagreement, you're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noted earlier, the dispute leading to this litigation is not properly characterized as a dispute between the KVC and the hereditary chiefs. Rather, it was a dispute between the KVC and a small group of dissidents that included two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Motivation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the plaintiffs Margaret Grant, Kevin Stewart, Ken Hall, Ellis Ross, Jonah (Keith) Nyce, Godfrey Grant Jr., Alex Grant Sr. and Henry Amos Sr., I am satisfied that they testified truthfully to the best of their ability and recollection. They were in my view forthright in their testimony. I am also satisfied that they were, throughout their time as band councillors, attempting to fulfil their obligations as councillors and representatives of the band to the best of their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Steve Wilson, I accept his evidence as well with the caveat that he was clearly overly sensitive to criticism and overly defensive on cross-examination, resulting in argumentative responses. One could characterize him as abrasive, which may in part explain the divisive events that have occurred. My assessment of his evidence, as noted later in these reasons, recognizes his defensiveness. However, any reservations arising from his demeanour are on the relevant issues resolvable by reference to the documentary evidence and the evidence of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Likewise, with respect to the defendants Jennifer Grant Howard, Sandra Robinson and Wendy Bolton, I find that they testified to the best of their recollection. Unfortunately, I am unable to say the same of Morris Amos and Allan Williams Sr.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Morris Amos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Morris Amos was clearly the instigator, spokesperson and person responsible for the dissident group. He had unsuccessfully appealed his loss in the June 2007 council election and his animosity directed against the successful chief councillor, Steve Wilson, was palpable. I find that he was on a mission to undermine the authority of the elected band council. He saw the BCUC hearings as a means to that end. His October 6, 2007 email to Janice Switlo is revealing of his motivations. In it he said, "my group is discouraged due to the sellout rubber stamp letter. I need to marshall the forces so to speak. [p]eople are in shock I think about the letter. Disheartened in losing the election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Morris Amos was selective in the hereditary chiefs he spoke to concerning the September 26, 2007 letter. There was no evidence that he made any effort to involve all of the hereditary chiefs, likely knowing that they were not all in agreement with him. Apparently, however, he did have sufficient influence in the village to form his small group in opposition to the band council and in doing so, members of the band were poorly served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stated in evidence that he did not know if he ever raised with Janice Switlo that he only had authority from one chief and that her letters were incorrect when referring to the intervention of the Haisla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direct examination, his answers and demeanor gave the appearance of an individual not taking the proceedings seriously. Indeed, on the first day of the trial, he denied that the court had any authority over him. On direct and cross-examination, he stated he did not recall various matters. However, his discovery evidence contradicted his apparent lack of recollection. For example, when it was put to him at trial that Harvey Grant Sr. had "backed off" supporting the Intervention Letter he had prepared after the September 27, 2007 meeting, he responded "I remember receiving something but I don't remember what exactly took place there". He then said he could not remember telling Janice Switlo in an email that Harvey Grant Sr. had backed off. His discovery evidence and the email stating just that were then put to him and he confirmed that he had given those answers and written that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Morris Amos was evasive and non-committal; he repeatedly attempted to minimize his involvement. His evidence was riddled with excuses that things had happened quickly. He repeatedly stated he could not recall or could not remember. I conclude he was making no concerted effort to recall and, in fact, was hiding behind a feigned lack of memory in an effort to avoid making admissions adverse to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was clearly established he was part of the group instructing Janice Switlo with respect to the documents she prepared. He confirmed that he provided to Janice Switlo the information in the first impugned expression (allegedly published to Janice Switlo on October 3, 2007) and that he instructed her throughout. Once Janice Switlo was let loose, he made no attempt to rein her in, presumably because her advice and letters were creating the turmoil he sought. He continued to provide her with instructions and authorized her subsequent barrage of letters to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Although he attempted to deflect responsibility for the letters onto the hereditary chiefs, the evidence establishes that he was directly involved from the time of retaining Janice Switlo onwards. He in fact was the driving force. He was not, as he put it, simply their "helper". In my opinion, he used the hereditary chiefs to give his instructions to Janice Switlo a veneer of legitimacy.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Morris Amos was evasive when questioned about the economic achievements of the KVC from June 2001 to June 2009 when Steve Wilson was a councillor, and later chief councillor. He refused to acknowledge that the KVC during his tenure ran a deficit and that under Steve Wilson, there was a turnaround from a two million-dollar deficit to eight million in the black. He refused to agree that the band's financial situation had substantially improved. I accept Steve Wilson's evidence that there was such improvement and find that Morris Amos was deliberately evasive and non-committal as he did not want to acknowledge anything positive about Steve Wilson or the KVC.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acknowledged that when he prepared the September 26, 2007 letter to the BCUC, he did not show it to Harvey Grant Sr. or John Wilson Sr. nor did he send it to the KVC. He denied any particular intent in not providing it to the KVC. I do not accept that denial. I find that he deliberately chose not to contact the KVC. His failure to seek explanations from the plaintiffs indicates he was not concerned with the truth. To have made such inquiries presumably would have risked undermining his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it appeared that his supporters Harvey Grant Sr. and John Wilson Sr. were retracting the letter of September 26, 2007, Janice Switlo informed him that she would turn off her phone. In effect, would turn a blind ear to their change in position. On cross-examination the following exchange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Didn't it concern you that Janice Georgina Alice Eleanor Switlo turned off her phone so Harvey Grant, Sr. and John Wilson, Sr. (the late) couldn't retract the intervener status.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didn't occur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Clearly Morris Amos was on a mission and was not inclined to change course despite asserting that he was only acting on behalf of the hereditary chiefs in question. To the contrary, I conclude he was not the servant of certain hereditary chiefs; rather, they were being used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previously noted, the late John Wilson Sr. on discovery acknowledged that he along with Harvey Grant Sr. and Morris Amos viewed the BCUC hearings as a way of stopping the KVC from acting as it was. He also confirmed that the idea of using the BCUC proceedings for such purposes came from Morris Amos. It was clearly never their intention to participate in the BCUC hearings in a legitimate fashion. They viewed the BCUC hearings as a means to an end which had nothing to do with the purpose of the BCUC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Not content with the assistance of Janice Switlo, Morris Amos later engaged an individual known as Aidun Naidu of an organization operating out of Washington State known as the "Ecclesiastical Court of Justice and Law Offices". Again, he accepted this individual's assistance without investigating the legitimacy of his qualifications or his background. A simple Google search would have revealed a number of red flags concerning this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can only conclude he did not care about such matters as long as he could have others assist in furthering his agenda.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commencement of this action did not give him pause. He continued to have Janice Switlo prepare and send out further letters (Letters 6, 7, 8 and 9) and he as well assisted in the preparation of the Position Paper and the 5 Page Document, all detailed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was overheard by Godfrey Grant Jr. on December 29, 2007 speaking to Michael Robinson to the effect that "everything was under control" and that "the defamation defendants were going to stall until June when the new Kitamaat Village Council would be elected and then the defendants wouldn't have to pay a penny for any damages". He stated on discovery he did not recall saying those words but did not deny having said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confirmed that he refused to accept service in January 2009 of a discovery appointment and failed to show up for the February 9, 2009 discovery. He responded to the Appointment to Examine for Discovery with what can only be described as gibberish. It was only after a court order was obtained that he attended discovery on March 2, 2009. In addition, he only produced relevant documents on the eve of a motion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he was engaged in an effort to stall the litigation, an effort that continued up to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Outside of the lawsuit, he continued to challenge the elected council. In early 2009, he attempted to file a complaint against the KVC with the investigations branch of Indian and Northern Affairs Canada (now Aboriginal Affairs and Northern Development Canada). On cross-examination, he responded that he was in communication with them and when asked if he raised concerns, he did not respond to the question, stating he did communicate with them. Only under further questioning did he admit he attempted to get them to investigate the band council and that they reviewed the matter and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satisfied that at no time did Morris Amos seek to verify the truth of the allegations made against the plaintiffs, either independently or by contacting the plaintiffs directly. He behaved recklessly and did not have an honest belief in the allegations. He made no inquiry as explanations of the allegations would have undermined his mission. He did not care if the allegations were true or false; they were simply a means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further support for this finding in a document dated November 12, 2008 on Haisla Hemaas letterhead addressed to "Judge Navin C. Naidu" [sic]. This is a document created by Morris Amos with the assistance of Aidun Naidu.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it speaks to the level of antagonism and hostility Morris Amos and certain of the defendants had towards the plaintiffs. It is entitled "Instrument of Judicial Appointment for Chief Justice, Haisla Nation Judiciary." It included the email addresses of Morris Amos and Sandra Robinson as the contacts. In that document, four of the hereditary chiefs purported to appoint Aidun Naidu as chief justice of their "sovereign tribal nation's independent judiciary, effective immediately". Astonishingly, that document contained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hereby grant you the exclusive right to negotiate and discuss the possibility and economic viability of stationing at least two hundred Gurkha troops as peace officers under the command of the executive branch of the Traditional Haisla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To contemplate such intervention clearly discloses that Morris Amos' dominant motive was to unseat the elected band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While clothed in the rubric of political criticism, Morris Amos' actions were motivated by a desire to discredit the plaintiffs, undermine the KVC and its councilors and set the stage for his hoped-for re-election to the band council. He acted with reckless disregard for the truth.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Allan Williams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I have mentioned, Allan Williams Sr.'s statement on direct-examination that he had not read the September 26, 2007 letter due to recent cataract surgery was contradicted by the evidence of Margaret Grant. On cross-examination, the following excerpt from his evidence on discovery on this issue was put to him at line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letter goes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the true representatives of the hereditary chiefs of the Haisla Nation, write to you for two purposes. First, we wish to formally withdraw the letter dated September 26, 2007, to the British Columbia Utilities Commission and withdraw the request for intervenor status. Having had the opportunity to assemble and discuss the issues, the Haisla hereditary chiefs wish to advise that the letter of September 26, 2007, does not reflect the position of the Haisla hereditary chiefs and should be disregarded."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you read that paragraph before you signed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Um-hmm,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Like I said, it was read to me and explained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then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asked those questions when I examined you for discovery on March 2, 2009, and did you give those answers?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 answers were of course true,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Will you face me when you talk to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your answers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When cross-examined by Mr. McConchie about his signature on Letter 4, discussed below, he acknowledged his signature but refused to acknowledge having read it. He stated he could not recall signing it with Wendy Bolton as his witness at the home of John Wilson Sr. He did however recall it being explained to him. He knew that it stated that Janice Switlo was acting as their helper. He acknowledged that Janice Switlo was acting on his behalf as a hereditary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the evidence of Allan Williams Sr. less than frank. He sought to avoid making any admission that might result in him being found responsible for the actions taken by the Strategic Alliance Committee. He also originally refused to attend his discovery and a court order for his attendance was required.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Sandra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Her credibility was attacked by counsel for the plaintiffs in a lengthy cross- examination. Her level of involvement in the Strategic Alliance Committee and the impugned statements was reviewed in detail. I accept that due to her father Tom Robinson's declining health that she had provided more and more assistance to him. However, it is clear from her evidence that he remained sufficiently lucid to attend to his own affairs intellectually.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was put to her that she had an obligation to advise her father regarding matters arising as a result of the BCUC intervention and that her failure to do so generated some form of responsibility or liability. She acknowledged she exchanged emails with Janice Switlo but asserted that she did not instruct her to act for her. It is clear that her father along with the other men were the ones making the decisions involving the BCUC, Janice Switlo and the events that followed. It was her evidence that culturally that was how things were done. Her intervention would not have been well received. The evidence of both Sandra Robinson and Wendy Bolton was that Tom Robinson was lucid when not affected by 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accept that Sandra Robinson clearly sympathised with the views of the dissident group. It was also clear that she was hostile to Steve Wilson and his fellow councillors. Her attitude was expressed in the letter she prepared for her father to Allan Donovan, solicitor for the band council, where, although critical of the plaintiffs, words such as fraud were not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question of whether her involvement gives rise to legal responsibility for the content of any of the impugned expressions will be discussed below.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Wendy Bolton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Wendy Bolton was also in agreement with the complaints of the dissident group. However, her involvement was even more limited than that of Sandra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Wendy Bolton testified that she were merely a witness to two of the signatures on the letter of intervention. I accept her evidence that she attended to serve as a witness, witnessed the signatures and left. She made no comment on the letter and offered no advice or recommendation with respect to it. Her evidence on this point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question of whether her involvement is sufficient to attract liability will be discussed below as well.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Jennifer Grant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Jennifer Grant Howard's involvement is limited to her reading the November 28 Words to those present at the Haisla United Church. She did so on the instructions of Aidun Naidu. As mentioned, her liability for the publication of this document is not in issue due to the default judgment entered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main issues to be resolved on the plaintiffs' claims are: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a band council sue in defamation?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statements defamatory?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defences of absolute privilege, qualified privilege, fair comment, or truth (justification) apply?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established, are the defences of qualified privilege and fair comment negated by malice?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some of them, liable for defamation?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damages result?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injunctive relief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will then address the questions of liability, damages and injunctive relief that arise on the counterclaim.</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Can a Band Council Sue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 band council exercising its powers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has "the same sort of legislative powers as those possessed by the council of a municipal corporation" (</w:t>
      </w:r>
      <w:r>
        <w:rPr>
          <w:rFonts w:ascii="arial" w:eastAsia="arial" w:hAnsi="arial" w:cs="arial"/>
          <w:i/>
          <w:color w:val="000000"/>
          <w:sz w:val="20"/>
          <w:lang w:val="en-US" w:eastAsia="en-US" w:bidi="ar-SA"/>
        </w:rPr>
        <w:t>Stacey and Montour and the Queen</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(1981), 63 C.C.C. (2d) 61</w:t>
        </w:r>
      </w:hyperlink>
      <w:r>
        <w:rPr>
          <w:rFonts w:ascii="arial" w:eastAsia="arial" w:hAnsi="arial" w:cs="arial"/>
          <w:color w:val="000000"/>
          <w:sz w:val="20"/>
          <w:lang w:val="en-US" w:eastAsia="en-US" w:bidi="ar-SA"/>
        </w:rPr>
        <w:t xml:space="preserve"> at 68 (Que.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Dixon v. Powell River (City)</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2009 BCSC 406</w:t>
        </w:r>
      </w:hyperlink>
      <w:r>
        <w:rPr>
          <w:rFonts w:ascii="arial" w:eastAsia="arial" w:hAnsi="arial" w:cs="arial"/>
          <w:color w:val="000000"/>
          <w:sz w:val="20"/>
          <w:lang w:val="en-US" w:eastAsia="en-US" w:bidi="ar-SA"/>
        </w:rPr>
        <w:t xml:space="preserve">, this Court held that a government body cannot sue for libel. In coming to that conclusion, Garson J. (as she then was) reviewed the recent Canadian jurisprudence in the area. Justice Garson concluded that, in light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our Court of Appeal's decision in </w:t>
      </w:r>
      <w:r>
        <w:rPr>
          <w:rFonts w:ascii="arial" w:eastAsia="arial" w:hAnsi="arial" w:cs="arial"/>
          <w:i/>
          <w:color w:val="000000"/>
          <w:sz w:val="20"/>
          <w:lang w:val="en-US" w:eastAsia="en-US" w:bidi="ar-SA"/>
        </w:rPr>
        <w:t>City of Prince George v. British Columbia Television System Ltd.</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(1979), 95 D.L.R. (3d) 577</w:t>
        </w:r>
      </w:hyperlink>
      <w:r>
        <w:rPr>
          <w:rFonts w:ascii="arial" w:eastAsia="arial" w:hAnsi="arial" w:cs="arial"/>
          <w:color w:val="000000"/>
          <w:sz w:val="20"/>
          <w:lang w:val="en-US" w:eastAsia="en-US" w:bidi="ar-SA"/>
        </w:rPr>
        <w:t xml:space="preserve"> (B.C.C.A.), permitting a local government to sue, should not be followed: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 In </w:t>
      </w:r>
      <w:r>
        <w:rPr>
          <w:rFonts w:ascii="arial" w:eastAsia="arial" w:hAnsi="arial" w:cs="arial"/>
          <w:b/>
          <w:i/>
          <w:color w:val="000000"/>
          <w:sz w:val="20"/>
          <w:lang w:val="en-US" w:eastAsia="en-US" w:bidi="ar-SA"/>
        </w:rPr>
        <w:t>Prince George</w:t>
      </w:r>
      <w:r>
        <w:rPr>
          <w:rFonts w:ascii="arial" w:eastAsia="arial" w:hAnsi="arial" w:cs="arial"/>
          <w:color w:val="000000"/>
          <w:sz w:val="20"/>
          <w:lang w:val="en-US" w:eastAsia="en-US" w:bidi="ar-SA"/>
        </w:rPr>
        <w:t xml:space="preserve">, Aikins J.A. considered and rejected the freedom of speech argument advanced by the plaintiffs, and held that a local government could sue for defamation on the same basis as any corporation. That reasoning cannot withstand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scrutiny. As Sharpe J.A. said in </w:t>
      </w:r>
      <w:r>
        <w:rPr>
          <w:rFonts w:ascii="arial" w:eastAsia="arial" w:hAnsi="arial" w:cs="arial"/>
          <w:b/>
          <w:i/>
          <w:color w:val="000000"/>
          <w:sz w:val="20"/>
          <w:lang w:val="en-US" w:eastAsia="en-US" w:bidi="ar-SA"/>
        </w:rPr>
        <w:t>Cusson</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[2007] O.J. No. 4348</w:t>
        </w:r>
      </w:hyperlink>
      <w:r>
        <w:rPr>
          <w:rFonts w:ascii="arial" w:eastAsia="arial" w:hAnsi="arial" w:cs="arial"/>
          <w:color w:val="000000"/>
          <w:sz w:val="20"/>
          <w:lang w:val="en-US" w:eastAsia="en-US" w:bidi="ar-SA"/>
        </w:rPr>
        <w:t>, at para. 125: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hardly necessary to repeat here the importance of the rights protected by s. 2(b)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namely "freedom of thought, belief, opinion and expression, including freedom of the press and other media of communication". These rights are an inherent aspect of our system of government and have been generously interpreted by the courts. Democracy depends upon the free and open debate of public issues and the freedom to criticize the rich, the powerful and those, such as police officers, who exercise power and authority in our society. Freedom of expression extends beyond political debate to embrace the "core values" of "self-fulfilment", "the communal exchange of ideas", "human dignity and the right to think and reflect freely on one's circumstances and condition": </w:t>
      </w:r>
      <w:r>
        <w:rPr>
          <w:rFonts w:ascii="arial" w:eastAsia="arial" w:hAnsi="arial" w:cs="arial"/>
          <w:i/>
          <w:color w:val="000000"/>
          <w:sz w:val="20"/>
          <w:lang w:val="en-US" w:eastAsia="en-US" w:bidi="ar-SA"/>
        </w:rPr>
        <w:t>R.W.D.S.U. v. Pepsi-Cola</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[2002] 1 S.C.R. 156</w:t>
        </w:r>
      </w:hyperlink>
      <w:r>
        <w:rPr>
          <w:rFonts w:ascii="arial" w:eastAsia="arial" w:hAnsi="arial" w:cs="arial"/>
          <w:color w:val="000000"/>
          <w:sz w:val="20"/>
          <w:lang w:val="en-US" w:eastAsia="en-US" w:bidi="ar-SA"/>
        </w:rPr>
        <w:t xml:space="preserve"> at para. 32. Debate on matters of public interest will often be heated and criticism will often carry a sting and yet open discussion is the lifeblood of our democracy. This court recognized in </w:t>
      </w:r>
      <w:r>
        <w:rPr>
          <w:rFonts w:ascii="arial" w:eastAsia="arial" w:hAnsi="arial" w:cs="arial"/>
          <w:i/>
          <w:color w:val="000000"/>
          <w:sz w:val="20"/>
          <w:lang w:val="en-US" w:eastAsia="en-US" w:bidi="ar-SA"/>
        </w:rPr>
        <w:t>R. v. Kopyto</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(1987), 62 O.R. (2d) 449</w:t>
        </w:r>
      </w:hyperlink>
      <w:r>
        <w:rPr>
          <w:rFonts w:ascii="arial" w:eastAsia="arial" w:hAnsi="arial" w:cs="arial"/>
          <w:color w:val="000000"/>
          <w:sz w:val="20"/>
          <w:lang w:val="en-US" w:eastAsia="en-US" w:bidi="ar-SA"/>
        </w:rPr>
        <w:t xml:space="preserve"> at 462 that "[i]f these exchanges are stifled, democratic government itself is threatened."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The passage just quoted is equally applicable to this case. It is antithetical to the notion of freedom of speech and a citizen's rights to criticize his or her government concerning its governing functions, that such criticism should be chilled by the threat of a suit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light of the above, I am satisfied that it would be inconsistent with the role of the KVC, a body that is elected democratically and exercises power through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to have the capacity to maintain an action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KVC's claims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Defamation: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law of defamation concerns the civil wrongs of libel and slander. At common law, libel is defamatory expression in writing or some other permanent form while slander is an oral statement or some other form of transitory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Generally, expression that tends to lower a person's reputation in the estimation of ordinary, reasonable members of society generally, or to expose a person to hatred, contempt or ridicule is defamatory (</w:t>
      </w:r>
      <w:r>
        <w:rPr>
          <w:rFonts w:ascii="arial" w:eastAsia="arial" w:hAnsi="arial" w:cs="arial"/>
          <w:i/>
          <w:color w:val="000000"/>
          <w:sz w:val="20"/>
          <w:lang w:val="en-US" w:eastAsia="en-US" w:bidi="ar-SA"/>
        </w:rPr>
        <w:t>Cherneskey v. Armadale Publishers Ltd.</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xml:space="preserve"> at 1079).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An allegation of defamation may rest on the literal meaning of a statement or on its inferential meaning, or on the claim that the statement constitutes a legal innuendo. In this case only the literal and inferential meanings of the impugned statements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Where the literal meaning is in issue, it is unnecessary to go beyond the words themselves. A claim based on the inferential meaning relies on what the ordinary person will infer from the statement. That is, it is a matter of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elements of a defamation claim were recently set out by the court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If these elements are established on a balance of probabilities, falsity and damage are presumed, ... (The only exception is that slander requires proof of special damages, unless the impugned words were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R.E.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(2nd ed. (loose-leaf)), vol. 3, at pp. 25-2 and 25-3.) The plaintiff is not required to show that the defendant intended to do harm, or even that the defendant was careless. The tort is thus one of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Determining if a statement is defamatory involves a two step analysis. At the first stage, the court exercises a gatekeeper function to determine whether, as a matter of law, the statement is capable of carrying a defamatory meaning. At the second stage, the trier of fact determines whether the statement is defamatory in fact (</w:t>
      </w:r>
      <w:r>
        <w:rPr>
          <w:rFonts w:ascii="arial" w:eastAsia="arial" w:hAnsi="arial" w:cs="arial"/>
          <w:i/>
          <w:color w:val="000000"/>
          <w:sz w:val="20"/>
          <w:lang w:val="en-US" w:eastAsia="en-US" w:bidi="ar-SA"/>
        </w:rPr>
        <w:t>Laufer v. Bucklaschuk</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(1999), 181 D.L.R. (4th) 83</w:t>
        </w:r>
      </w:hyperlink>
      <w:r>
        <w:rPr>
          <w:rFonts w:ascii="arial" w:eastAsia="arial" w:hAnsi="arial" w:cs="arial"/>
          <w:color w:val="000000"/>
          <w:sz w:val="20"/>
          <w:lang w:val="en-US" w:eastAsia="en-US" w:bidi="ar-SA"/>
        </w:rPr>
        <w:t xml:space="preserve"> at 93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test is an objective one and contemplates the meaning that a "reasonable and right-thinking person", rather than someone with an overly fragile sensibility, would have understood from the words. The possibility that some readers may understand the words in a defamatory sense while others may not does not justify deviating from the objective standard (</w:t>
      </w:r>
      <w:r>
        <w:rPr>
          <w:rFonts w:ascii="arial" w:eastAsia="arial" w:hAnsi="arial" w:cs="arial"/>
          <w:i/>
          <w:color w:val="000000"/>
          <w:sz w:val="20"/>
          <w:lang w:val="en-US" w:eastAsia="en-US" w:bidi="ar-SA"/>
        </w:rPr>
        <w:t>Color Your World Corp. v. Canadian Broadcasting Corp.</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(1998), 38 O.R. (3d) 97</w:t>
        </w:r>
      </w:hyperlink>
      <w:r>
        <w:rPr>
          <w:rFonts w:ascii="arial" w:eastAsia="arial" w:hAnsi="arial" w:cs="arial"/>
          <w:color w:val="000000"/>
          <w:sz w:val="20"/>
          <w:lang w:val="en-US" w:eastAsia="en-US" w:bidi="ar-SA"/>
        </w:rPr>
        <w:t xml:space="preserve"> at 106 (C.A.), leave to appeal to the Supreme Court of Canada refused, </w:t>
      </w:r>
      <w:hyperlink r:id="rId771" w:history="1">
        <w:r>
          <w:rPr>
            <w:rFonts w:ascii="arial" w:eastAsia="arial" w:hAnsi="arial" w:cs="arial"/>
            <w:i/>
            <w:color w:val="0077CC"/>
            <w:sz w:val="20"/>
            <w:u w:val="single"/>
            <w:shd w:val="clear" w:color="auto" w:fill="FFFFFF"/>
            <w:lang w:val="en-US" w:eastAsia="en-US" w:bidi="ar-SA"/>
          </w:rPr>
          <w:t>[1998] S.C.C.A. No. 170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Charleston v. News Group Newspapers Ltd.,</w:t>
      </w:r>
      <w:r>
        <w:rPr>
          <w:rFonts w:ascii="arial" w:eastAsia="arial" w:hAnsi="arial" w:cs="arial"/>
          <w:color w:val="000000"/>
          <w:sz w:val="20"/>
          <w:lang w:val="en-US" w:eastAsia="en-US" w:bidi="ar-SA"/>
        </w:rPr>
        <w:t xml:space="preserve"> [1995] 2 All E.R. 313 at 317-318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When there are, as in this case, multiple statements on a related subject and they are referable to one another, they should be read together in order to determine whether the words used are defamatory (R. 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2nd ed. (loose-leaf updated 2011, release 1) at 5-95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Downey v. Armstrong</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(1901), 1 O.L.R. 237</w:t>
        </w:r>
      </w:hyperlink>
      <w:r>
        <w:rPr>
          <w:rFonts w:ascii="arial" w:eastAsia="arial" w:hAnsi="arial" w:cs="arial"/>
          <w:color w:val="000000"/>
          <w:sz w:val="20"/>
          <w:lang w:val="en-US" w:eastAsia="en-US" w:bidi="ar-SA"/>
        </w:rPr>
        <w:t xml:space="preserve"> at 239 (C.A.)). In this case, the multiple statements do relate to one another and as a result I take into consideration the entire series of impugned expressions in determining if the words are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If the plaintiffs prove the required elements (that the defendants published or are responsible for the publication of defamatory words referring to the plaintiffs), the onus shifts to the defendants to advance a defence in order to escape liability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29). As is discussed further below, the plaintiffs may still defeat certain defences if they establish that the defendants were actuated by express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Establishing Whether the Impugned Words Were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first element the plaintiffs must establish is that the words were defamatory. As this case involves allegations of fraud and corruption against individuals in their capacity as holders of public office, a review of the law relating to allegations of such conduct is appropriate.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Imputations of Illegal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4-163 and 4-164 emphasizes that defamation on the basis of alleged criminal conduct does not require a technical description of the crime in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defamatory to charge someone with a criminal act or omission. The accusation need not describe the crime in a precise and technically correct way, or be phrased in language sufficient to meet the technical necessities of a statute or the requisites of an indictment. Nor is it necessary to specify the particular offence, or to refer to it by name. The criminal charge may be made by way of implication or insinuation. It is sufficient if the words convey the idea that a person is guilty of acts constituting a crime.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With regard to allegations of fraudulent conduct,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4-236 and 4-237 explains that defamation may be established on the basis of words that allege illegal, if not specifically criminal behaviour: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other comments, equally defamatory, which suggest some sort of illegal, though not necessarily criminal misbehavior. In this category are general comments to the effect that an organization is "fraudulent" or a "ripoff", or that a person is crooked, a grafter, a "racketeer", or a bandit, or or [sic] that a person generally travelled one step ahead of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organization may be charged with fraud. It may also be defamatory to say that an official running for office was being sued for fraud which was conveniently adjourned until after the election, or that shareholders and a town have been defrauded by the plaintiff company, or that the public generally has been defrauded,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Clark v. East Sooke Rural Association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2004 BCSC 1120</w:t>
        </w:r>
      </w:hyperlink>
      <w:r>
        <w:rPr>
          <w:rFonts w:ascii="arial" w:eastAsia="arial" w:hAnsi="arial" w:cs="arial"/>
          <w:color w:val="000000"/>
          <w:sz w:val="20"/>
          <w:lang w:val="en-US" w:eastAsia="en-US" w:bidi="ar-SA"/>
        </w:rPr>
        <w:t>, a defamation case that involved allegations of corruption directed at a public official, Justice R.D. Wilson addressed the same point. Justice Wilson held that the natural and ordinary meaning of the language in a local newsletter was that the plaintiff deceitfully used his position of authority to manipulate the decision making process in favour of developers, and that he had also taken secret campaign commissions from those developers. The court held those words to be defamatory and at para. 54 commented on imputations of criminal conduct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ordinary reader may not have the words of s. 123(1)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[Footnote 2] in mind; however, that reader would know that the conduct attributed to Mr. Clark, by the language in the newsletter, was a criminal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 2: s. 123(1): "Every one who ... being a municipal official, demands, accepts or offers or agrees to accept from any person, a loan, reward, advantage or benefit of any kind as consideration for the official ... (e) to aid in procuring or preventing the adoption of a measure, motion or resolution, or (f) to perform or fail to perform an official act, is guilty of an indictable offence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following definition is therefore of assistance in determining whether the reasonable reader or listener would have understood the impugned statements in this case to impute fraudulent conduct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 n. 1 wrongful or criminal deception intended to result in financial or personal gain. 2 a person or thing intended to deceive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fraudulent adj. done by or involving fraud - deceitful or dishonest - derivatives fraudulence n. fraudulently, adv.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(Concise Oxford English Dictionary, 2008, Oxford University Press, 11th Edition)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as I discuss immediately below, additional considerations apply in the context of statements directed at public officials such as the plaintiff councillors.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Imputations Concerning Persons Holding a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defendants, relying on </w:t>
      </w:r>
      <w:r>
        <w:rPr>
          <w:rFonts w:ascii="arial" w:eastAsia="arial" w:hAnsi="arial" w:cs="arial"/>
          <w:i/>
          <w:color w:val="000000"/>
          <w:sz w:val="20"/>
          <w:lang w:val="en-US" w:eastAsia="en-US" w:bidi="ar-SA"/>
        </w:rPr>
        <w:t>Lund v. Black Press Group Ltd.</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2009 BCSC 937</w:t>
        </w:r>
      </w:hyperlink>
      <w:r>
        <w:rPr>
          <w:rFonts w:ascii="arial" w:eastAsia="arial" w:hAnsi="arial" w:cs="arial"/>
          <w:color w:val="000000"/>
          <w:sz w:val="20"/>
          <w:lang w:val="en-US" w:eastAsia="en-US" w:bidi="ar-SA"/>
        </w:rPr>
        <w:t xml:space="preserve">, state that criticism of elected leaders stands in a different category, where the latitude for criticism that does not in the eyes of the law cross into defamation is wider. The publications in </w:t>
      </w:r>
      <w:r>
        <w:rPr>
          <w:rFonts w:ascii="arial" w:eastAsia="arial" w:hAnsi="arial" w:cs="arial"/>
          <w:i/>
          <w:color w:val="000000"/>
          <w:sz w:val="20"/>
          <w:lang w:val="en-US" w:eastAsia="en-US" w:bidi="ar-SA"/>
        </w:rPr>
        <w:t>Lund</w:t>
      </w:r>
      <w:r>
        <w:rPr>
          <w:rFonts w:ascii="arial" w:eastAsia="arial" w:hAnsi="arial" w:cs="arial"/>
          <w:color w:val="000000"/>
          <w:sz w:val="20"/>
          <w:lang w:val="en-US" w:eastAsia="en-US" w:bidi="ar-SA"/>
        </w:rPr>
        <w:t xml:space="preserve"> were letters to the editor accusing the plaintiff of "manipulations" and wanting to "consolidate personal power ... for the sake of expediency and perhaps personal agenda", that his actions constituted a "mockery of our public process", that he should have been more "honest and forthright" about his political agenda, "has devious plans afoot", and was "allowed to rig the voting procedure".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 An individual who accepts political office can expect a certain amount of attack and criticism on the ground that the public interest requires than an individual's public conduct should be open to searching criticism and that the holder of a public office should be prepared for critical appraisal of his conduct: </w:t>
      </w:r>
      <w:r>
        <w:rPr>
          <w:rFonts w:ascii="arial" w:eastAsia="arial" w:hAnsi="arial" w:cs="arial"/>
          <w:i/>
          <w:color w:val="000000"/>
          <w:sz w:val="20"/>
          <w:lang w:val="en-US" w:eastAsia="en-US" w:bidi="ar-SA"/>
        </w:rPr>
        <w:t>Vander Zalm v. Times Publishers, A Division of F.P. Publications (Western) Ltd.</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(1980), 109 D.L.R. (3d) 531</w:t>
        </w:r>
      </w:hyperlink>
      <w:r>
        <w:rPr>
          <w:rFonts w:ascii="arial" w:eastAsia="arial" w:hAnsi="arial" w:cs="arial"/>
          <w:color w:val="000000"/>
          <w:sz w:val="20"/>
          <w:lang w:val="en-US" w:eastAsia="en-US" w:bidi="ar-SA"/>
        </w:rPr>
        <w:t xml:space="preserve"> (B.C.C.A.) at para.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The words were critical of the plaintiff and it is plain that they were intended to be critical of his performance as the elected director for the Juan de Fuca electoral area. But in my view, the comments did not go beyond legitimate criticism of a public official in the context of a highly controversial issue. While this criticism might not be recognized as justified in the case of a private person, it is acceptable as part of the public interest right to bring criticism to bear respecting the conduct of public officials: </w:t>
      </w:r>
      <w:r>
        <w:rPr>
          <w:rFonts w:ascii="arial" w:eastAsia="arial" w:hAnsi="arial" w:cs="arial"/>
          <w:i/>
          <w:color w:val="000000"/>
          <w:sz w:val="20"/>
          <w:lang w:val="en-US" w:eastAsia="en-US" w:bidi="ar-SA"/>
        </w:rPr>
        <w:t>Langlands v. John Lang and Co.</w:t>
      </w:r>
      <w:r>
        <w:rPr>
          <w:rFonts w:ascii="arial" w:eastAsia="arial" w:hAnsi="arial" w:cs="arial"/>
          <w:color w:val="000000"/>
          <w:sz w:val="20"/>
          <w:lang w:val="en-US" w:eastAsia="en-US" w:bidi="ar-SA"/>
        </w:rPr>
        <w:t xml:space="preserve"> (1916), 1 S.L.T. 168, (1916) S.C. (H.L.) 102, where it was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thing I wish to say is that, in dealing with a newspaper written about a public functionary, considerable latitude is allowed by the law. Any gentleman who takes the position of architect under the School Board of Dundee is filling a capacity as a public official, and he must expect criticism, such criticism as the law might not recognize as justified in the case of a merely private person but readily admits when it is in the public interest that criticism should be brought to bear upon the conduct of public officials. When a person is in a public capacity, he may be criticized by the newspapers in the public interest; and that rebuts the presumption of malice in law which the court might otherwise make, and leaves malice in fact to be proved, and malice in fact to be found in either the special language of the article or in circumstances proved which point to some motive of enmity of the particular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defendants submit that, as in </w:t>
      </w:r>
      <w:r>
        <w:rPr>
          <w:rFonts w:ascii="arial" w:eastAsia="arial" w:hAnsi="arial" w:cs="arial"/>
          <w:i/>
          <w:color w:val="000000"/>
          <w:sz w:val="20"/>
          <w:lang w:val="en-US" w:eastAsia="en-US" w:bidi="ar-SA"/>
        </w:rPr>
        <w:t>Lund</w:t>
      </w:r>
      <w:r>
        <w:rPr>
          <w:rFonts w:ascii="arial" w:eastAsia="arial" w:hAnsi="arial" w:cs="arial"/>
          <w:color w:val="000000"/>
          <w:sz w:val="20"/>
          <w:lang w:val="en-US" w:eastAsia="en-US" w:bidi="ar-SA"/>
        </w:rPr>
        <w:t>, this case should be dismissed on the basis that the publications in issue are not defamatory in law. They argue that the publications all relate to the conduct of the plaintiffs in their roles as members of the KVC, that their conduct warranted criticism and that the law permits stinging criticism.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Defamatory remarks concerning public officials are also discussed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4-101: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Public officials have been the objects of myriad defamatory comments. It is actionable to accuse them of misconduct in their office. False statements impugning the ability of a person to discharge his or her duties as an officeholder or suggesting some disability in the performance of those functions, or leading persons to believe that a public official is unworthy of public trust and confidence, are defamatory. Courts have often admonished that there is no open season on persons merely because they have been elected to public office; good men and women would hesitate to seek public office if they were the constant targets of hostile criticism in the honest performance of their duties.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Patrick Milmo in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11th ed., London: Sweet &amp; Maxwell, 2008, at para. 2.28 (p. 73), considers the circumstances in which a publication respecting a public official is in fact defamatory: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Imputation of unfitness in office</w:t>
      </w:r>
      <w:r>
        <w:rPr>
          <w:rFonts w:ascii="arial" w:eastAsia="arial" w:hAnsi="arial" w:cs="arial"/>
          <w:color w:val="000000"/>
          <w:sz w:val="20"/>
          <w:lang w:val="en-US" w:eastAsia="en-US" w:bidi="ar-SA"/>
        </w:rPr>
        <w:t>. It is defamatory to impute to a person in any office any corrupt, dishonest or fraudulent conduct or other misconduct or inefficiency in it, or any unfitness or want of ability to discharge its duties, and this is so whether the office be public or private, or whether it be one of profit, honour or trust.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plaintiffs acknowledge that as public officials they are subject to vigorous criticism, of which they do not complain. They do however state that the limits of legitimate criticism of public officials have been exceeded in the expressions of the defendants. The plaintiffs submit that the expressions contain allegations of fraud and that such allegations are serious and exceed permissible criticism of public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Lund,</w:t>
      </w:r>
      <w:r>
        <w:rPr>
          <w:rFonts w:ascii="arial" w:eastAsia="arial" w:hAnsi="arial" w:cs="arial"/>
          <w:color w:val="000000"/>
          <w:sz w:val="20"/>
          <w:lang w:val="en-US" w:eastAsia="en-US" w:bidi="ar-SA"/>
        </w:rPr>
        <w:t xml:space="preserve"> none of the defendants suggested that the plaintiff was motivated by a private interest, or that he was guilty of any moral fault. The criticism in that case was largely that the plaintiff's course of action, which arose from his beliefs rather than any dishonest motive, was not in the best interests of the community. The court remarked on this feature of the case at para. 120: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very clear from the evidence that there is no suggestion nor was any suggestion ever made by any of the defendants that the plaintiff was actuated by a money benefit or to advance any private interest that he may have had. Nor is it suggested that he was guilty of any moral fault. While the defendants clearly inferred that the plaintiff should have been more honest about his land use philosophy in outlining his platform during the election campaign, the facts clearly establish that his views were well known and indeed supported by many people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Accordingly, </w:t>
      </w:r>
      <w:r>
        <w:rPr>
          <w:rFonts w:ascii="arial" w:eastAsia="arial" w:hAnsi="arial" w:cs="arial"/>
          <w:i/>
          <w:color w:val="000000"/>
          <w:sz w:val="20"/>
          <w:lang w:val="en-US" w:eastAsia="en-US" w:bidi="ar-SA"/>
        </w:rPr>
        <w:t>Lund</w:t>
      </w:r>
      <w:r>
        <w:rPr>
          <w:rFonts w:ascii="arial" w:eastAsia="arial" w:hAnsi="arial" w:cs="arial"/>
          <w:color w:val="000000"/>
          <w:sz w:val="20"/>
          <w:lang w:val="en-US" w:eastAsia="en-US" w:bidi="ar-SA"/>
        </w:rPr>
        <w:t xml:space="preserve"> is distinguishable in cases where there are allegations of dishonesty or moral fault. Such allegations exceed the limits of legitimate criticism of public officials. This was the case in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where, as mentioned, allegations that a public official manipulated the decision making process to favour developers in exchange for secret campaign contributions constituted defamation. Similarly, in </w:t>
      </w:r>
      <w:r>
        <w:rPr>
          <w:rFonts w:ascii="arial" w:eastAsia="arial" w:hAnsi="arial" w:cs="arial"/>
          <w:i/>
          <w:color w:val="000000"/>
          <w:sz w:val="20"/>
          <w:lang w:val="en-US" w:eastAsia="en-US" w:bidi="ar-SA"/>
        </w:rPr>
        <w:t>Kopeck v. Constantin,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BCSC 339</w:t>
      </w:r>
      <w:r>
        <w:rPr>
          <w:rFonts w:ascii="arial" w:eastAsia="arial" w:hAnsi="arial" w:cs="arial"/>
          <w:color w:val="000000"/>
          <w:sz w:val="20"/>
          <w:lang w:val="en-US" w:eastAsia="en-US" w:bidi="ar-SA"/>
        </w:rPr>
        <w:t xml:space="preserve">, statements alleging that a public official was guilty of dishonest conduct did not constitute legitimate criticism. See also: </w:t>
      </w:r>
      <w:r>
        <w:rPr>
          <w:rFonts w:ascii="arial" w:eastAsia="arial" w:hAnsi="arial" w:cs="arial"/>
          <w:i/>
          <w:color w:val="000000"/>
          <w:sz w:val="20"/>
          <w:lang w:val="en-US" w:eastAsia="en-US" w:bidi="ar-SA"/>
        </w:rPr>
        <w:t>Paul v. Van Hull</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(1962), 36 D.L.R. (2d) 639</w:t>
        </w:r>
      </w:hyperlink>
      <w:r>
        <w:rPr>
          <w:rFonts w:ascii="arial" w:eastAsia="arial" w:hAnsi="arial" w:cs="arial"/>
          <w:color w:val="000000"/>
          <w:sz w:val="20"/>
          <w:lang w:val="en-US" w:eastAsia="en-US" w:bidi="ar-SA"/>
        </w:rPr>
        <w:t xml:space="preserve"> (Man.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Clearly allegations of dishonesty or moral fault are particularly damaging to public officials who rely on public trust to perform their duties effectively.</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Words Referring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second element that the plaintiffs must establish is that the words in fact referred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This element does not require that the plaintiffs be individually named in the alleged publication. Counsel refers to </w:t>
      </w:r>
      <w:r>
        <w:rPr>
          <w:rFonts w:ascii="arial" w:eastAsia="arial" w:hAnsi="arial" w:cs="arial"/>
          <w:i/>
          <w:color w:val="000000"/>
          <w:sz w:val="20"/>
          <w:lang w:val="en-US" w:eastAsia="en-US" w:bidi="ar-SA"/>
        </w:rPr>
        <w:t>Manno v. Henry</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2008 BCSC 738</w:t>
        </w:r>
      </w:hyperlink>
      <w:r>
        <w:rPr>
          <w:rFonts w:ascii="arial" w:eastAsia="arial" w:hAnsi="arial" w:cs="arial"/>
          <w:color w:val="000000"/>
          <w:sz w:val="20"/>
          <w:lang w:val="en-US" w:eastAsia="en-US" w:bidi="ar-SA"/>
        </w:rPr>
        <w:t>, where Grauer J. determined that documents that did not name the plaintiffs nevertheless identified them, allowing their claim for libel to succeed. In doing so, Grauer J. at paras. 91-92 discussed the requirements for establishing this second element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It is all very well to conclude that the article defamed the unnamed "residents" of 29655 Fraser Highway. In order for any plaintiff to succeed, that plaintiff must establish on a balance of probabilities that, in the circumstances, the words would be reasonably understood to be defamatory of that plaintiff. As is stated by Professor Brown in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(2nd Ed., 1999) at pp. 6-7 to 6-10: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essential to the cause of action that the words be defamatory of the plaintiff. It is not necessary that the plaintiff be named specifically, or identified by his or her proper name, or even mentioned at all, if it is otherwise shown that the words would be reasonably understood to refer to the plaintiff. Nor is it necessary for the person to whom the publication is made to know the plaintiff by name.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Direct evidence that the plaintiff is pointed to is not essential. He or she may be indicated "by designation or description", or pointed to by the circumstances ... It may be clear from other evidence that he was the one alluded to, but he must satisfy the court in that regard. This may be done by introducing evidence, apart from the publication, connecting the plaintiff with the defamatory publication. The extrinsic facts do not have to coincide exactly with the facts detailed in the publication so long as they enable a reasonable person to identify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In the seminal case of </w:t>
      </w:r>
      <w:r>
        <w:rPr>
          <w:rFonts w:ascii="arial" w:eastAsia="arial" w:hAnsi="arial" w:cs="arial"/>
          <w:b/>
          <w:i/>
          <w:color w:val="000000"/>
          <w:sz w:val="20"/>
          <w:lang w:val="en-US" w:eastAsia="en-US" w:bidi="ar-SA"/>
        </w:rPr>
        <w:t>Knuppfer v. London Express Newspaper, Ltd.</w:t>
      </w:r>
      <w:r>
        <w:rPr>
          <w:rFonts w:ascii="arial" w:eastAsia="arial" w:hAnsi="arial" w:cs="arial"/>
          <w:color w:val="000000"/>
          <w:sz w:val="20"/>
          <w:lang w:val="en-US" w:eastAsia="en-US" w:bidi="ar-SA"/>
        </w:rPr>
        <w:t>, [1944] A.C. 116 at 119-121, Viscount Simon L.C. addressed the issue in this way: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are two questions involved in the attempt to identify the appellant as the person defamed. The first question is a question of law - can the article, having regard to its language, be regarded as capable of referring to the appellant? The second question is a question of fact - Does the article in fact lead reasonable people, who know the appellant, to the conclusion that it does refer to him? Unless the first question can be answered in favour of the appellant, the second question does not arise, and where the trial judge went wrong was in treating evidence to support the identification in fact as governing the matter, when the first question is necessarily, as a matter of law, to be answered in the negative.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Booth v. British Columbia Television Broadcasting System Ltd.</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(1980), 139 D.L.R. (3d) 88</w:t>
        </w:r>
      </w:hyperlink>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16 A.C.W.S. (2d) 183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A.U.P.E. v. Edmonton Sun</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(1986), 75 A.R. 253</w:t>
        </w:r>
      </w:hyperlink>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49 Alta. L.R. (2d) 141</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Defamation of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Where the impugned words refer to a group rather than individual plaintiffs, members of that group can establish a claim for defamation if they can show that they have been individually defamed. This requires that the statement be reasonably understood to refer to each of them (</w:t>
      </w:r>
      <w:r>
        <w:rPr>
          <w:rFonts w:ascii="arial" w:eastAsia="arial" w:hAnsi="arial" w:cs="arial"/>
          <w:i/>
          <w:color w:val="000000"/>
          <w:sz w:val="20"/>
          <w:lang w:val="en-US" w:eastAsia="en-US" w:bidi="ar-SA"/>
        </w:rPr>
        <w:t>Seafarers International Union of Canada et al. v. Lawrence</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(1979), 97 D.L.R. (3d) 324</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Masters et al. v. Fox et al.</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(1978), 85 D.L.R. (3d) 64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Campbell v. Toronto Star Newspapers Ltd.</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(1990), 73 D.L.R. (4th) 190</w:t>
        </w:r>
      </w:hyperlink>
      <w:r>
        <w:rPr>
          <w:rFonts w:ascii="arial" w:eastAsia="arial" w:hAnsi="arial" w:cs="arial"/>
          <w:color w:val="000000"/>
          <w:sz w:val="20"/>
          <w:lang w:val="en-US" w:eastAsia="en-US" w:bidi="ar-SA"/>
        </w:rPr>
        <w:t xml:space="preserve"> (Ont. C.J. (G.D.)).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After I received counsel's submissions, the Supreme Court of Canada issued its decision in </w:t>
      </w:r>
      <w:r>
        <w:rPr>
          <w:rFonts w:ascii="arial" w:eastAsia="arial" w:hAnsi="arial" w:cs="arial"/>
          <w:i/>
          <w:color w:val="000000"/>
          <w:sz w:val="20"/>
          <w:lang w:val="en-US" w:eastAsia="en-US" w:bidi="ar-SA"/>
        </w:rPr>
        <w:t>Bou Malhab v. Diffusion Métromédia CMR inc.</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2011 SCC 9</w:t>
        </w:r>
      </w:hyperlink>
      <w:r>
        <w:rPr>
          <w:rFonts w:ascii="arial" w:eastAsia="arial" w:hAnsi="arial" w:cs="arial"/>
          <w:color w:val="000000"/>
          <w:sz w:val="20"/>
          <w:lang w:val="en-US" w:eastAsia="en-US" w:bidi="ar-SA"/>
        </w:rPr>
        <w:t>. At paras. 57-58, the court discussed the considerations that arise in the course of determining whether an ordinary person would have believed that each plaintiff personally sustained damage to his or her reputation: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any action in defamation, injury is proved if the plaintiff satisfies the judge that the impugned comments are defamatory, that is, that an ordinary person would believe that they tarnished the plaintiff's reputation. The same test is used where the comments apply </w:t>
      </w:r>
      <w:r>
        <w:rPr>
          <w:rFonts w:ascii="arial" w:eastAsia="arial" w:hAnsi="arial" w:cs="arial"/>
          <w:i/>
          <w:color w:val="000000"/>
          <w:sz w:val="20"/>
          <w:lang w:val="en-US" w:eastAsia="en-US" w:bidi="ar-SA"/>
        </w:rPr>
        <w:t>a priori</w:t>
      </w:r>
      <w:r>
        <w:rPr>
          <w:rFonts w:ascii="arial" w:eastAsia="arial" w:hAnsi="arial" w:cs="arial"/>
          <w:color w:val="000000"/>
          <w:sz w:val="20"/>
          <w:lang w:val="en-US" w:eastAsia="en-US" w:bidi="ar-SA"/>
        </w:rPr>
        <w:t xml:space="preserve"> to a group of individuals, but special attention will then have to be paid to the personal nature of the injury. The plaintiff or plaintiffs must prove that an ordinary person would have believed that each of them personally sustained damage to his or her reputation.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judge must thus analyse the impugned comments, taking into account all the circumstances in which they were made. Although it is impossible to draw up an exhaustive list of the criteria used to determine whether personal injury has been sustained, a number of factors can nevertheless help the judge in this process ... They have to do with the affected group, the comments made and the circumstances extrinsic to the comments or gestures. These factors provide guidance in determining whether one, some or all members of the group have sustained personal injury as a result of the impugned comments or gestures.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court then outlined several non-exhaustive factors at paras. 59-79, which are summarized in the head-note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Generally speaking, the larger the group, the more difficult it is to prove that personal injury has been sustained by its members. The more strictly organized and homogeneous the group, the easier it will be to establish that the injury is personal to each member. The imputing of a single characteristic to all members of a group that is highly heterogeneous would make an allegation of personal injury implausible. Where the group's members are identifiable or very visible in the community, it will be easier to prove that they sustained personal injury. The same is true where the offensive comments are made about a group that has historically been stigmatized. The plaintiff's status, duties, responsibilities or activities in the group can also make it easier to prove personal injury. The precision or generality of the allegations will also influence the analysis. The more general the allegations, the more difficult it will be to go behind the screen of the group. Similarly, where allegations apply to only one segment of a group, it will be more difficult for them to reflect personally on all members of the group. The seriousness of the comments can help prove personal injury, but in some circumstances, this will have the opposite effect: an ordinary person will see exaggeration or excessive generalization in the allegations and will give them less credence as a result. Generally speaking, a plausible or convincing allegation will capture the ordinary person's attention more and thus make it easier for that person to connect the allegation with each or some of the group's members personally. Finally, several other factors, related to the maker or target of the comments, the medium used and the general context, can cause comments that appear to be general to be attached to certain persons in particular and defame them personally.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this case, many of the allegations were directed at council members as a group rather than at any particular individual. The issue to be addressed in the analysis of the impugned words is whether an ordinary person would have believed that the comments damaged the reputation of each member of that group, with the result that each of them sustained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this regard, I note that the size of council, its fixed membership, and the small local community it served all favour a finding that defamatory words published regarding the council damaged each of the plaintiffs personally. However, as is clear from the above authorities, any conclusion on this matter must also take into account the specific allegations in question.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Publication is an act on the part of a defendant that communicates the defamatory expression to at least one person other than the plaintiff (</w:t>
      </w:r>
      <w:r>
        <w:rPr>
          <w:rFonts w:ascii="arial" w:eastAsia="arial" w:hAnsi="arial" w:cs="arial"/>
          <w:i/>
          <w:color w:val="000000"/>
          <w:sz w:val="20"/>
          <w:lang w:val="en-US" w:eastAsia="en-US" w:bidi="ar-SA"/>
        </w:rPr>
        <w:t>McNichol v. Grandy</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[1931] S.C.R. 696</w:t>
        </w:r>
      </w:hyperlink>
      <w:r>
        <w:rPr>
          <w:rFonts w:ascii="arial" w:eastAsia="arial" w:hAnsi="arial" w:cs="arial"/>
          <w:color w:val="000000"/>
          <w:sz w:val="20"/>
          <w:lang w:val="en-US" w:eastAsia="en-US" w:bidi="ar-SA"/>
        </w:rPr>
        <w:t xml:space="preserve"> at 699, Anglin C.J.C.). Each delivery of a copy of a libel is a fresh publication for which an action lies (</w:t>
      </w:r>
      <w:r>
        <w:rPr>
          <w:rFonts w:ascii="arial" w:eastAsia="arial" w:hAnsi="arial" w:cs="arial"/>
          <w:i/>
          <w:color w:val="000000"/>
          <w:sz w:val="20"/>
          <w:lang w:val="en-US" w:eastAsia="en-US" w:bidi="ar-SA"/>
        </w:rPr>
        <w:t>Lambert v. Roberts Drug Stores Ltd.</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[1933] 4 D.L.R. 193</w:t>
        </w:r>
      </w:hyperlink>
      <w:r>
        <w:rPr>
          <w:rFonts w:ascii="arial" w:eastAsia="arial" w:hAnsi="arial" w:cs="arial"/>
          <w:color w:val="000000"/>
          <w:sz w:val="20"/>
          <w:lang w:val="en-US" w:eastAsia="en-US" w:bidi="ar-SA"/>
        </w:rPr>
        <w:t xml:space="preserve"> at 195 (Man. C.A.)).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Responsibility for Publication and Republication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There is, in general, no liability on the part of the original publisher for any republication that was not intended or authorized. Accordingly, each publisher is generally liable for each publication made (</w:t>
      </w:r>
      <w:r>
        <w:rPr>
          <w:rFonts w:ascii="arial" w:eastAsia="arial" w:hAnsi="arial" w:cs="arial"/>
          <w:i/>
          <w:color w:val="000000"/>
          <w:sz w:val="20"/>
          <w:lang w:val="en-US" w:eastAsia="en-US" w:bidi="ar-SA"/>
        </w:rPr>
        <w:t>Basse v. Toronto Star Newspapers Ltd.</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(1983), 4 D.L.R. (4th) 381</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Smith v. Matsqui (District)</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(1986), 4 B.C.L.R. (2d) 342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However, a defendant will be liable for a republication where that defendant intended or authorized that republication or where it is found to be the natural and probable result of the original publication (</w:t>
      </w:r>
      <w:r>
        <w:rPr>
          <w:rFonts w:ascii="arial" w:eastAsia="arial" w:hAnsi="arial" w:cs="arial"/>
          <w:i/>
          <w:color w:val="000000"/>
          <w:sz w:val="20"/>
          <w:lang w:val="en-US" w:eastAsia="en-US" w:bidi="ar-SA"/>
        </w:rPr>
        <w:t>Douglas v. Tucker,</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[1952] 1 S.C.R. 275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(1995), </w:t>
      </w:r>
      <w:hyperlink r:id="rId790" w:history="1">
        <w:r>
          <w:rPr>
            <w:rFonts w:ascii="arial" w:eastAsia="arial" w:hAnsi="arial" w:cs="arial"/>
            <w:i/>
            <w:color w:val="0077CC"/>
            <w:sz w:val="20"/>
            <w:u w:val="single"/>
            <w:shd w:val="clear" w:color="auto" w:fill="FFFFFF"/>
            <w:lang w:val="en-US" w:eastAsia="en-US" w:bidi="ar-SA"/>
          </w:rPr>
          <w:t>[1996] 2 W.W.R. 567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Indeed, if someone authorizes, incites, approves, encourages or assists in the publication of a defamatory expression, that person may be held liable along with the actual publisher as a joint tort-feasor.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Corey J. for the majority stated as follows at para. 176: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 well-established principle that all persons who are involved in the commission of a joint tort are jointly and severally liable for the damages caused by that tort. If one person writes a libel, another repeats it, and a third approves what is written, they all have made the defamatory libel. Both the person who originally utters the defamatory statement, and the individual who expresses agreement with it, are liable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For example, if a libel has appeared in a newspaper, the plaintiff is entitled to sue in one action the publisher, editor, owner, reporter, and printer (</w:t>
      </w:r>
      <w:r>
        <w:rPr>
          <w:rFonts w:ascii="arial" w:eastAsia="arial" w:hAnsi="arial" w:cs="arial"/>
          <w:i/>
          <w:color w:val="000000"/>
          <w:sz w:val="20"/>
          <w:lang w:val="en-US" w:eastAsia="en-US" w:bidi="ar-SA"/>
        </w:rPr>
        <w:t>Lambert</w:t>
      </w:r>
      <w:r>
        <w:rPr>
          <w:rFonts w:ascii="arial" w:eastAsia="arial" w:hAnsi="arial" w:cs="arial"/>
          <w:color w:val="000000"/>
          <w:sz w:val="20"/>
          <w:lang w:val="en-US" w:eastAsia="en-US" w:bidi="ar-SA"/>
        </w:rPr>
        <w:t xml:space="preserve"> at 195, citing </w:t>
      </w:r>
      <w:r>
        <w:rPr>
          <w:rFonts w:ascii="arial" w:eastAsia="arial" w:hAnsi="arial" w:cs="arial"/>
          <w:i/>
          <w:color w:val="000000"/>
          <w:sz w:val="20"/>
          <w:lang w:val="en-US" w:eastAsia="en-US" w:bidi="ar-SA"/>
        </w:rPr>
        <w:t>Odgers on Libel &amp; Slander</w:t>
      </w:r>
      <w:r>
        <w:rPr>
          <w:rFonts w:ascii="arial" w:eastAsia="arial" w:hAnsi="arial" w:cs="arial"/>
          <w:color w:val="000000"/>
          <w:sz w:val="20"/>
          <w:lang w:val="en-US" w:eastAsia="en-US" w:bidi="ar-SA"/>
        </w:rPr>
        <w:t>, 6th ed. at 486).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Individual Responsibility for Publication by 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plaintiffs' claims are in all but one instance against multiple parties. At issue is the involvement of certain of the defendants in the production and publication of the impugned expressions.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noted, certain of the defendants formed a group they called the Strategic Alliance Committee. There is conflicting evidence respecting its members and their involvement. The existence of this committee raises the issue of the liability of individuals who belong to a group that publishes defamatory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plaintiffs refer to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in support of their submission that members of a group may be found responsible for the group's publications. 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a group of lawyers signed a defamatory declaration which confirmed a report that had been prepared by an engineer. Cory J. stated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Lawyers' Declaration expressly adopted the contents of the Maksymec Report. It follows that the appellant lawyers must be jointly responsible with Maksymec for the publication of the Report. The appellant lawyers accepted and intended that Maksymec would use the Declaration extensively and publish it. They placed no restrictions on the use to which it might be put. The Declaration and the Report are by their terms inextricably interrelated. By their actions, the appellants became joint tortfeasors. Further, they as lawyers, signed the Declaration without undertaking any investigation. For lawyers to act in this way constituted reckless behaviour. Therefore, they must be as responsible as Maksymec, not only for its publication but also for its subsequent republication.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plaintiffs further rely on </w:t>
      </w:r>
      <w:r>
        <w:rPr>
          <w:rFonts w:ascii="arial" w:eastAsia="arial" w:hAnsi="arial" w:cs="arial"/>
          <w:i/>
          <w:color w:val="000000"/>
          <w:sz w:val="20"/>
          <w:lang w:val="en-US" w:eastAsia="en-US" w:bidi="ar-SA"/>
        </w:rPr>
        <w:t>Home Equity Development Inc. v. Crow</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2004 BCSC 124</w:t>
        </w:r>
      </w:hyperlink>
      <w:r>
        <w:rPr>
          <w:rFonts w:ascii="arial" w:eastAsia="arial" w:hAnsi="arial" w:cs="arial"/>
          <w:color w:val="000000"/>
          <w:sz w:val="20"/>
          <w:lang w:val="en-US" w:eastAsia="en-US" w:bidi="ar-SA"/>
        </w:rPr>
        <w:t xml:space="preserve">, for the proposition that involvement in the group may lead the court to infer that a party intended the publication of the words. In </w:t>
      </w:r>
      <w:r>
        <w:rPr>
          <w:rFonts w:ascii="arial" w:eastAsia="arial" w:hAnsi="arial" w:cs="arial"/>
          <w:i/>
          <w:color w:val="000000"/>
          <w:sz w:val="20"/>
          <w:lang w:val="en-US" w:eastAsia="en-US" w:bidi="ar-SA"/>
        </w:rPr>
        <w:t>Home Equity Development Inc.</w:t>
      </w:r>
      <w:r>
        <w:rPr>
          <w:rFonts w:ascii="arial" w:eastAsia="arial" w:hAnsi="arial" w:cs="arial"/>
          <w:color w:val="000000"/>
          <w:sz w:val="20"/>
          <w:lang w:val="en-US" w:eastAsia="en-US" w:bidi="ar-SA"/>
        </w:rPr>
        <w:t xml:space="preserve"> at para. 137, the court adopted the following passage from </w:t>
      </w:r>
      <w:r>
        <w:rPr>
          <w:rFonts w:ascii="arial" w:eastAsia="arial" w:hAnsi="arial" w:cs="arial"/>
          <w:i/>
          <w:color w:val="000000"/>
          <w:sz w:val="20"/>
          <w:lang w:val="en-US" w:eastAsia="en-US" w:bidi="ar-SA"/>
        </w:rPr>
        <w:t>McDonald's Corp. v. Steel</w:t>
      </w:r>
      <w:r>
        <w:rPr>
          <w:rFonts w:ascii="arial" w:eastAsia="arial" w:hAnsi="arial" w:cs="arial"/>
          <w:color w:val="000000"/>
          <w:sz w:val="20"/>
          <w:lang w:val="en-US" w:eastAsia="en-US" w:bidi="ar-SA"/>
        </w:rPr>
        <w:t>, [1999] E.W.J. No. 2173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[137]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no point did the learned judge proceed on the footing that mere "membership" of London Greenpeace would suffice to render someone liable for the publication of the leaflet in question. On the contrary, he seems to have approached this aspect of the case with great care and accuracy. What he said was this: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Whatever a number of people's ideas may be about lack of authority or formality, they must organize themselves to work together, to act collectively, if they are to be effective in achieving their aims. People acting collectively and effectively under a particular name are accurately described in ordinary English as the "members" of a "group", and in my view those who attended the London Greenpeace meetings or events with the intention of actively supporting joint aims which they believed in are rightly described as "members" of the London Greenpeace "group". Moreover, in my view, membership of the group in that sense at any particular time is some evidence of participation in the activities of other "members" of the "group" at the time. One still has to look for evidence for or against actual participation in any particular activity, such as publication of a leaflet like the one complained of, or involvement in a campaign which in turn involves publication of a leaflet; but if a group appears to be promoting a particular campaign by a particular means, it may be an easy inference that those who attend its meetings or events or contribute to them from a distance are encouraging campaigning by that means, unless there is evidence to the contrary such as evidence of an entirely different motive for being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Home Equity Development Inc.</w:t>
      </w:r>
      <w:r>
        <w:rPr>
          <w:rFonts w:ascii="arial" w:eastAsia="arial" w:hAnsi="arial" w:cs="arial"/>
          <w:color w:val="000000"/>
          <w:sz w:val="20"/>
          <w:lang w:val="en-US" w:eastAsia="en-US" w:bidi="ar-SA"/>
        </w:rPr>
        <w:t xml:space="preserve"> as well, and point to the fact that one of the defendants in that case who had volunteered to participate in a newsletter campaign was found to not have participated in the production, approval or publication of the defamatory expressions. The court found in the circumstances that the fact that a draft of the newsletter had been faxed to that defendant was not sufficient to support an inference that she was aware of its content before it was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defendants refer to </w:t>
      </w:r>
      <w:r>
        <w:rPr>
          <w:rFonts w:ascii="arial" w:eastAsia="arial" w:hAnsi="arial" w:cs="arial"/>
          <w:i/>
          <w:color w:val="000000"/>
          <w:sz w:val="20"/>
          <w:lang w:val="en-US" w:eastAsia="en-US" w:bidi="ar-SA"/>
        </w:rPr>
        <w:t>Derrickson v. Tomat</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(1992), 88 D.L.R. (4th) 401</w:t>
        </w:r>
      </w:hyperlink>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31 A.C.W.S. (3d) 685</w:t>
        </w:r>
      </w:hyperlink>
      <w:r>
        <w:rPr>
          <w:rFonts w:ascii="arial" w:eastAsia="arial" w:hAnsi="arial" w:cs="arial"/>
          <w:color w:val="000000"/>
          <w:sz w:val="20"/>
          <w:lang w:val="en-US" w:eastAsia="en-US" w:bidi="ar-SA"/>
        </w:rPr>
        <w:t xml:space="preserve"> (B.C.C.A.), for the proposition that it is necessary to evaluate each defendant's specific involvement in each publication. In </w:t>
      </w:r>
      <w:r>
        <w:rPr>
          <w:rFonts w:ascii="arial" w:eastAsia="arial" w:hAnsi="arial" w:cs="arial"/>
          <w:i/>
          <w:color w:val="000000"/>
          <w:sz w:val="20"/>
          <w:lang w:val="en-US" w:eastAsia="en-US" w:bidi="ar-SA"/>
        </w:rPr>
        <w:t>Derrickson</w:t>
      </w:r>
      <w:r>
        <w:rPr>
          <w:rFonts w:ascii="arial" w:eastAsia="arial" w:hAnsi="arial" w:cs="arial"/>
          <w:color w:val="000000"/>
          <w:sz w:val="20"/>
          <w:lang w:val="en-US" w:eastAsia="en-US" w:bidi="ar-SA"/>
        </w:rPr>
        <w:t>, the court stated as follows at 422: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Membership in the group, which was an informal, unincorporated collection of individuals, with no independent status in law, does not make a member of the group responsible in law for the actions of the other members of the group undertaken without the members' consent or authorization.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careful analysis of the evidence would be required in order to determine the liability of each of the 11 defendants. It is apparent that some were more implicated than others in determining the content of the petition, in the physical preparation of the petition, and in obtaining signatories to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draw the following conclusions from the above decisions: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 member of the group may approve of what the group is doing is not sufficient to establish responsibility for the publication. That is, mere sympathy for the aims of the group is not sufficient to impose liability;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must establish on a balance of probabilities that each defendant was actively involved in the content and publication of each of the impugned words. A purely mechanical contribution is not sufficient;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depending on the nature of the group, a court may infer from a member's participation in a group involved in a campaign of publications that the member intended and encouraged the publications. However, evidence of a different motive for participation may generate an alternative inference.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Membership and Nature of the Strategic Alliance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Morris Amos stated that the members of the Strategic Alliance Committee were himself, the late Tom Robinson, Sandra Robinson, Wendy Bolton, the late John Wilson Sr., Harvey Grant Sr., Jennifer Grant Howard and others not named as defendants. It apparently came into existence at the time of the initial letter from Morris Amos to Janice Switlo on behalf of himself, John Wilson Sr. and Harvey Grant Sr. Morris Amos, in referring to membership in the group, does not differentiate between the roles of the various members. Throughout his evidence, he consistently attempted to minimize his involvement and portray himself as simply the "helper" of John Wilson Sr. and Harvey Grant Sr. In my view, his assertions as to who was part of the group and legally responsible for its actions must be viewed in light of his attempts to minimize his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cross examination, Sandra Robinson testified as follows with respect to a meeting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was witnessing a conversation of people from the Haisla community talking about how to get council kicked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was cautioning them to not do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I don't -- I don't see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was reporting to Janice what happened.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People from the Haisla community?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let us just talk about the group of people from the Haisla community that may have been talking about this. Whatever its size, you were part of that group,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part of the group, but I wasn't part of the discussion. I was watching it and I was [inaudible/overlapping speakers]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part of the group?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was part of the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part of the group and Richard Pollard was part of the group?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answer is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Wendy Bolton was part of the group?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 Wilson Senior was part of the group?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at that time, not at that meeting.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Morris Amos, was he part of the group?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day,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respond to this, yeah. No, he wasn't.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appears that Sandra Robinson, at least, viewed the "group" as consisting of whoever was present for whichever meeting, not as an organized or formal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accept that the defendants Morris Amos, Sandra Robinson, Wendy Bolton and Harvey Grant Sr. and others were associated in a loose, informal group having a somewhat fluctuating membership. As discussed above, the goal of this group was to support the authority of the hereditary chiefs, and to oppose that of the elected band counsel. I am satisfied that the activities of this group, if not its purpose, included advancing allegations of misconduct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will take into account the activities of the Strategic Alliance Committee as well as its relatively informal nature in determining who is responsible for the publication of those documents for which publication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Is Defamation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As I have mentioned, the plaintiffs allege and particularize a total of fourteen defamatory expressions, twelve of them founded in libel and two in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a matter of law, I find that each of the impugned expressions is capable of carrying a defamatory meaning and that in each instance the expression is capable of referring to the individual plaintiff or plaintiffs. I turn now to address the impugned expressions individually in order to determine whether the plaintiffs have established the elements of defamation in relation to each expression. Where publication is established, I will also address which defendant or defendants are responsible.</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October 3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plaintiffs allege that on or before October 3, 2007, Morris Amos and Harvey Grant Sr. published, in writing, certain words concerning all of the plaintiffs to the defendant Janice Switlo.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the October 3 Words were written against the backdrop of the Withdrawal Letter. The immediate subject of the October 3 Words however, is the KVC's negotiation of a benefits agreement in connection with a proposed liquefied natural gas export facility on Haisla lands. The relevant portion of the document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was done in haste. Galveston was able to create the impression that it was necessary to move the Benefits Agreement along quickly due to the first mover advantage'. The Chief and Council were able to capitalize on this ploy by creating the impression for the electorate that tons of money would be at stake and we could lose out somehow if we didn't take advantage quickly. In this atmosphere informed consent suffered. When the Benefits Agreement went to the referendum, the referendum package contained a copy of the Agreement to be voted on. During the referendum another copy of the Agreement was sent out to voters usurping what had originally been sent out in voter packages and this was done in midstream which meant confusion due to the fact that off reserve voters already had opportunity to vote on the first document. The second document sent out contained significant changes to the first document. The second Benefits Agreement contained wording alluding to the necessity of a pipeline looping project that would be necessary for the project to go ahead. The electorate and the Hereditary Chiefs were never made aware of this. The Chief Councillor was known to publically state that he had one hundred percent support of the Hemaas on the Kitimat Liquefied Natural Gas project and this was subsequently proven to be false and therefore a misrepresentation of the interests of the Hereditary Chiefs and the membership as these false claims had a bearing on the outcome of the referendum vote. It would appear that in the venue of dollar signs swimming in people's eyes the tactic of misinformation was used to fragment the Hereditary Chiefs, The Hereditary Chiefs knew what was going on and are now taking steps to rectify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article [describing the deal] would make some sort of sense if the proposed deal recognized the ownership of the Haisla, and if they were to be paying taxes, rent, and more in the way of revenue sharing that actually represents the Haisla as the eternal owners of this territory. It does not do any of that. It is more in the model of typical land grabs with shady councils of bought and paid for corruption. It is no accident that this Indian At (sic) government has been unable o (sic) get Alcan to follow through on promises to the Village (sic) of decades ago, but is still prepared to destroy more land for crumbs yet again; crumbs that may never even get to the Village's people.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All of the plaintiffs claim they were defamed by this letter. They allege that those responsible for its publication are Morris Amos and Harvey Grant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allege that the October 3 Words meant and were understood to mean that: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Plaintiffs fraudulently tricked members of the Haisla First Nation into approving the Benefits Agreement in a referendum;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deceitfully made false public statements about having the support of the Hemaas for the Kitimat Liquefied Natural Gas project;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KVC is disreputable, dishonest, incompetent and corrupt in relation to the Benefits Agreement and in relation to the Kitamaat Liquefied Natural Gas project;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are each disreputable, dishonest, incompetent and corrupt in relation to the Benefits Agreement and in relation to the Kitimat Liquefied Natural Gas project;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individual Plaintiffs are each guilty of a criminal breach of trust contrary to section 336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there are reasonable grounds to believe that the individual Plaintiffs are each guilty of that criminal offence;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individual Plaintiffs are each guilty of demanding, accepting or offering to accept secret benefits contrary to section 426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there are reasonable grounds to believe that the individual Plaintiffs are each guilty of that criminal offence[.] ...</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Morris Amos and Harvey Grant Sr. submit that given the public role of the plaintiffs, the comments are not defamatory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Morris Amos acknowledged that he provided the October 3 Words to Janice Switlo. He confirmed that he brought the advertisement concerning the BCUC hearings to the attention of Harvey Grant Sr. and that he drafted the document on the instructions of Harvey Grant Sr. and the late John Wilson Sr. Although he put their names on the document, they did not review it prior to him sending it to Janice Switlo. He had received Janice Switlo's name from Harvey Grant Sr. and intended that Janice Switlo use the information to intervene in the BCUC hearings. He acknowledged that Harvey Grant Sr. was named in the letter as a hereditary chief although he was in fact not a hereditary chief.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my opinion, the impugned October 3 Words are defamatory in so far as they allege fraud, dishonesty, and corruption on the part of the plaintiffs and impute criminal conduct to them. I am satisfied these allegations and imputations would tend to lower the reputation of the plaintiffs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fact that these Words relate to elected officials does not alter this analysis. I find </w:t>
      </w:r>
      <w:r>
        <w:rPr>
          <w:rFonts w:ascii="arial" w:eastAsia="arial" w:hAnsi="arial" w:cs="arial"/>
          <w:i/>
          <w:color w:val="000000"/>
          <w:sz w:val="20"/>
          <w:lang w:val="en-US" w:eastAsia="en-US" w:bidi="ar-SA"/>
        </w:rPr>
        <w:t>Lund</w:t>
      </w:r>
      <w:r>
        <w:rPr>
          <w:rFonts w:ascii="arial" w:eastAsia="arial" w:hAnsi="arial" w:cs="arial"/>
          <w:color w:val="000000"/>
          <w:sz w:val="20"/>
          <w:lang w:val="en-US" w:eastAsia="en-US" w:bidi="ar-SA"/>
        </w:rPr>
        <w:t xml:space="preserve"> to be distinguishable in these circumstances as the Words in this case allege moral fault on the part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publication clearly implicates the chief councillor and the KVC generally. Given the size of the council, the small local community it served, and the specific and detailed nature of the allegations, I am satisfied that each of the plaintiffs were defamed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It is not disputed that these Words were published to Janice Switlo.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Although it was Morris Amos who directly provided the Words to Janice Switlo, I am also satisfied that Harvey Grant Sr. also actively participated in the publication through the instructions he provided to Morris Amos.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Upon receipt of her instructions and the October 3 Words, the defendant Janice Switlo included those words in Letter 1, a 13-page document she sent to the BCUC on or about October 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impugned portion of the letter, which is attached as an Appendix B to these reasons, refers to allegations of intimidation with regards to the September 27, 2007 meeting. It alleges that the KVC called that meeting and did not permit the hereditary chiefs' "helpers" to attend on their behalf. It further alleges "at the very least an appearance of conflict" as a result of Milton Wong, a director of Alcan Inc., acting as a mentor to Steve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addition, the letter alleges the existence of a conspiracy and references the International Criminal Court, stating as follows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Anyone contracting in this is getting more than they may realize or bargain for and the resulting contingent costs are high. Anyone facilitating it becomes part of the alleged conspiracy. All of that seriously impacts the public good that is at the crux of the responsibility of the Commission. It can even weigh personally on those involved as such alleged criminal conduct could be seen clearly as being outside authority and ultimately allegedly could attract attention of the international community through the evolving International Criminal Court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letter further refers to alleged outstanding crimes, including crimes against peace, and urges as follows at p.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they do not wish delays to arise, they ought to do their due diligence and find out who they need to be dealing with and in the very least informing and not accept the mere representations of individuals who may be in a conflict of interest.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With regard to the role of the hereditary chiefs, the letter notes as follows at p.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Haisla Hereditary Chiefs are not appearing here as somehow attorning to and accepting mere bare Crown assertion of sovereignty. They are appearing consistent with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in the interest of the Canadian public, to protect them, as part of that de facto relationship is to co-exist in a lawful manner, to report where Her Majesty's governments and subjects commit crimes and/or act inconsistent with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and reminding of the duties of that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letter then quotes from the October 3 Words, as reproduced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All of the plaintiffs claim they were defamed by this letter. They allege that those responsible were Janice Switlo, Morris Amos, and Harvey Grant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plaintiffs allege that in their context taken as a whole, the Letter 1 Words meant and were understood to mean that:</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guilty of a conflict of interest because of his relationship with Milton Wong, a director of Alcan Inc., which relationship the Plaintiff Wilson deceitfully but unsuccessfully sought to conceal from members of the Haisla First Nation;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each fraudulently tricked members of the Haisla First Nation into approving the Benefits Agreement in a referendum;</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and the Plaintiff KVC are each guilty of treason to the Haisla nation;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deceitfully made false public statements about having the support of the Hemaas for the Kitimaat Liquefied Natural Gas project;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KVC is disreputable, dishonest and corrupt;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KVC is guilty of offences within the jurisdiction of the International Criminal Court, or alternatively, there are reasonable grounds to believe that the KVC is guilty of such offences;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are each guilty of offences within the jurisdiction of the International Criminal Court, or alternatively, there are reasonable grounds to believe that the Plaintiffs are each guilty of such offences;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are each disreputable, dishonest, incompetent and corrupt in relation to the Benefits Agreement and in relation to the Kitamaat Liquefied Natural Gas project;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individual Plaintiffs are each guilty of a criminal breach of trust contrary to section 336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there are reasonable grounds to believe that the individual Plaintiffs are each guilty of that criminal offence;</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individual Plaintiffs are each guilty of demanding, accepting or offering to accept a secret commission contrary to section 426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there are reasonable grounds to believe that the individual Plaintiffs are each guilty of that criminal offence[.]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Morris Amos and the parties for whom he acts do not resile from their positions as set out in their statement of defence.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It is my opinion that the majority of the impugned words of Letter 1 are in fact defamatory. They allege deceit, fraud, treason and criminal offences within the jurisdiction of the International Criminal Court and contrary to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These allegations would tend to lower the reputation of Steve Wilson and the other plaintiffs in the eyes of a reasonable person. For the reasons discussed in relation to the October 3 Words, they exceed legitimate criticism of public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only exception to the above is the allegation of conflict of interest made against Steve Wilson. I am satisfied that this allegation does not of itself impute moral fault to Steve Wilson and thus falls within the latitude for "legitimate criticism of a public official" as discussed in </w:t>
      </w:r>
      <w:r>
        <w:rPr>
          <w:rFonts w:ascii="arial" w:eastAsia="arial" w:hAnsi="arial" w:cs="arial"/>
          <w:i/>
          <w:color w:val="000000"/>
          <w:sz w:val="20"/>
          <w:lang w:val="en-US" w:eastAsia="en-US" w:bidi="ar-SA"/>
        </w:rPr>
        <w:t>Lund</w:t>
      </w:r>
      <w:r>
        <w:rPr>
          <w:rFonts w:ascii="arial" w:eastAsia="arial" w:hAnsi="arial" w:cs="arial"/>
          <w:color w:val="000000"/>
          <w:sz w:val="20"/>
          <w:lang w:val="en-US" w:eastAsia="en-US" w:bidi="ar-SA"/>
        </w:rPr>
        <w:t>. However, the allegation that Steve Wilson was deceitful in seeking to conceal this relationship does not fall within that scope and is in fact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Given the nature of the allegations and the express identification of the chief and councillors, all of the individual plaintiffs are in my view sufficiently identified that the criticism impugns them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With regard to whether Letter 1 was published to a third party, the plaintiffs note, and I accept, that Letter 1 was sent to the CEO of the BCUC as well as to several commissioners and the Commission Secretary. The plaintiffs further argue that because the letter was posted to the BCUC website, it was published "to many other individuals in British Columbia and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question that arises in this context is whether posting on the Internet is sufficient to infer publication. That is, can the plaintiffs rely on a presumption of publication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defendants submit that an internet publication only occurs when a document is downloaded and read. They state, relying on </w:t>
      </w:r>
      <w:r>
        <w:rPr>
          <w:rFonts w:ascii="arial" w:eastAsia="arial" w:hAnsi="arial" w:cs="arial"/>
          <w:i/>
          <w:color w:val="000000"/>
          <w:sz w:val="20"/>
          <w:lang w:val="en-US" w:eastAsia="en-US" w:bidi="ar-SA"/>
        </w:rPr>
        <w:t>Crookes v. Newton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2009 BCCA 392</w:t>
        </w:r>
      </w:hyperlink>
      <w:r>
        <w:rPr>
          <w:rFonts w:ascii="arial" w:eastAsia="arial" w:hAnsi="arial" w:cs="arial"/>
          <w:color w:val="000000"/>
          <w:sz w:val="20"/>
          <w:lang w:val="en-US" w:eastAsia="en-US" w:bidi="ar-SA"/>
        </w:rPr>
        <w:t xml:space="preserve"> at para. 80, leave to appeal to the Supreme Court of Canada, granted, </w:t>
      </w:r>
      <w:hyperlink r:id="rId796" w:history="1">
        <w:r>
          <w:rPr>
            <w:rFonts w:ascii="arial" w:eastAsia="arial" w:hAnsi="arial" w:cs="arial"/>
            <w:i/>
            <w:color w:val="0077CC"/>
            <w:sz w:val="20"/>
            <w:u w:val="single"/>
            <w:shd w:val="clear" w:color="auto" w:fill="FFFFFF"/>
            <w:lang w:val="en-US" w:eastAsia="en-US" w:bidi="ar-SA"/>
          </w:rPr>
          <w:t>[2009] S.C.C.A. No. 448</w:t>
        </w:r>
      </w:hyperlink>
      <w:r>
        <w:rPr>
          <w:rFonts w:ascii="arial" w:eastAsia="arial" w:hAnsi="arial" w:cs="arial"/>
          <w:color w:val="000000"/>
          <w:sz w:val="20"/>
          <w:lang w:val="en-US" w:eastAsia="en-US" w:bidi="ar-SA"/>
        </w:rPr>
        <w:t>, that the availability of material on the Internet is not sufficient to infer publication. They assert that the plaintiffs have failed to prove that any material posted to the BCUC website was read and submit the court cannot simply assume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 accept, based on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that a presumption of publication does not arise from the mere fact of a document's availability on the Internet. Further, the defendants are correct that the plaintiffs did not prove that Letter 1, or any of the material discussed below that was posted to the BCUC website, was in fact accessed and read on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However, I am satisfied that at the very least Letter 1 was published to the BCUC and its staff, who read the impugned material. The same reasoning applies to the other letters sent to the BCUC and published on its website,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Janice Switlo authored Letter 1 and sent it to the BCUC. Furthermore, the defendants Morris Amos and Harvey Grant Sr. provided the instructions and defamatory information to Janice Switlo. They authorized and intended her to republish the October 3 Words. Accordingly, they are jointly responsible for the publication of Letter 1.</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October 9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Steve Wilson and Margaret Grant allege that the defendant Allan Williams Sr. defamed them by communicating the October 9 Words to Janice Switlo.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These words state that Steve Wilson forged Tom Robinson's signature by the unauthorized use of the signature stamp, which he had failed to return to Tom Robinson upon request. The words impute additional deceitful actions to Steve Wilson, including that he tricked John Wilson Sr. and Harvey Grant into signing the Withdrawal Letter by the use of Tom Robinson's signature and that he intentionally misled the BCUC. The words state that Steve Wilson intimidated the Robinson family as well Hereditary Chief Allan Williams Sr. and Harvey Grant Sr., and that the latter two signed the Withdrawal Letter under duress.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words also state that Margaret Grant tricked Allan Williams Sr. into signing the Withdrawal Letter while he was under the influence of painkillers following cataract and dental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Steve Wilson and Margaret Grant state that the October 9 Words were meant and were understood to mean that: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forged the signature of Hereditary Chief Tom Robinson on a letter to the BCUC dated October 2, 2007 (the "October 2 Letter to BCUC");</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fraudulently tricked the Defendants Wilson Sr. and Grant Jr. into signing the October 2 Letter to BCUC by forging the signature of Tom Robinson on the said October 2 Letter and by misrepresenting that the signature of Tom Robinson was legitimate;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for corrupt and dishonest purposes, failed to return to Hereditary Chief Tom Robinson a stamp bearing the latter's signature;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knowing that he had no authority from Tom Robinson to do so, and for a dishonest purpose, affixed the stamp signature on the October 2 Letter to BCUC;</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Grant dishonestly tricked the Defendant Williams Sr. into signing the October 2 Letter to BCUC by misrepresenting that it was of no significance;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Grant unethically took advantage of the Defendant Williams Sr. by obtaining his signature on the October 2 Letter to BCUC, knowing the Defendant was under the disabling influence of painkillers following cataract and dental surgery and was therefore in no condition to give informed consent to the contents of the said letter;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wrongly intimidated the Defendants Wilson Sr. and Grant Jr. into signing the October 2 Letter to the BCUC;</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disreputable, dishonest and corrupt;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wrongfully attacked and intimidated the Defendant Harvey Grant Sr.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attempted to perpetrate a fraud on BCUC;</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deceived the Haisla Hereditary Chiefs[.]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Allan Williams Sr. maintains the position set forth in his statement of defence.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the October 9 Words are defamatory. They allege fraud, deceit, trickery and illegal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words referred to the plaintiffs Steve Wilson and Margaret Grant, naming them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find that Allan Williams Sr. published the October 9 Words to Janice Switlo orally. As discussed immediately below, Janice Switlo republished those statements in Letter 2.</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Letter 2 is a letter authored by Janice Switlo, dated October 9, 2007 and addressed to the BCUC. The relevant portions are attached as Appendix C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plaintiffs allege that Janice Switlo, with the assistance of Morris Amos and Allan Williams Sr., published Letter 2 to members of the BCUC, the other plaintiffs and to many other individuals in British Columbia and elsewhere who accessed the letter from the BCUC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It appears that the purpose of the letter is to advance the argument that the BCUC should not accept the Withdrawal Letter at face value. It states that such reliance would be inappropriate given the serious allegations of fraud and misrepresentation and the absence of full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this context, the letter repeats the allegations of conflict of interest regarding Steve Wilson contained in Letter 1 and also alleges that Councillor Jonah (Keith) Nyce is in a conflict of interest due to his position as an internal consultant employed on Alcan's expansion project. It also incorporates the substance of the October 9 Words, including the allegations regarding Steve Wilson's use of Tom Robinson's stamp and the manner in which Margaret Grant procured Allan Williams Sr.'s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At page 7, it states the following regarding Steve Wilson: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believe based on what I have been informed of since Friday, October 5. 2007 that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has intentionally mislead the Commission, and I believe he has engaged in at the very least questionable conduct, has disrespected and mislead Haisla Hereditary Chiefs and abused protocol, and potentially allegedly engaged in criminal conduct, rendering the subject letter of no evidentiary merit.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 in all my experiences have I encountered so much evidence pertaining to such disrespectful behavior towards Hereditary Chiefs.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At p. 10 , it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Steve Wilson the mobster wannabe? Is Steve Wilson the industry puppet and/or profiting insider? Is Steve Wilson's "it's someplace safe" answer to Haisla Hereditary Chiefs' many requests for details on Haisla trust/money assets somewhere offshore like in other on-reserve examples? Is Steve Wilson the benevolent and respectful servant of the Haisla Hereditary Chiefs? Is Steve Wilson the protector of the Elders? Is Steve Wilson determiner of the public interest having been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plaintiffs allege that in the context of Letter 2 as a whole, and in the context of Letter 1, the Letter 2 Words meant and were understood to mean that: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Plaintiffs attempted to perpetrate a serious criminal fraud on the BCUC;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guilty of a serious conflict of interest because of an improper relationship with Alcan and therefore has wrongfully involved himself on behalf of the KVC in matters concerning Alcan's Expansion Project;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Nyce is guilty of a serious conflict of interest and has wrongfully involved himself on behalf of the KVC in matters concerning Alcan's Expansion Project;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forged the signature of Hereditary Chief Tom Robinson on a letter to the BCUC dated October 2, 2007 (the "Letter to BCUC");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fraudulently tricked the Defendants Wilson Sr., Grant Jr. and Williams Sr. into signing the October 2 Letter to BCUC by forging the signature of Tom Robinson on the said October 2 Letter to BCUC and misrepresenting that the signature of Tom Robinson was legitimate;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for corrupt and dishonest purposes, failed to return to Hereditary Chief Tom Robinson a stamp bearing the latter's signature;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knowing that he had no authority from Tom Robinson to do so, and for a dishonest purpose, affixed the stamp signature on the October 2 Letter lo BCUC;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Grant dishonestly tricked the Defendant Williams Sr. into signing the October 2 Letter to BCUC by misrepresenting that it was of no significance;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Grant unethically took advantage of the Defendant Williams Sr. by obtaining his signature on the October 2 Letter to BCUC knowing the Defendant was under the disabling influence of painkillers following cataract and dental surgery and was therefore in no condition to give informed consent to the contents of the said letter;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wrongly intimidated the Defendants Wilson Sr. and Grant Jr. into signing the October 2 Letter to BCUC;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KVC, Wilson and Grant are disreputable, dishonest and corrupt;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intentionally mislead the BCUC;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deceived the Haisla Hereditary Chiefs;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guilty of criminal offences, or alternatively, there are reasonable grounds to believe that the Plaintiff Wilson is guilty of criminal offences;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each govern and administer the Haisla First Nation through a system of nepotism, intimidation, corruption and fraud, or alternatively, there are reasonable grounds to believe that the Plaintiffs are each guilty of such misconduct;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a mobster, or alternatively, there are reasonable grounds to believe that the Plaintiff Wilson is a mobster;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a puppet of Alcan and a profiteering insider, or alternatively there are reasonable grounds to believe that the Plaintiff Wilson is a puppet of Alcan and a profiteering insider;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Steve Wilson has misappropriated and failed to account for Haisla trust money;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has treated Haisla Hereditary Chiefs and Haisla Elders in a contemptible manner;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Wilson misappropriated Haisla Nation trust funds and assets contrary to section 336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that there are reasonable grounds to believe that the Plaintiff Wilson is guilty of that criminal offence;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made secret illegal profits through his relationships with commercial third parties which contract with the Haisla Nation, contrary to section 426 of the Criminal Code, or alternatively, that there are reasonable grounds to believe that the Plaintiff Wilson is guilty of that criminal offence[.]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with respect to the previous publication, Morris Amos and Allan Williams Sr. do not resile from the positions set out in their statement of defence.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my view, the impugned words are defamatory in so far as they allege fraud, dishonesty, intimidation, corruption and imputations of criminal conduct. They are defamatory as they would tend to lower the reputation of the individuals referred to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However, I do not accept the plaintiff's position that the words in fact impugn each of the plaintiffs as having attempted to perpetrate a serious criminal fraud on the BCUC. I find that a reasonable person would understand the defamatory imputations as referring only to the plaintiffs specifically named: Steve Wilson, Jonah (Keith) Nyce and Margaret Grant. Even when read in context of the other publications, the words do not impugn all KVC councillors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Letter 2 was sent to the BCUC and posted to its website. I find for the same reasons as Letter 1 that Letter 2 was, at the very least,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Letter 2 was written and published by Janice Switlo. I find that she did so on the instructions and authorization of Morris Amos and Allan Williams Sr. Accordingly, Janice Switlo, Morris Amos and Allan Williams Sr. are jointly responsible for the publication of Letter 2.</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sole plaintiff with respect to Letter 3 is Steve Wilson. He advances his claims against Janice Switlo, Morris Amos, Allan Williams Sr., Sandra Robinson and Wendy Bolton.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Steve Wilson alleges that on or about October 10, 2007, Janice Switlo defamed him in a 5-page letter that she published to members of the BCUC, the other plaintiffs and to many other individuals in British Columbia and elsewhere who accessed the letter from the BCUC website. The letter is attached as Appendix 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impugned portions of Letter 3 are as follows at p.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their knowledge, why would Indian Act Chief Steve Wilson personally be supporting Alcan in this matter?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paying or may pay $22.5 million to Indian Act Chief Councillor Steve Wilson that he has said on reserve the intervening of the Haisla Hereditary Chiefs and Switlo as participants herein threatens? For what purpose has this been agreed and by whom or is being discussed? Does this assist in answering question 28,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Steve Wilson alleges that in the context of Letter 3 as a whole, and in the context of Letters 1 and 2, the above words meant and were understood to mean that: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was paid a bribe of $22.5 million to support Alcan's Expansion Project;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corrupt;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Wilson committed a criminal breach of trust contrary to section 336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there are reasonable grounds to believe that the Plaintiff Wilson is guilty of that criminal offence;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Wilson demanded, accepted or offered to accept a secret commission contrary to section 426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there are reasonable grounds to believe that the Plaintiff Wilson is guilty of that criminal offence[.]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defendants submit that the portions of the letter alleged to be defamatory are questions and as such they carry a different imputation than an accusation. They also assert that the reference to Steve Wilson being paid a $22.5 million bribe would be understood as relating to his comments at the September 27, 2007 meeting that the intervention of Morris Amos and some of the chiefs was jeopardizing monetary benefits of that rough magnitude. As such, they state this allegation was merely a personified reference to Steve Wilson as leader of the KVC.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note as well that an allegation of a secret bribe is not conveyed by the statement, given Steve Wilson's public comments on the money from Alcan being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They state that as the words do not allege a secret or a bribe, they are not defamatory.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fact that a statement is in the form of a question does not necessarily protect its author from an allegation that it is defamatory. As stated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5-242, "[i]t is immaterial whether the defendant uses the declarative or interrogative form. The fact that an allegation is cloaked in the form of a rhetorical question will afford no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am satisfied that the questions at issue are rhetorical. Furthermore, the statement itself belies the defendants' assertion that Steve Wilson was being spoken of in his representative capacity. The statement specifically states "why would Indian Act Chief Steve Wilson personally be supporting Alcan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juxtaposition of the question concerning why Steve Wilson would </w:t>
      </w:r>
      <w:r>
        <w:rPr>
          <w:rFonts w:ascii="arial" w:eastAsia="arial" w:hAnsi="arial" w:cs="arial"/>
          <w:color w:val="000000"/>
          <w:sz w:val="20"/>
          <w:u w:val="single"/>
          <w:lang w:val="en-US" w:eastAsia="en-US" w:bidi="ar-SA"/>
        </w:rPr>
        <w:t>personally</w:t>
      </w:r>
      <w:r>
        <w:rPr>
          <w:rFonts w:ascii="arial" w:eastAsia="arial" w:hAnsi="arial" w:cs="arial"/>
          <w:color w:val="000000"/>
          <w:sz w:val="20"/>
          <w:lang w:val="en-US" w:eastAsia="en-US" w:bidi="ar-SA"/>
        </w:rPr>
        <w:t xml:space="preserve"> support Alcan followed by the question regarding who was paying him $22.5 million does in my view imply a bribe. The allegation is clearly directed at Steve Wilson in his personal capacity and suggests that he is corrupt.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find that the words complained of are defamatory as they allege fraud, deceit and criminal activity, all of which would tend to lower the reputation of Steve Wilson. They allege moral fault and therefore exceed what is reasonable when criticizing a public official.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Letter 3 was sent to the BCUC and posted to its website. I find for the reasons discussed above that Letter 3 was, at the very least,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As with respect to the previous publications by Janice Switlo, I find those publications were authorized by Morris Amos and Allan Williams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This is the first of three claims advanced against Sandra Robinson and Wendy Bolton. The plaintiffs allege that these defendants "encouraged" the publications of Letters 3, and 4, and of the 5 Page Document. As it is necessary to determine the extent of their involvement in each document in light of their overall participation in the group, I will address their participation in all three documents below under the analysis of the 5 Page Document.</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plaintiffs Steve Wilson and Godfrey Grant Sr. allege that the defendants Janice Switlo, Allan Williams Sr., Sandra Robinson and Wendy Bolton, defamed them in a 3-page letter ("Letter 4") sent to the BCUC on or about October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Janice Switlo authored Letter 4, the relevant portions of which are reproduced as Appendix E. It appears directed at limiting or preventing Steve Wilson's participation in the BCUC hearing. It states that to hear from Steve Wilson for the Haisla Nation is "completely inappropriate, a breach of protocol; and very disrespectful to us." In addition, the letter describes the Withdrawal Letter as "a fraud perpetuated on the BCUC and we presume on Donovan &amp; Company". It repeats the allegations regarding Steve Wilson's use of Tom Robinson's stamp.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letter also addresses Steve Wilson's leadership, stating as follows at pp.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Steve Wilson was elected to deal with administrative matters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His recent actions bring into serious question his ability to continue even in that capacity.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Information has just come to us that Steve Wilson has allegedly taken ownership in a Europa Creek private power license that was formerly Alcan's. We expect Alcan to properly and fully inform us as to this transaction, in addition to all others, in response to our questions as asked for us by Switlo in our Information Request of October 10, 2007 submitted by her that day. Including specifically, how Steve Wilson came to be the alleged owner. We understand, Plutonic Power, a VSE startup we are advised with a half a billion dollar public purchase order for river power deals yet to be built in Toba Inlet is another owner in that licence.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repeat. We are to be provided full details of exactly all benefits conferred on anyone such as Steve Wilson as we maintain that such benefits and business arrangements ought to be conferred on the Haisla Nation, should we so accept through a proper process, as a matter of achieving our accommodation to the parties in the matter of this 2007 EPA: mutual accommodation.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letter adds that Steve Wilson's "conflict of interest precludes his being involved in any decisions by the band council in relation to the 2007 EPA and this BCUC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letter however refers to and alleges that Councillor Harvey Grant Jr. is in a conflict of interest due to his employment with Alcan. However he is not a plaintiff in the action. There is no mention of Godfrey Grant Jr. The defamatory words therefore relate to Steve Wilson only.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plaintiffs state that in the context of Letter 4 as a whole and in the context of Letters 1 to 3, the words meant and were understood to mean that:</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perpetrated a fraud on the BCUC;</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knowing that he had no authority to do so, and for a fraudulent purpose, affixed the stamp of Tom Robinson's signature to the October 2 Letter to BCUC;</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guilty of disreputable and dishonest conduct which makes him unfit to carry out his duties as Chief Councillor of the KVC;</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improperly, corruptly and in breach of his duties as Chief Councillor to the KVC, acquired ownership of a Europa Creek private power licence that was formerly Alcan's, or alternatively there are reasonable grounds to believe these assertions to be true;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made secret illegal profits through his relationships with commercial third parties which contract with the Haisla Nation, resulting in his compromising the interests of the Haisla Nation in favour of his own self-interest;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is in a conflict of interest by becoming involved in any decisions by the KVC in relation to the BCUC process or in relation to the 2007 EPA, and has in this regard, breached his duties as Chief Councilor to the KVC;</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Wilson has committed a criminal breach of trust contrary to section 336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that there are reasonable grounds to believe that the Plaintiff Wilson is guilty of that criminal offence;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Wilson has demanded, accepted or offered to accept a secret commission contrary to section 426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or alternatively, that there are reasonable grounds to believe that the Plaintiff Wilson is guilty of that criminal offence[.]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defendants submit that the meaning of the word "fraud" in describing the use of Tom Robinson's signature stamp must be understood in the context in which it was used. They state in their written submission that its "meaning must be explored so as to not import into the document any meanings which a reasonably informed and thoughtful reader would not read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The defendants argue that submitting the Withdrawal Letter to the BCUC through their counsel without disclosing the use of the stamp treads close to the legal definition of fraud, which includes the suppression of relevant facts. They rely on </w:t>
      </w:r>
      <w:r>
        <w:rPr>
          <w:rFonts w:ascii="arial" w:eastAsia="arial" w:hAnsi="arial" w:cs="arial"/>
          <w:i/>
          <w:color w:val="000000"/>
          <w:sz w:val="20"/>
          <w:lang w:val="en-US" w:eastAsia="en-US" w:bidi="ar-SA"/>
        </w:rPr>
        <w:t>Freeman v. Perlman</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1999 BCCA 40</w:t>
        </w:r>
      </w:hyperlink>
      <w:r>
        <w:rPr>
          <w:rFonts w:ascii="arial" w:eastAsia="arial" w:hAnsi="arial" w:cs="arial"/>
          <w:color w:val="000000"/>
          <w:sz w:val="20"/>
          <w:lang w:val="en-US" w:eastAsia="en-US" w:bidi="ar-SA"/>
        </w:rPr>
        <w:t xml:space="preserve"> at para. 10, quoting from </w:t>
      </w:r>
      <w:r>
        <w:rPr>
          <w:rFonts w:ascii="arial" w:eastAsia="arial" w:hAnsi="arial" w:cs="arial"/>
          <w:i/>
          <w:color w:val="000000"/>
          <w:sz w:val="20"/>
          <w:lang w:val="en-US" w:eastAsia="en-US" w:bidi="ar-SA"/>
        </w:rPr>
        <w:t>Tapp v. Lee</w:t>
      </w:r>
      <w:r>
        <w:rPr>
          <w:rFonts w:ascii="arial" w:eastAsia="arial" w:hAnsi="arial" w:cs="arial"/>
          <w:color w:val="000000"/>
          <w:sz w:val="20"/>
          <w:lang w:val="en-US" w:eastAsia="en-US" w:bidi="ar-SA"/>
        </w:rPr>
        <w:t xml:space="preserve"> (1803), 127 E.R. 200 at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It appears that the defendants argue that although the word fraud may connote a host of unsavoury meanings, its use is limited to the suppression of relevant facts in this context.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find that such an imputation is tantamount to knowing misrepresentation, which is nonetheless defamatory. These words, which also allege deceit and corruption are defamatory as they would tend to lower the reputation of Steve Wilson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Although Letter 4 was sent to the BCUC, it was not posted to its website. However, for the reasons discussed above, I find that it was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parties alleged to be responsible are Janice Switlo, Allan Williams Sr., Sandra Robinson and Wendy Bolton. I am satisfied that Allan Williams Sr. along with Janice Switlo are responsible for the letter's defamatory content. As noted, the responsibility of Sandra Robinson and Wendy Bolton is discussed below.</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Letter 5 is a 16-page letter that Janet Switlo authored and sent to the BCUC on or about October 20, 2007. All of the plaintiffs allege that they are defamed by the publication of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Letter 5, the impugned portions of which are reproduced as Appendix F to this judgment, further addresses the request for intervenor status that Morris Amos initiated, purportedly on behalf of the hereditary chiefs. It discusses the KVC's effort to withdraw that request, stating as follows at p.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They [the councillors] seek to not only prevent placement of the subject documents on the BCUC website but also to have those presently there removed from the record of this proceeding thereby in effect seeking removal of intervenors and to fix the record such that said intervenors were not intervenors in the first place and never provided any submissions to the BCUC and thereby as well allowing for the purported letter of October 2, 2007 of the Haisla Hereditary Chiefs that is an alleged fraud upon the BCUC to stand thereby be effective -- as such, I submit, seeking to have the BCUC official(s) be party(ies) to the alleged fraud upon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letter alleges in particular that the Withdrawal Letter may constitute a fraud upon the BCUC tribunal and discusses the concept of "fraud upon the court" at length. Janice Switlo adds that having become aware of the prospect of fraud upon the BCUC, she was compelled as a former lawyer to bring this matter to the tribunal's attention. Janice Switlo characterizes the nature and potential effect of that letter as follows at p.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of the purported October 2, 2007 letter from Haisla Hereditary Chiefs was proven to be a misleading act that prevents parties from presenting all of their case as the BCUC relied upon it to state it would only hear from the band council and the scope of the hearing was limited.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plaintiffs allege that in the context of Letter 5 as a whole, and in the context of Letters 1 to 4, the Letter 5 words meant and were understood the mean that:</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and the Plaintiff KVC each attempted to commit a fraud on the BCUC;</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Wilson admitted that he had attempted to commit a fraud on the BCUC[.]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This letter continues the theme of fraudulent behaviour by the plaintiffs as individuals. The words complained of are defamatory because they allege fraud, which would tend to lower the reputation of the individual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Letter 5 was sent to the BCUC and posted to its website. I find for the reasons discussed above that Letter 5 was, at the very least,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plaintiffs allege that, in addition to Janice Switlo who authored the words, the defendants Morris Amos and Harvey Grant Sr. are responsible for instructing her on their behalf. I am satisfied that Janice Switlo was acting on the instructions of Morris Amos and Harvey Grant Sr., who authorized and intended Janice Switlo to publish those statements. Accordingly, Janice Switlo, Morris Amos and Harvey Grant Sr. are responsible for the publication of Letter 5.</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Remarkably, Janice Switlo, Morris Amos and Harvey Grant Sr. were not deterred by the lawsuit. There is no evidence that any of these defendants paused to determine whether what had been published to date was untrue. Instead, they continued their campaign. Letter 6 is the first of 7 statements made after the initiation of these proceedings by which the plaintiffs allege they were defamed.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On November 2, 2007, the defendant Janice Switlo sent Letter 6 to the BCUC, raising the issue of whether the KVC had violated the </w:t>
      </w:r>
      <w:r>
        <w:rPr>
          <w:rFonts w:ascii="arial" w:eastAsia="arial" w:hAnsi="arial" w:cs="arial"/>
          <w:i/>
          <w:color w:val="000000"/>
          <w:sz w:val="20"/>
          <w:lang w:val="en-US" w:eastAsia="en-US" w:bidi="ar-SA"/>
        </w:rPr>
        <w:t>US Foreign Corrupt Practices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plaintiffs all allege that the following portion of Letter 6 defamed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U.S. Foreign Corrupt Practices Act (FCPA) is to prohibit U.S. companies from corrupting foreign officials and that law may extend jurisdiction over companies in Canada that are connected with the U.S. or entities that have "knowledge and participation" in the US.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United States Department of Justice states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FCPA prohibits both United States and foreign corporations and nationals from offering or paying, or authorizing the offer or payment, of anything of value to a foreign government official, foreign political party, party official, or candidate for foreign public office, or to an official of a public international organization in order to obtain or retain business. In addition, the FCPA requires publicly-held United States companies to make and keep books and records which, in reasonable detail, accurately reflect the disposition of company assets and to devise and maintain a system of internal accounting controls sufficient to reasonably assure that transactions are authorized, recorded accurately, and periodically reviewed."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while it is not necessary to set out specifics of the FCPA and this is not to be construed as an allegation or breach thereof by anyone, and Alcan is taken to know the law, the Haisla Hereditary Chiefs ask Alcan Inc. to answer whether there has been or is or can be alleged any activity by anyone identified in the FCPA that could in any way remotely attract application of the FCPA in any of the dealings in any way related to the 2007 EPA or otherwise, particularly with anyone who is Haisla or acts in any capacity of employee, agent, professional or other representative, or assign of the Kitimaat Indian Band Chief and Council, also called the Kitamaat Village Council.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In the context of Letter 6 as a whole, and in the context of Letters 1 to 5, all of the plaintiffs state that the Letter 6 words meant and were understood the mean that:</w:t>
      </w:r>
      <w:r>
        <w:rPr>
          <w:rFonts w:ascii="arial" w:eastAsia="arial" w:hAnsi="arial" w:cs="arial"/>
          <w:sz w:val="20"/>
          <w:lang w:val="en-US" w:eastAsia="en-US" w:bidi="ar-SA"/>
        </w:rPr>
        <w:cr/>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of the Plaintiffs is guilty of corrupt practices as defined by the U.S. </w:t>
      </w:r>
      <w:r>
        <w:rPr>
          <w:rFonts w:ascii="arial" w:eastAsia="arial" w:hAnsi="arial" w:cs="arial"/>
          <w:i/>
          <w:color w:val="000000"/>
          <w:sz w:val="20"/>
          <w:lang w:val="en-US" w:eastAsia="en-US" w:bidi="ar-SA"/>
        </w:rPr>
        <w:t>Foreign Corrupt Practices Act,</w:t>
      </w:r>
      <w:r>
        <w:rPr>
          <w:rFonts w:ascii="arial" w:eastAsia="arial" w:hAnsi="arial" w:cs="arial"/>
          <w:color w:val="000000"/>
          <w:sz w:val="20"/>
          <w:lang w:val="en-US" w:eastAsia="en-US" w:bidi="ar-SA"/>
        </w:rPr>
        <w:t xml:space="preserve"> or alternatively there are reasonable grounds to believe that assertion;</w:t>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are corrupt, disreputable, dishonest, unreliable, and unfit to serve on the KVC[.]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While this publication may not be defamatory if viewed in isolation because it does not allege reasonable grounds for corrupt practices, what is defamatory must be determined from the surrounding circumstances, including previous publications. In the context of the previous letters, I am satisfied this communication alleges reasonable grounds to believe that the plaintiffs are guilty of corrupt practices that would tend to lower the reputation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allegations, when read in the context of the previous publications and given the size of the band council and the community, impugn each of the individual plaintiffs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Letter 6 was sent to the BCUC and posted to its website. I find for the reasons discussed above that Letter 6 was, at the very least,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Janice Switlo is responsible for the publication of Letter 6 as are the defendants Morris Amos and Harvey Grant Sr., as alleged by the plaintiffs. Morris Amos and Harvey Grant Sr., in requesting that Janice Switlo act as their "helper" authorized this publication. These defendants played more than a passive role in the process. They were instrumental in its publication given their instructions to Janice Switlo.</w:t>
      </w:r>
      <w:r>
        <w:rPr>
          <w:rFonts w:ascii="arial" w:eastAsia="arial" w:hAnsi="arial" w:cs="arial"/>
          <w:sz w:val="20"/>
          <w:lang w:val="en-US" w:eastAsia="en-US" w:bidi="ar-SA"/>
        </w:rPr>
        <w:cr/>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Letter 6 was followed up with Letter 7, also on November 2, 2007 and to similar effect. The plaintiffs allege the following passage in Letter 7 at p. 4 is defamatory of all of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questions Mr. Bursey submits do not need to be answered also go to the U.S. Foreign Corrupt Practices Act and you are referred to the IR #2 filed herewith. Anything that might serve to trigger the application of that act has implications for the 2007 EPA It is reminded that the Kitimaat Indian Band chief and council is</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Indian Act chief and council is a "federal board, commission or other tribunal" within the meaning of the Federal Court Act, even if the Council is elected by custom: </w:t>
      </w:r>
      <w:r>
        <w:rPr>
          <w:rFonts w:ascii="arial" w:eastAsia="arial" w:hAnsi="arial" w:cs="arial"/>
          <w:i/>
          <w:color w:val="000000"/>
          <w:sz w:val="20"/>
          <w:lang w:val="en-US" w:eastAsia="en-US" w:bidi="ar-SA"/>
        </w:rPr>
        <w:t>Gabriel v. Canatonguin</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[1980] 2 F.C. 792</w:t>
        </w:r>
      </w:hyperlink>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[1981] 4 C.N.L.R. 61</w:t>
        </w:r>
      </w:hyperlink>
      <w:r>
        <w:rPr>
          <w:rFonts w:ascii="arial" w:eastAsia="arial" w:hAnsi="arial" w:cs="arial"/>
          <w:color w:val="000000"/>
          <w:sz w:val="20"/>
          <w:lang w:val="en-US" w:eastAsia="en-US" w:bidi="ar-SA"/>
        </w:rPr>
        <w:t xml:space="preserve"> (Fed. C.A.);</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Alberta Queen's Bench held that the Siksika Nation Indian Band Council is a federal tribunal so that only the Federal Court had jurisdiction. (</w:t>
      </w:r>
      <w:r>
        <w:rPr>
          <w:rFonts w:ascii="arial" w:eastAsia="arial" w:hAnsi="arial" w:cs="arial"/>
          <w:i/>
          <w:color w:val="000000"/>
          <w:sz w:val="20"/>
          <w:lang w:val="en-US" w:eastAsia="en-US" w:bidi="ar-SA"/>
        </w:rPr>
        <w:t>Shield v. Siksika Nation Indian Band Council Band No. 430</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[1992] A.J. No. 1214</w:t>
        </w:r>
      </w:hyperlink>
      <w:r>
        <w:rPr>
          <w:rFonts w:ascii="arial" w:eastAsia="arial" w:hAnsi="arial" w:cs="arial"/>
          <w:color w:val="000000"/>
          <w:sz w:val="20"/>
          <w:lang w:val="en-US" w:eastAsia="en-US" w:bidi="ar-SA"/>
        </w:rPr>
        <w:t>); and</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Manitoba Court of Appeal confirmed that a band council is a federal board which could only be enjoined in the Federal Court of Canada (</w:t>
      </w:r>
      <w:r>
        <w:rPr>
          <w:rFonts w:ascii="arial" w:eastAsia="arial" w:hAnsi="arial" w:cs="arial"/>
          <w:i/>
          <w:color w:val="000000"/>
          <w:sz w:val="20"/>
          <w:lang w:val="en-US" w:eastAsia="en-US" w:bidi="ar-SA"/>
        </w:rPr>
        <w:t>Repap Manitoba [I]nc. v. Mathias Colomb Indian Band</w:t>
      </w:r>
      <w:r>
        <w:rPr>
          <w:rFonts w:ascii="arial" w:eastAsia="arial" w:hAnsi="arial" w:cs="arial"/>
          <w:color w:val="000000"/>
          <w:sz w:val="20"/>
          <w:lang w:val="en-US" w:eastAsia="en-US" w:bidi="ar-SA"/>
        </w:rPr>
        <w:t xml:space="preserve"> (1996), </w:t>
      </w:r>
      <w:hyperlink r:id="rId801" w:history="1">
        <w:r>
          <w:rPr>
            <w:rFonts w:ascii="arial" w:eastAsia="arial" w:hAnsi="arial" w:cs="arial"/>
            <w:i/>
            <w:color w:val="0077CC"/>
            <w:sz w:val="20"/>
            <w:u w:val="single"/>
            <w:shd w:val="clear" w:color="auto" w:fill="FFFFFF"/>
            <w:lang w:val="en-US" w:eastAsia="en-US" w:bidi="ar-SA"/>
          </w:rPr>
          <w:t>[1997] 1 C.N.L.R. 176</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47 C.P.C. (3d) 118</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110 Man.R. (2d) 125</w:t>
        </w:r>
      </w:hyperlink>
      <w:r>
        <w:rPr>
          <w:rFonts w:ascii="arial" w:eastAsia="arial" w:hAnsi="arial" w:cs="arial"/>
          <w:color w:val="000000"/>
          <w:sz w:val="20"/>
          <w:lang w:val="en-US" w:eastAsia="en-US" w:bidi="ar-SA"/>
        </w:rPr>
        <w:t>, 118 W.A.C. 125)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plaintiffs allege that in the context of Letter 7 as a whole, and in the context of Letters 1 to 6, the Letter 7 words meant and were understood to mean that:</w:t>
      </w:r>
      <w:r>
        <w:rPr>
          <w:rFonts w:ascii="arial" w:eastAsia="arial" w:hAnsi="arial" w:cs="arial"/>
          <w:sz w:val="20"/>
          <w:lang w:val="en-US" w:eastAsia="en-US" w:bidi="ar-SA"/>
        </w:rPr>
        <w:cr/>
      </w:r>
    </w:p>
    <w:p>
      <w:pPr>
        <w:numPr>
          <w:numId w:val="4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of the Plaintiffs is guilty of corrupt practices as defined by the U.S. </w:t>
      </w:r>
      <w:r>
        <w:rPr>
          <w:rFonts w:ascii="arial" w:eastAsia="arial" w:hAnsi="arial" w:cs="arial"/>
          <w:i/>
          <w:color w:val="000000"/>
          <w:sz w:val="20"/>
          <w:lang w:val="en-US" w:eastAsia="en-US" w:bidi="ar-SA"/>
        </w:rPr>
        <w:t>Foreign Corrupt Practices Act,</w:t>
      </w:r>
      <w:r>
        <w:rPr>
          <w:rFonts w:ascii="arial" w:eastAsia="arial" w:hAnsi="arial" w:cs="arial"/>
          <w:color w:val="000000"/>
          <w:sz w:val="20"/>
          <w:lang w:val="en-US" w:eastAsia="en-US" w:bidi="ar-SA"/>
        </w:rPr>
        <w:t xml:space="preserve"> or alternatively there are reasonable grounds to believe that assertion;</w:t>
      </w:r>
    </w:p>
    <w:p>
      <w:pPr>
        <w:numPr>
          <w:numId w:val="4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are corrupt, disreputable, dishonest, unreliable, and unfit to serve on the KVC[.]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As with Letter 6, I find that the impugned words may not be defamatory when read in isolation. However, in the context of the previous letters, a reasonable person would infer from Letter 7 an allegation that there are reasonable grounds to believe that the plaintiffs are guilty of corrupt practices. I am satisfied this allegation would tend to lower the reputation of the plaintiffs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For the reasons previously given with respect to earlier publications, Letter 6 refers to the plaintiffs in their individual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am satisfied that Letter 7 was, at the very least,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For the reasons given with respect to Letter 6 Janet Switlo, Morris Amos and Harvey Grant Sr. are responsible for the publication of Letter 7, as alleged by the plaintiffs.</w:t>
      </w:r>
      <w:r>
        <w:rPr>
          <w:rFonts w:ascii="arial" w:eastAsia="arial" w:hAnsi="arial" w:cs="arial"/>
          <w:sz w:val="20"/>
          <w:lang w:val="en-US" w:eastAsia="en-US" w:bidi="ar-SA"/>
        </w:rPr>
        <w:cr/>
      </w:r>
    </w:p>
    <w:p>
      <w:pPr>
        <w:numPr>
          <w:numId w:val="4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On November 19, 2007, the defendant Janice Switlo released Letter 8 to the BCUC. This letter is described as an "Opening Statement" and alleges that the present action is a Strategic Lawsuit Against Public Participation ("SLAPP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plaintiffs allege that Letter 8 defames each of them. The impugned portion of the letter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[December 3, 2007 note: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and councillors are suing the Haisla Hereditary Chiefs and myself in the Supreme Court of British Columbia alleging libel, a SLAPP lawsuit brought immediately after their attempts to have us removed as intervenor in this BCUC Hearing failed. They challenge the existence and power of the hereditary structure saying only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structure prevails. I am not aware of any other hereditary chiefs having been sued when triggered by their indigenous laws to act to protect their nation and this is the first I am aware of an outright statement of denial of an Indigenous nation's continuing governance by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-elected.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plaintiffs submit that the words meant and were understood to mean that:</w:t>
      </w:r>
      <w:r>
        <w:rPr>
          <w:rFonts w:ascii="arial" w:eastAsia="arial" w:hAnsi="arial" w:cs="arial"/>
          <w:sz w:val="20"/>
          <w:lang w:val="en-US" w:eastAsia="en-US" w:bidi="ar-SA"/>
        </w:rPr>
        <w:cr/>
      </w:r>
    </w:p>
    <w:p>
      <w:pPr>
        <w:numPr>
          <w:numId w:val="4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Plaintiffs bring this action No. 15896, Terrace Registry, for the improper and dishonest purpose of stifling truthful speech by the Defendants;</w:t>
      </w:r>
    </w:p>
    <w:p>
      <w:pPr>
        <w:numPr>
          <w:numId w:val="4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Plaintiffs bring this action No. 15896 for the dishonest and improper purpose of deterring lawful allegations[.]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In my view, the words complained of are defamatory because they allege an attempt to stifle truthful speech. A SLAPP lawsuit is a legal action that is intended to censor, intimidate and silence criticism. As this Court stated in </w:t>
      </w:r>
      <w:r>
        <w:rPr>
          <w:rFonts w:ascii="arial" w:eastAsia="arial" w:hAnsi="arial" w:cs="arial"/>
          <w:i/>
          <w:color w:val="000000"/>
          <w:sz w:val="20"/>
          <w:lang w:val="en-US" w:eastAsia="en-US" w:bidi="ar-SA"/>
        </w:rPr>
        <w:t>Fraser v. Saanich (District)</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(1999), 94 A.C.W.S. (3d) 637</w:t>
        </w:r>
      </w:hyperlink>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32 C.E.L.R. (NS) 143</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A SLAPP suit is a claim for monetary damages against individuals who have dealt with a governmental body on an issue of public interest or concern. It is a meritless action filed by a plaintiff whose primary goal is not to win the case but rather to silence or intimidate citizens who have participated in proceedings regarding public policy or public decision making.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 my opinion, the statements impute unfairness, intimidation, repressiveness, and the notion that the plaintiffs' claims were brought for the improper purpose of silencing the defendants. All of this would tend to lower the reputation of the individual plaintiffs. Such allegations are especially harmful when directed at public officials, who are obligated to promote and welcome democratic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 am satisfied that Letter 8 was, at the very least,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For the reasons given with respect to letters 6 and 7, the parties responsible for the defamatory words are Janice Switlo, Morris Amos and Harvey Grant Sr.</w:t>
      </w:r>
      <w:r>
        <w:rPr>
          <w:rFonts w:ascii="arial" w:eastAsia="arial" w:hAnsi="arial" w:cs="arial"/>
          <w:sz w:val="20"/>
          <w:lang w:val="en-US" w:eastAsia="en-US" w:bidi="ar-SA"/>
        </w:rPr>
        <w:cr/>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Letter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On December 10, 2007, Janice Switlo once again wrote to the BCUC repeating in an expanded form her earlier allegations of corruption and bribery of the plaintiffs. The plaintiffs allege that Letter 9 defames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the impugned portions of this letter, attached as Appendix G to these reasons, Janice Switlo quotes extensively from a 1998 work she authored on the topic of corruption involving elected Aboriginal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Switlo states that the level of corruption is higher in Aboriginal communities than in Canada generally and explains that, in the present circumstances, the Haisla hereditary chiefs took action to combat this phenomenon at p.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are empowered to act and know who to call to get help to act. The Haisla Hereditary Chiefs acted. They intervened. Certainly Exhibit CI2-24 may have something to do with that, plus other public announcements in the area heard first in that way and not from the KVC (band council) such as the "partnership" (T7: Page 1391, Line 18 to Page 1392 Line 8 inclusive) but whatever caused them to be triggered to act, a matter of their law, they sought the writer's help and intervened. There will not always be such opportunities. And there should be less need for them if lessons are learned here in this Hearing, especially from our intervention. But even though it may be a matter of internal, Indigenous law, it must always be appreciated that the starting presumptions as to the nature of protections taken for granted by Canadians generally, do not apply in Indian Country.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 starting presumptions presently in Indian country are not as they should be. There can be a high likelihood of corruption influencing until proven not to be the case, given the legislative, economic, and social environment. It is a presumption to be rebutted and industry needs to be aware of that because there will be someone who will raise the question.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plaintiffs allege that in the context of Letter 9 as whole, and in the context of Letters 1 to 8, the Letter 9 words meant and were understood to mean that:</w:t>
      </w:r>
      <w:r>
        <w:rPr>
          <w:rFonts w:ascii="arial" w:eastAsia="arial" w:hAnsi="arial" w:cs="arial"/>
          <w:sz w:val="20"/>
          <w:lang w:val="en-US" w:eastAsia="en-US" w:bidi="ar-SA"/>
        </w:rPr>
        <w:cr/>
      </w:r>
    </w:p>
    <w:p>
      <w:pPr>
        <w:numPr>
          <w:numId w:val="4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each corrupt, or alternatively, there are reasonable grounds to believe that each of the Plaintiffs is corrupt;</w:t>
      </w:r>
    </w:p>
    <w:p>
      <w:pPr>
        <w:numPr>
          <w:numId w:val="4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have each accepted bribes in order to support Alcan's position at the BCUC hearing, or alternatively there are reasonable grounds to believe so;</w:t>
      </w:r>
    </w:p>
    <w:p>
      <w:pPr>
        <w:numPr>
          <w:numId w:val="4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reliable evidence to prove that the individual Plaintiffs are corrupt and have accepted bribes, or alternatively, there are reasonable grounds to believe that each of the Plaintiffs is corrupt and has accepted a bribe.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 The Defendant Switlo published Letter 9 with the knowledge, expectation and intention that Letter 9 would be republished by the BCUC on its Internet website at </w:t>
      </w:r>
      <w:r>
        <w:rPr>
          <w:rFonts w:ascii="arial" w:eastAsia="arial" w:hAnsi="arial" w:cs="arial"/>
          <w:color w:val="000000"/>
          <w:sz w:val="20"/>
          <w:u w:val="single"/>
          <w:lang w:val="en-US" w:eastAsia="en-US" w:bidi="ar-SA"/>
        </w:rPr>
        <w:t>http://</w:t>
      </w:r>
      <w:r>
        <w:rPr>
          <w:rFonts w:ascii="arial" w:eastAsia="arial" w:hAnsi="arial" w:cs="arial"/>
          <w:color w:val="000000"/>
          <w:sz w:val="20"/>
          <w:lang w:val="en-US" w:eastAsia="en-US" w:bidi="ar-SA"/>
        </w:rPr>
        <w:t xml:space="preserve"> www.bcuc.com/. which in fact occurred with the result that Letter 9 has been published to many people in British Columbia and elsewhere in the world. Alternatively, such republication was the natural and probable result of the original publication of Letter 9 by the Defendant Switlo.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Further, and in the alternative, the Defendants Amos, Wilson Sr., Grant Sr.[,] John Doe, Jane Doe, Richard Roe and Jane Roe, and each of them, authorized, incited, assisted or encouraged the publication and distribution of Letter 9 by the Defendant Switlo and they are therefore in fact and law the joint publishers of Letter 9 and are liable for the republication of Letter 9 as pleaded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 am satisfied the words complained of are defamatory because they allege corruption, which would tend to lower the reputation of the individual plaintiffs. They are not limited in scope to criticism of the plaintiffs' competence or decision making as public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Again, given the community's size and the previous publications, these allegations defame each of the plaintiffs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 am satisfied that Letter 9 was, at the very least, published to BCUC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As previously noted, the evidence is that that the defendants Morris Amos and Harvey Grant Sr. authorized and intended Janice Switlo to publish the material, as alleged by the plaintiffs. As a result, they are responsible, along with Janice Switlo, for the publication.</w:t>
      </w:r>
      <w:r>
        <w:rPr>
          <w:rFonts w:ascii="arial" w:eastAsia="arial" w:hAnsi="arial" w:cs="arial"/>
          <w:sz w:val="20"/>
          <w:lang w:val="en-US" w:eastAsia="en-US" w:bidi="ar-SA"/>
        </w:rPr>
        <w:cr/>
      </w:r>
    </w:p>
    <w:p>
      <w:pPr>
        <w:numPr>
          <w:numId w:val="4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Position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 January 7, 2008, Janice Switlo, John Wilson Sr. and Allan Williams Sr. distributed to members of the Haisla Nation and residents of Kitamaat Village a single-page document headed "Hereditary Chiefs of the Haisla Nation, Position Paper on Europa Creek/Crab River Hydroelectric Development" (the "Position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plaintiffs allege that this document defames each of them. The impugned portion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Haisla Hereditary Chiefs duties, obligations and responsibilities to the Haisla indigenous people, lands and resources have been triggered as a result of recent events brought on by the mismanagement of band affairs, unlawful actions and lack of respectful dialogue and consultation of the current Kitamaat Village Council lead by elected chief councilor, Steve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plaintiffs allege that in the context of the Position Paper as a whole, and in the context of Letters 1 to 9, the Position Paper words meant and were understood to mean that:</w:t>
      </w:r>
      <w:r>
        <w:rPr>
          <w:rFonts w:ascii="arial" w:eastAsia="arial" w:hAnsi="arial" w:cs="arial"/>
          <w:sz w:val="20"/>
          <w:lang w:val="en-US" w:eastAsia="en-US" w:bidi="ar-SA"/>
        </w:rPr>
        <w:cr/>
      </w:r>
    </w:p>
    <w:p>
      <w:pPr>
        <w:numPr>
          <w:numId w:val="5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individual Plaintiffs and the Plaintiff KVC have mismanaged band affairs;</w:t>
      </w:r>
    </w:p>
    <w:p>
      <w:pPr>
        <w:numPr>
          <w:numId w:val="5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Plaintiffs is guilty of unlawful actions[.]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In my opinion, the impugned words relating to unlawful actions are defamatory. An allegation of unlawful conduct would tend to lower the plaintiffs' reputations in the eyes of a reasonable person. It also exceeds what is reasonable when criticizing public officials. Given the community in which the Position Paper was published, the Position Paper as a whole and the previous publications, a reasonable person would understand the allegations to refer to the plaintiffs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now turn to the allegation of mismanagement. Although such an allegation may not on its own be defamatory of a public official, the meaning of the allegation in this case must be determined from the surrounding circumstances, including the previous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statement itself refers to "recent events brought on by the mismanagement of band affairs ... of the current Kitamaat Village Council lead by elected chief councillor, Steve Wilson." In the context of the previous statements, I am satisfied a reasonable reader, familiar with the recent events would have associated "mismanagement" with the allegations of illegal acts and moral fault referred to in previous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am satisfied this statement is defamatory; it exceeds criticism of the plaintiffs' competence or decision making as public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There is no question that this statement was published as it was distributed to members of the Haisla Nation and residents of the City of Kitimat.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three signatories to this document are Tom Robinson and John Wilson Sr. (both now deceased) and Allan Williams Sr. It was not clear from the evidence who wrote this document although it bears in its content and style the hand of Janice Switlo, who by default judgment is liable for its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Allan Williams Sr. acknowledged that the document bore his signature. He is responsible for its publication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However, there is no evidence of Harvey Grant Sr.'s involvement in this document and I am unable to infer his responsibility for its publication based solely on his membership in the Strategic Alliance Committee nor am I satisfied that the involvement of Morris Amos in the preparation of this document has been established.</w:t>
      </w:r>
      <w:r>
        <w:rPr>
          <w:rFonts w:ascii="arial" w:eastAsia="arial" w:hAnsi="arial" w:cs="arial"/>
          <w:sz w:val="20"/>
          <w:lang w:val="en-US" w:eastAsia="en-US" w:bidi="ar-SA"/>
        </w:rPr>
        <w:cr/>
      </w:r>
    </w:p>
    <w:p>
      <w:pPr>
        <w:numPr>
          <w:numId w:val="5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5 Page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Not content with confining their complaints to the BCUC process, Allan Williams Sr., Morris Amos and Harvey Grant Sr. created and published a document headed "In the Traditional Sovereign Tribal Court of the Haisla Hemaas", which was described in the pleadings as the 5 Page Document. It is signed by or on behalf of Tom Robinson, Allan Williams Sr., Harvey Grant Sr. (for Wiseks, Harvey Grant Jr.), John Wilson Sr. and Aidun Naidu. The defendant Allan Williams Sr. confirmed that this document was signed on his behalf by Heber Grant who was his speaker and had authority to sign for him. He instructed Heber Grant to sign on his behalf as he was in Vancouver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This document is remarkable. Firstly, it purported to have been issued by an entity called the "Traditional Sovereign Tribal Court of the Haisla Hereditary Chiefs", an entity whose existence will be discussed below under the defendants' claim of absolute privilege. Secondly, this is the document that brought Aidun Naidu into the picture, describing him as Chief Tribal Judge. As I have mentioned above, his involvement was at the invitation of Morris Amos; he is not a member of the Haisla Band, not of First Nations heritage, and is of questionable background and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plaintiffs allege that they were each defamed by the following portion of the 5 Page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 the matter of an act of treason perpetrated by Steve Wilson, Margaret Grant, Jonah (Keith) Nyce, also known as Joey Nyce, Ellis Ross, Kevin Stewart, Rod Bolton, Ken Hall, Alex Grant Sr., Godfrey Grant Jr., Henry Amos Sr. and Kitamaat Village Council, contrary to the provisions of the Haisla Traditional Native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Violating the mandate of the Native Code of the Traditional Haisla by engaging in conduct ... in furtherance of an intention to defraud and deceive the Haisla people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Perpetrating a fraudulent intent and deceptive practices by memorializing, or attempting to memorialize crucial documentation by unauthorized use of the signature stamp of Jasee, Thomas Robinson, without the implied or express consent, permission, and authority of the Traditional Haisla Hereditary Chiefs, in furtherance of an intention to precipitate personal financial gain, benefit, advantage, and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Conspiring, on or about June 2006, to rig elections in furtherance of a common intention to defraud the leadership of the Traditional Haisla Hereditary Chiefs and the people of the Haisla in certain spurious activities conducted in Prince Rupert, </w:t>
      </w:r>
      <w:r>
        <w:rPr>
          <w:rFonts w:ascii="arial" w:eastAsia="arial" w:hAnsi="arial" w:cs="arial"/>
          <w:b/>
          <w:color w:val="000000"/>
          <w:sz w:val="20"/>
          <w:lang w:val="en-US" w:eastAsia="en-US" w:bidi="ar-SA"/>
        </w:rPr>
        <w:t>Vancouver</w:t>
      </w:r>
      <w:r>
        <w:rPr>
          <w:rFonts w:ascii="arial" w:eastAsia="arial" w:hAnsi="arial" w:cs="arial"/>
          <w:color w:val="000000"/>
          <w:sz w:val="20"/>
          <w:lang w:val="en-US" w:eastAsia="en-US" w:bidi="ar-SA"/>
        </w:rPr>
        <w:t xml:space="preserve"> and Terrace, BC, to illegally vote you in as Indian Act elected Chief Councillor in direct violation of the Haisla Native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5"/>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coercing, using undue influence, and coaxing British Columbia's politicians to conspire in a fraudulent act to deceive and mislead the Traditional Hereditary Chiefs and people of the Haisla in furtherance of reaping personal, financial gain, benefit, and advantage, direct violation of the Federal Indian Act.</w:t>
      </w:r>
    </w:p>
    <w:p>
      <w:pPr>
        <w:numPr>
          <w:numId w:val="5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and attempting to mislead the Government of British Columbia regarding Article 2(b) of the Federal Indian Act: Article 10 of the Federal Indian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plaintiffs allege that in the context of the 5 Page Document as a whole, and in the context of Letters 1 to 9 and the Position Paper, the 5 Page Document words meant and were understood to mean that:</w:t>
      </w:r>
      <w:r>
        <w:rPr>
          <w:rFonts w:ascii="arial" w:eastAsia="arial" w:hAnsi="arial" w:cs="arial"/>
          <w:sz w:val="20"/>
          <w:lang w:val="en-US" w:eastAsia="en-US" w:bidi="ar-SA"/>
        </w:rPr>
        <w:cr/>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and the Plaintiff KVC are each guilty of defrauding and deceiving members of the Haisla First Nation;</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and the Plaintiff KVC are each guilty of fraudulently and deceptively using the signature stamp of Hereditary Chief Tom Robinson without authorization for the improper purpose of personal financial gain, benefit or advantage;</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are each guilty of conspiring in June 2006 to illegally and fraudulently rig the elections for the office of Chief Councillor of the Kitamaat Village Council to ensure the election of the Plaintiff Wilson to that office, which in fact occurred;</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and the Plaintiff KVC are each guilty of defrauding the Hereditary Chiefs;</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individual Plaintiffs are each guilty of coercing, using undue influence and conspiring with British Columbia politicians to fraudulently deceive and mislead the Hereditary Chiefs and members of the Haisla First Nation for their personal financial benefit in violation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R.S.C. 1985, c. 1-5;</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individual Plaintiffs and the Plaintiff KVC are each guilty of unlawfully misleading the Government of British Columbia in violation of sections 2 and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R.S.C. 1985, c. 1-5[.]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plaintiffs allege that the 5 Page Document was published by the document signatories and by the defendants Sandra Robinson and Wendy Bolton. A copy of the 5 Page Document is attached as Appendix 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words complained of are defamatory to the extent that they allege fraud, corruption, and illegal conduct, which would tend to lower the reputation of the individual plaintiffs -- all of whom are referred to by name. The words exceed criticism of the plaintiffs' competence or decision-making as public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5 Page Document was mailed to Prime Minister Steven Harper, Governor General Michaëlle Jean, British Columbia Lieutenant Governor Steven Point, British Columbia Premier Gordon Campbell, the Department of Indian and Northern Affairs Canada, Donovan &amp; Company (solicitors for the KVC) and McConchie Law Corp. (counsel for the plaintiffs). Sandra Robinson confirmed the mailing as well as the fact that none of the mailed copies were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The plaintiffs submit that publication to a third party in such circumstances is established by proof of the mailing of the document. The defendants disagree and refer to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who addresses this issue as follows at 7-65 and 7-66: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publication will not be found simply because defamatory information is placed in a position where it may be seen or read by others if there is no evidence that it was actually seen or read. ... If a writing is delivered into another person's hands but he does not or cannot read it, or if an utterance is made in his presence does not hear it, or cannot understand the language [Footnote 278] ... there is no publication.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Footnote 278: "[I]t is incumbent upon the plaintiff not only to prove that the written document was handed to some third person but that the read and understood it". Gordon J. in </w:t>
      </w:r>
      <w:r>
        <w:rPr>
          <w:rFonts w:ascii="arial" w:eastAsia="arial" w:hAnsi="arial" w:cs="arial"/>
          <w:i/>
          <w:color w:val="000000"/>
          <w:sz w:val="20"/>
          <w:lang w:val="en-US" w:eastAsia="en-US" w:bidi="ar-SA"/>
        </w:rPr>
        <w:t>Arnott v. College of Physicians &amp; Surgeons of Saskatchewan</w:t>
      </w:r>
      <w:r>
        <w:rPr>
          <w:rFonts w:ascii="arial" w:eastAsia="arial" w:hAnsi="arial" w:cs="arial"/>
          <w:color w:val="000000"/>
          <w:sz w:val="20"/>
          <w:lang w:val="en-US" w:eastAsia="en-US" w:bidi="ar-SA"/>
        </w:rPr>
        <w:t xml:space="preserve"> (1953), 10 W.W.R. (N.S.) 446 at 465 (Sask. C.A.).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7-91: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mere deposit of a letter in the mail may not be publication, it may be sufficient evidence upon which a jury might conclude that the defamatory matter was actually published to the person to whom it was addressed.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Warren v. Warren</w:t>
      </w:r>
      <w:r>
        <w:rPr>
          <w:rFonts w:ascii="arial" w:eastAsia="arial" w:hAnsi="arial" w:cs="arial"/>
          <w:color w:val="000000"/>
          <w:sz w:val="20"/>
          <w:lang w:val="en-US" w:eastAsia="en-US" w:bidi="ar-SA"/>
        </w:rPr>
        <w:t xml:space="preserve"> (1834), 1 C.M. &amp; R. 250, Parke B stated, "If a letter is sent by the post, it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until the contrary be proved, that the party to whom it is addressed received it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However, the defendants submit that </w:t>
      </w:r>
      <w:r>
        <w:rPr>
          <w:rFonts w:ascii="arial" w:eastAsia="arial" w:hAnsi="arial" w:cs="arial"/>
          <w:i/>
          <w:color w:val="000000"/>
          <w:sz w:val="20"/>
          <w:lang w:val="en-US" w:eastAsia="en-US" w:bidi="ar-SA"/>
        </w:rPr>
        <w:t>Warren</w:t>
      </w:r>
      <w:r>
        <w:rPr>
          <w:rFonts w:ascii="arial" w:eastAsia="arial" w:hAnsi="arial" w:cs="arial"/>
          <w:color w:val="000000"/>
          <w:sz w:val="20"/>
          <w:lang w:val="en-US" w:eastAsia="en-US" w:bidi="ar-SA"/>
        </w:rPr>
        <w:t xml:space="preserve"> is not persuasive authority due to its age and unique facts. However, </w:t>
      </w:r>
      <w:r>
        <w:rPr>
          <w:rFonts w:ascii="arial" w:eastAsia="arial" w:hAnsi="arial" w:cs="arial"/>
          <w:i/>
          <w:color w:val="000000"/>
          <w:sz w:val="20"/>
          <w:lang w:val="en-US" w:eastAsia="en-US" w:bidi="ar-SA"/>
        </w:rPr>
        <w:t>Warren</w:t>
      </w:r>
      <w:r>
        <w:rPr>
          <w:rFonts w:ascii="arial" w:eastAsia="arial" w:hAnsi="arial" w:cs="arial"/>
          <w:color w:val="000000"/>
          <w:sz w:val="20"/>
          <w:lang w:val="en-US" w:eastAsia="en-US" w:bidi="ar-SA"/>
        </w:rPr>
        <w:t xml:space="preserve"> does not stand alone. The presumption that a posted letter has been read by the recipient is recognized, both by authors of texts on defamation and by our courts. In </w:t>
      </w:r>
      <w:r>
        <w:rPr>
          <w:rFonts w:ascii="arial" w:eastAsia="arial" w:hAnsi="arial" w:cs="arial"/>
          <w:i/>
          <w:color w:val="000000"/>
          <w:sz w:val="20"/>
          <w:lang w:val="en-US" w:eastAsia="en-US" w:bidi="ar-SA"/>
        </w:rPr>
        <w:t>Gaskin v. Retail Credit Co.</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(1964), 43 D.L.R. (2d) 120</w:t>
        </w:r>
      </w:hyperlink>
      <w:r>
        <w:rPr>
          <w:rFonts w:ascii="arial" w:eastAsia="arial" w:hAnsi="arial" w:cs="arial"/>
          <w:color w:val="000000"/>
          <w:sz w:val="20"/>
          <w:lang w:val="en-US" w:eastAsia="en-US" w:bidi="ar-SA"/>
        </w:rPr>
        <w:t xml:space="preserve"> at 125 (Ont. C.A.), rev'd </w:t>
      </w:r>
      <w:hyperlink r:id="rId805" w:history="1">
        <w:r>
          <w:rPr>
            <w:rFonts w:ascii="arial" w:eastAsia="arial" w:hAnsi="arial" w:cs="arial"/>
            <w:i/>
            <w:color w:val="0077CC"/>
            <w:sz w:val="20"/>
            <w:u w:val="single"/>
            <w:shd w:val="clear" w:color="auto" w:fill="FFFFFF"/>
            <w:lang w:val="en-US" w:eastAsia="en-US" w:bidi="ar-SA"/>
          </w:rPr>
          <w:t>[1965] S.C.R. 297</w:t>
        </w:r>
      </w:hyperlink>
      <w:r>
        <w:rPr>
          <w:rFonts w:ascii="arial" w:eastAsia="arial" w:hAnsi="arial" w:cs="arial"/>
          <w:color w:val="000000"/>
          <w:sz w:val="20"/>
          <w:lang w:val="en-US" w:eastAsia="en-US" w:bidi="ar-SA"/>
        </w:rPr>
        <w:t xml:space="preserve">, McGillivray J.A. for the majority referred to </w:t>
      </w:r>
      <w:r>
        <w:rPr>
          <w:rFonts w:ascii="arial" w:eastAsia="arial" w:hAnsi="arial" w:cs="arial"/>
          <w:i/>
          <w:color w:val="000000"/>
          <w:sz w:val="20"/>
          <w:lang w:val="en-US" w:eastAsia="en-US" w:bidi="ar-SA"/>
        </w:rPr>
        <w:t>Warren</w:t>
      </w:r>
      <w:r>
        <w:rPr>
          <w:rFonts w:ascii="arial" w:eastAsia="arial" w:hAnsi="arial" w:cs="arial"/>
          <w:color w:val="000000"/>
          <w:sz w:val="20"/>
          <w:lang w:val="en-US" w:eastAsia="en-US" w:bidi="ar-SA"/>
        </w:rPr>
        <w:t xml:space="preserve"> with approval, quoting from </w:t>
      </w:r>
      <w:r>
        <w:rPr>
          <w:rFonts w:ascii="arial" w:eastAsia="arial" w:hAnsi="arial" w:cs="arial"/>
          <w:i/>
          <w:color w:val="000000"/>
          <w:sz w:val="20"/>
          <w:lang w:val="en-US" w:eastAsia="en-US" w:bidi="ar-SA"/>
        </w:rPr>
        <w:t>Button</w:t>
      </w:r>
      <w:r>
        <w:rPr>
          <w:rFonts w:ascii="arial" w:eastAsia="arial" w:hAnsi="arial" w:cs="arial"/>
          <w:color w:val="000000"/>
          <w:sz w:val="20"/>
          <w:lang w:val="en-US" w:eastAsia="en-US" w:bidi="ar-SA"/>
        </w:rPr>
        <w:t>, Libel &amp; Slander, 1935 at p. 68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libel publication must be proved, as a rule by calling a witness to say that the libel was read; but in certain cases of libel the plaintiff is assisted by certain presumptions which are made in his favour, which it is for the defendant to rebut if he can. Thus, there is a rebuttable presumption that a letter has been published to the addressee, which arises on proof of posting the letter (</w:t>
      </w:r>
      <w:r>
        <w:rPr>
          <w:rFonts w:ascii="arial" w:eastAsia="arial" w:hAnsi="arial" w:cs="arial"/>
          <w:i/>
          <w:color w:val="000000"/>
          <w:sz w:val="20"/>
          <w:lang w:val="en-US" w:eastAsia="en-US" w:bidi="ar-SA"/>
        </w:rPr>
        <w:t>Shipley [v.] Todhunter</w:t>
      </w:r>
      <w:r>
        <w:rPr>
          <w:rFonts w:ascii="arial" w:eastAsia="arial" w:hAnsi="arial" w:cs="arial"/>
          <w:color w:val="000000"/>
          <w:sz w:val="20"/>
          <w:lang w:val="en-US" w:eastAsia="en-US" w:bidi="ar-SA"/>
        </w:rPr>
        <w:t xml:space="preserve"> (1836), 7 C. &amp; P. 680; </w:t>
      </w:r>
      <w:r>
        <w:rPr>
          <w:rFonts w:ascii="arial" w:eastAsia="arial" w:hAnsi="arial" w:cs="arial"/>
          <w:i/>
          <w:color w:val="000000"/>
          <w:sz w:val="20"/>
          <w:lang w:val="en-US" w:eastAsia="en-US" w:bidi="ar-SA"/>
        </w:rPr>
        <w:t>Warren [v.] Warren</w:t>
      </w:r>
      <w:r>
        <w:rPr>
          <w:rFonts w:ascii="arial" w:eastAsia="arial" w:hAnsi="arial" w:cs="arial"/>
          <w:color w:val="000000"/>
          <w:sz w:val="20"/>
          <w:lang w:val="en-US" w:eastAsia="en-US" w:bidi="ar-SA"/>
        </w:rPr>
        <w:t xml:space="preserve"> (1834), 1 C.M. &amp; R. 250). There is presumption that the contents of a telegram have been published to the post office officials, which would seem irrebuttable from the practical point of view (</w:t>
      </w:r>
      <w:r>
        <w:rPr>
          <w:rFonts w:ascii="arial" w:eastAsia="arial" w:hAnsi="arial" w:cs="arial"/>
          <w:i/>
          <w:color w:val="000000"/>
          <w:sz w:val="20"/>
          <w:lang w:val="en-US" w:eastAsia="en-US" w:bidi="ar-SA"/>
        </w:rPr>
        <w:t>Williamson [v.] Freer</w:t>
      </w:r>
      <w:r>
        <w:rPr>
          <w:rFonts w:ascii="arial" w:eastAsia="arial" w:hAnsi="arial" w:cs="arial"/>
          <w:color w:val="000000"/>
          <w:sz w:val="20"/>
          <w:lang w:val="en-US" w:eastAsia="en-US" w:bidi="ar-SA"/>
        </w:rPr>
        <w:t xml:space="preserve"> (1874), L.R. 9 C.P. 373). There is also the presumption that the writing on a postcard will be read by somebody in the course of its transit.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other cases the plaintiff must establish affirmatively that there was publication to a third person.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On appeal, Ritchie J.A. for the majority found that the trial judge and the majority of the Ontario Court of Appeal had erred by holding that there was no evidence of publication for the jury to consider. Justice Ritchie explained at 300 that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publication may be established on the facts of a given case, rather than by reference to a closed list of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strongly contended by counsel for the respondent that the English cases referred to in Button on Libel and Slander and in other text-books established an exhaustive and closed category of circumstances from which publication could be inferred and it appears that McGillivray J.A. subscribed to this 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however, the general principle is correctly stated in Gatley on Libel and Slander, at p. 89, where it is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for the plaintiff in every case to prove directly that the words complained of were brought to the actual knowledge of some third person. If he proves facts from which it can reasonably be inferred that the words were brought to the knowledge of some third person, he will establish a prima facie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As mentioned, the evidence establishes that the 5 Page Document was mailed to seven people, five being members of government and two being the lawyers for the plaintiffs. As well, the evidence establishes that none of the letters was returned by the post office. There was no direct evidence that any of the intended recipients received, read or responded to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In my opinion, a presumption of publication is established where the document is mailed to a named person. In these circumstances, I am satisfied that the plaintiffs have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5 Page Document was read by the intended recipients, or a person reviewing mail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As evidence tending to show the contrary, the defendants suggest that the five politicians to whom the letter was mailed are the very people one would expect to ignore such a document. At the same time, however, the defendants state that normally some sort of response can be expected from public officials. There is no evidence supporting either of these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am therefore satisfied that the 5 Page Document was published by mail to those individuals listed on the document, or to individuals acting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document signatories who are parties to this action and remain alive, namely Allan Williams Sr. and Harvey Grant Sr. are responsible for authorizing the creation and publication of the document. The defendant Morris Amos is also liable as he actively participated in its preparation and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turn now to discuss the responsibility of Sandra Robinson and Wendy Bolton in respect of this document as well as Letters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plaintiffs claim that Sandra Robinson and Wendy Bolton are responsible for these publications by means of having "encouraged" their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accept that both of these defendants sympathized with the views of the dissident group and aligned themselves with Morris Amos in their approach to pre- trial matters in this lawsuit. In particular, I note that Sandra Robinson was clearly hostile to Steve Wilson and his fellow councillors.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However, for the following reasons, I am not satisfied that the plaintiffs have established that these defendants contributed to the publications in a manner that attracts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Sandra Robinson and Wendy Bolton were not signatories to any of the documents other than as witnesses. Their liability therefore hinges on whether the evidence is sufficient to show, on the balance of probabilities, that they were actively involved in both the content and publication of Letters 3 and 4 and the 5 Page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With respect to Letter 3, Wendy Bolton testified that she did not write, contribute to or encourage its preparation and publication. She stated that she did not know of its existence until after it was sent to the BCUC. She never had any communications with Janice Switlo, the author of that letter, until after this action was commenced on October 27, 2007. While she did have limited communication with Janice Switlo subsequently, her contact was limited to seeking information regarding this matter. There is no evidence that she instructed or supported Janice Switlo in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Sandra Robinson testified that she only became aware of Letter 3 after it was published. She never authorized Janice Switlo to speak or write for her. The plaintiffs have not established that Sandra Robinson authored, contributed to or published Letter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With respect to Letter 4, Sandra Robinson and Wendy Bolton did not sign the letter as signatories. They signed only as witnesses. The evidence is that the three signatories discussed and signed the letters. There is no evidence that Sandra Robinson or Wendy Bolton took part in the discussion. Wendy Bolton's evidence, which was not challenged, was that the she made no comment on the letter, offered no advice or recommendation with respect to it and was only at John Wilson Sr.'s home for approximately five minutes, signed as a witness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Counsel were not able to provide any authority holding a mere witness liable for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Wendy Bolton testified that she was not present when the 5 Page Document was prepared, made no contribution to it and did nothing to publish or distribute it nor did any other witness state that she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Sandra Robinson acknowledged typing the 5 Page Document however she was simply transcribing the dictation of Aidun Naidu. I accept that she took no part in its creation, content or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fact that Janice Switlo copied many of her emails to Sandra Robinson does not of itself result in liability being imposed on her for the content of the resulting defamatory publications. I accept Sandra Robinson's evidence that, while Janice Switlo copied emails to her, she was not providing any instructions to Janice Switlo nor had she authorized her to act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am therefore not satisfied that either Sandra Robinson or Wendy Bolton were involved to any culpable degree in the preparation or publication of Letters 3 or 4 or the 5 Page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claims against Sandra Robinson and Wendy Bolton are dismissed.</w:t>
      </w:r>
      <w:r>
        <w:rPr>
          <w:rFonts w:ascii="arial" w:eastAsia="arial" w:hAnsi="arial" w:cs="arial"/>
          <w:sz w:val="20"/>
          <w:lang w:val="en-US" w:eastAsia="en-US" w:bidi="ar-SA"/>
        </w:rPr>
        <w:cr/>
      </w:r>
    </w:p>
    <w:p>
      <w:pPr>
        <w:numPr>
          <w:numId w:val="5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November 28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plaintiffs' final allegation is that Jennifer Grant Howard defamed each of them when she orally published the 5 Page Document to John Wilson Sr., Allan Williams Sr., Morris Amos, Sandra Robinson, Wendy Bolton and Harvey Grant Sr., and to other members of the Haisla Nation. The plaintiffs allege that this took place at a November 28, 2008 meeting at the Haisla United Church, Kitamaat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plaintiffs allege that the November 28 Words are defamatory for the same reasons as the 5 Page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Jennifer Grant Howard's liability for this publication is not in issue as default judgment has been entered against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Publications and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In summary, the defamatory publications and those responsible for their publication, subject to any defences established,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Publications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3 Words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Amos &amp; H. Grant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1</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H. Grant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9 Words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Williams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2</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Williams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3</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Williams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4</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&amp; Williams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5</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H. Grant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6</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H. Grant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7</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H. Grant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8</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H. Grant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9</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Amos &amp; H. Grant Sr.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Position Paper</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Switlo &amp; H. Grant Sr.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 Page Document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Amos, Williams Sr. &amp; H. Grant Sr.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28</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Words Jennifer Grant Howard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Defences Raised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Absolute Privilege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defendants say that Letters 1 to 9 were submitted as part of the BCUC proceedings and are absolutely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defendants say that absolute privilege applies because the BCUC is a quasi-judicial tribunal and was engaged in a quasi-judicial function. They maintain that while there may arguably be actions by BCUC employees that are administrative and do not attract privilege, the proceeding in question was a court-like hearing process to the fullest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defendants further argue that the 5 Page Document submitted in the Traditional Haisla Court is absolutely privileged as that Court arises from customary law and does not require statutory formality to be recognized. The defendants point to testimony indicating that when the court convened, the chiefs were in regalia and the proceedings were arranged in a roughly court-like fashion.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plaintiffs submit that the BCUC is an administrative tribunal and not a quasi-judicial body and therefore its proceedings are not absolutely privileged. They submit that this is the case, even though in discharging its administrative function the BCUC must act "judicially". In the alternative, they submit that if absolute privilege applies to the BCUC hearing the defamatory statements fall outside the ambit of this privilege because they are irrelevant, gratuitous statements about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plaintiffs further submit that the Traditional Haisla Court does not exist and that if it does, it is not a tribunal "recognized by law."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The law of absolute privilege is summarized by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as follows at pp. 12-2 and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absolute privilege extends to all statement made by high executive officers acting in the performance of their official duties relating to matters of state. The privilege extends to communications by or between high state officials and to or from such officers involving a subordinate officer, if the communication with the latter was made at the request, or pursuant to the authority, of the senior official. A high official includes senior officers in the military.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absolute privilege also extends to any communications made during the course of Parliamentary proceedings, or any proceeding of its constituent committees, by members of that body or persons appearing before it. Communications made outside the proceedings of that body, even though made by members of Parliament, are not protected by absolute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 absolute privilege for all those communications made in the course of, or incidental to, the processing and furtherance of judicial and quasi-judicial proceedings. To qualify as a quasi-judicial proceeding the tribunal must exercise functions equivalent to those of a court of justice. Among the attributes of such a tribunal are the ability to adjudicate upon and determine rights between competing litigants, to require attendance at a public hearing at which the witnesses testify under oath, to administer fines, impose punishment, render decisions and enforce orders. Such proceedings are also governed by principles of fairness and justice with a fixed procedure comparable to that of a judicial body. The immunity extends to all those persons participating in the proceedings including the judge, jury, witnesses, parties and their counsel, and to the contents of all pleadings and documents filed with the court or matters offered in evidence, and to any actions taken preliminary but necessary to the institution of the action or, following the trial, essential to effect an appeal or execute on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Stark v. Auerbach</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(1979), 98 D.L.R. (3d) 583</w:t>
        </w:r>
      </w:hyperlink>
      <w:r>
        <w:rPr>
          <w:rFonts w:ascii="arial" w:eastAsia="arial" w:hAnsi="arial" w:cs="arial"/>
          <w:color w:val="000000"/>
          <w:sz w:val="20"/>
          <w:lang w:val="en-US" w:eastAsia="en-US" w:bidi="ar-SA"/>
        </w:rPr>
        <w:t xml:space="preserve"> at 587-588 (B.C.S.C.), this privilege is necessary as a matter of public policy. It ensures the proper administration of justice by preserving the independence of judges and tribunal members and by allowing those who testify and participate in a hearing do so without fear of having to defend a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The application of absolute privilege and its rationale is analyzed in further detail in </w:t>
      </w:r>
      <w:r>
        <w:rPr>
          <w:rFonts w:ascii="arial" w:eastAsia="arial" w:hAnsi="arial" w:cs="arial"/>
          <w:i/>
          <w:color w:val="000000"/>
          <w:sz w:val="20"/>
          <w:lang w:val="en-US" w:eastAsia="en-US" w:bidi="ar-SA"/>
        </w:rPr>
        <w:t>M.J.M. v. D.J.M.</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2000 SKCA 53</w:t>
        </w:r>
      </w:hyperlink>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187 D.L.R. (4th) 473</w:t>
        </w:r>
      </w:hyperlink>
      <w:r>
        <w:rPr>
          <w:rFonts w:ascii="arial" w:eastAsia="arial" w:hAnsi="arial" w:cs="arial"/>
          <w:color w:val="000000"/>
          <w:sz w:val="20"/>
          <w:lang w:val="en-US" w:eastAsia="en-US" w:bidi="ar-SA"/>
        </w:rPr>
        <w:t>, where the court provided the following discussion at paras.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courts have long recognized an absolute privilege against suit for those who play a role in the justice system. In Taylor v. Serious Fraud Office, [1998] 4 All E.R. 801 at 807 and 808, Lord Hoffman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the end of the nineteenth century it was settled that persons taking part in a trial-the judge, the advocates, the witnesses-could not be sued for anything written or spoken in the course of the proceedings. The immunity was absolute and could not be defeated even by proof of malice. The reasons for the immunity was explained by Fry L.J. in a well known passage in Munster v. Lamb (1883) 11 QBD 588 at 607 [1881-5] All ER Rep 791 at 797: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'Why should a witness be able to avail himself of his position in the box and to make without fear of civil consequences a false statement, which in many cases is perjured, and which is malicious and affects the character of another? The rule of law exists, not because the conduct of those persons ought not of itself to be actionable, but because if their conduct was actionable, actions would be brought against judges and witnesses in cases in which they had not spoken with malice, in which they had not spoken with falsehood. It is not a desire to prevent actions from being brought in cases where they ought to be maintained that has led to the adoption of the present rule of law; but it is the fear that if they rule were otherwise, numerous actions would be brought against persons who were merely discharging their duty. It must always be borne in mind that it is not intended to protect malicious and untruthful persons, but that it is intended to protect persons acting bona fide, who under a different rule would be liable, not perhaps to verdicts and judgments against them but to the vexation of defending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Absolute privilege exists not to protect persons who have made malicious statement, but to protect those involved in the justice system from the necessity of having to weigh their words for fear of an action in defamation. It is designed to encourage freedom of speech and communication in judicial proceedings, and its need is borne out, at least in part, by necessity (see Taylor at p. 808 and 813).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immunity from suit accorded to judges, witnesses and advocates applies to the quasi-judicial sphere as well. In Lilley v. Roney (1892), 61 L.J.Q.B. 727, Cave J. held that a letter of complaint against a solicitor in respect of professional conduct with an affidavit of alleged charges was so essentially a step in a judicial proceeding that statements in the letter were absolutely privileged. Then in Addis v. Crocker, [1960] 2 All E.R. 629 the Court of Appeal ruled that the inquiry of the Disciplinary Committee constituted under the Solicitors Act was absolutely privileged so as to preclude an action in defamation against it. Pearce L.J. said (at p. 638):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the cases to which [my colleague] has referred that absolute privilege is given to proceedings in courts of law in order that judges, advocates and witnesses may perform their respective parts free from a deterrent fear of action for defamation. This privilege can create hardship for some persons in particular cases, but it is on balance an advantage to the community. For the same reason, the privilege is extended to tribunals which act judicially in a manner similar to courts of justice, but not to merely administrative tribunals.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in a case such as the one before us, absolute privilege serves the need of fostering the complaint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xml:space="preserve">  However, because it provides absolute protection even to deliberate lies and falsehoods, its extension is only approved where its necessity is established. As stated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"While it is liberally construed, it is not lightly conferred".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12-67) It has been a long-recognized principle that courts should be very slow to extend its scope (</w:t>
      </w:r>
      <w:r>
        <w:rPr>
          <w:rFonts w:ascii="arial" w:eastAsia="arial" w:hAnsi="arial" w:cs="arial"/>
          <w:i/>
          <w:color w:val="000000"/>
          <w:sz w:val="20"/>
          <w:lang w:val="en-US" w:eastAsia="en-US" w:bidi="ar-SA"/>
        </w:rPr>
        <w:t>Waple v. Surrey County Council</w:t>
      </w:r>
      <w:r>
        <w:rPr>
          <w:rFonts w:ascii="arial" w:eastAsia="arial" w:hAnsi="arial" w:cs="arial"/>
          <w:color w:val="000000"/>
          <w:sz w:val="20"/>
          <w:lang w:val="en-US" w:eastAsia="en-US" w:bidi="ar-SA"/>
        </w:rPr>
        <w:t xml:space="preserve"> (1997), [1998] 1 All. E.R. 624 at 627-628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With regard to the application of absolute privilege to quasi-judicial tribunals,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states at 12-68 to 12-70: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absolute privilege extends only to judicial or quasi-judicial bodies, as to the latter, it applies only when they act in a judicial capacity. It does not apply to tribunals discharging purely administrative or ministerial functions, nor does it protect comments made during proceedings of purely private or domestic associations relating to matters of personal and private interests, regardless of how meticulously they adhere to proceedings comparable to a court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key question is therefore whether the allegedly defamatory statements were made in the context of an administrative procedure, as argued by the plaintiffs, or by a quasi-judicial tribunal acting in a judicial capacity, as argued by the defendants. In the latter scenario, absolute privilege will necessarily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A determination of this question requires inquiry as to whether the BCUC was exercising a judicial function in the hearing, which was held pursuant to s. 71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If the BCUC was exercising such a function in the circumstances of this case, it will then be necessary to deal with the plaintiffs' alternative argument that the scope of the absolute privilege does not extend to cover irrelevant, gratuitous statements about third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BCUC Exercising a Judicial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Neither the plaintiffs nor the defendants have identified authority that has held proceedings before the BCUC to be subject to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Determining whether a particular tribunal process is quasi-judicial or administrative is not an exact science. The difficulty in making this determination was stated as follows by Lord Atkin in </w:t>
      </w:r>
      <w:r>
        <w:rPr>
          <w:rFonts w:ascii="arial" w:eastAsia="arial" w:hAnsi="arial" w:cs="arial"/>
          <w:i/>
          <w:color w:val="000000"/>
          <w:sz w:val="20"/>
          <w:lang w:val="en-US" w:eastAsia="en-US" w:bidi="ar-SA"/>
        </w:rPr>
        <w:t>O'Connor v. Waldron</w:t>
      </w:r>
      <w:r>
        <w:rPr>
          <w:rFonts w:ascii="arial" w:eastAsia="arial" w:hAnsi="arial" w:cs="arial"/>
          <w:color w:val="000000"/>
          <w:sz w:val="20"/>
          <w:lang w:val="en-US" w:eastAsia="en-US" w:bidi="ar-SA"/>
        </w:rPr>
        <w:t>, [1934] UKPC 69 at pp. 2-3, [1935] A.C. 76, a case originating in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therefore in every case is whether the tribunal in question has similar attributes to a court of justice or acts in a manner similar to that in which such courts act? This is of necessity a differentia which is not capable of very precise limitation. It is clear that the functions of some tribunals bring them near the line on one side or the other; and the final decision must be content with determining on which side of the line the tribunal stands. There must be remembered on the one hand the public policy which protects the independence of the judge; and on the other the public policy which requires that a citizen's reputation must be protected against false and malicious defamatory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Dechant v. Stevens</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2001 ABCA 39</w:t>
        </w:r>
      </w:hyperlink>
      <w:r>
        <w:rPr>
          <w:rFonts w:ascii="arial" w:eastAsia="arial" w:hAnsi="arial" w:cs="arial"/>
          <w:color w:val="000000"/>
          <w:sz w:val="20"/>
          <w:lang w:val="en-US" w:eastAsia="en-US" w:bidi="ar-SA"/>
        </w:rPr>
        <w:t xml:space="preserve">, the court adopted the test laid out by Lord Diplock in </w:t>
      </w:r>
      <w:r>
        <w:rPr>
          <w:rFonts w:ascii="arial" w:eastAsia="arial" w:hAnsi="arial" w:cs="arial"/>
          <w:i/>
          <w:color w:val="000000"/>
          <w:sz w:val="20"/>
          <w:lang w:val="en-US" w:eastAsia="en-US" w:bidi="ar-SA"/>
        </w:rPr>
        <w:t>Trapp v. Mackie</w:t>
      </w:r>
      <w:r>
        <w:rPr>
          <w:rFonts w:ascii="arial" w:eastAsia="arial" w:hAnsi="arial" w:cs="arial"/>
          <w:color w:val="000000"/>
          <w:sz w:val="20"/>
          <w:lang w:val="en-US" w:eastAsia="en-US" w:bidi="ar-SA"/>
        </w:rPr>
        <w:t xml:space="preserve"> (1978), [1979] 1 All E.R. 489 at 492 (H.L.), to determine whether a tribunal is exercising an administrative or judicial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one must consider first, under what authority the tribunal acts, secondly the nature of the question into which it is its duty to inquire; thirdly the procedure adopted by it in carrying out the inquiry, and fourthly, the legal consequences of the conclusion reached by the tribunal as a result of the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Trapp</w:t>
      </w:r>
      <w:r>
        <w:rPr>
          <w:rFonts w:ascii="arial" w:eastAsia="arial" w:hAnsi="arial" w:cs="arial"/>
          <w:color w:val="000000"/>
          <w:sz w:val="20"/>
          <w:lang w:val="en-US" w:eastAsia="en-US" w:bidi="ar-SA"/>
        </w:rPr>
        <w:t xml:space="preserve">, Lord Diplock elaborated on these four elements in turn. First, in order for the tribunal to attract privilege the tribunal must be "recognized by law". Although all statutory tribunals meet this definition, a tribunal may be "recognized by law" without statutory authority. Second, with regard to the nature of the question, where the question to be determined is in the nature of a </w:t>
      </w:r>
      <w:r>
        <w:rPr>
          <w:rFonts w:ascii="arial" w:eastAsia="arial" w:hAnsi="arial" w:cs="arial"/>
          <w:i/>
          <w:color w:val="000000"/>
          <w:sz w:val="20"/>
          <w:lang w:val="en-US" w:eastAsia="en-US" w:bidi="ar-SA"/>
        </w:rPr>
        <w:t>lis inter partes,</w:t>
      </w:r>
      <w:r>
        <w:rPr>
          <w:rFonts w:ascii="arial" w:eastAsia="arial" w:hAnsi="arial" w:cs="arial"/>
          <w:color w:val="000000"/>
          <w:sz w:val="20"/>
          <w:lang w:val="en-US" w:eastAsia="en-US" w:bidi="ar-SA"/>
        </w:rPr>
        <w:t xml:space="preserve"> the tribunal can be considered to deal with issues of the kind that form the matter of court proceedings. The third factor looks to whether the tribunal exercises powers and follows procedures similar to those exercised by a court, such as summoning witness and compelling testimony under oath. Also relevant is whether the tribunal weighs evidence and comes to a decision with reasons which explain that decision (see also: </w:t>
      </w:r>
      <w:r>
        <w:rPr>
          <w:rFonts w:ascii="arial" w:eastAsia="arial" w:hAnsi="arial" w:cs="arial"/>
          <w:i/>
          <w:color w:val="000000"/>
          <w:sz w:val="20"/>
          <w:lang w:val="en-US" w:eastAsia="en-US" w:bidi="ar-SA"/>
        </w:rPr>
        <w:t>Stark</w:t>
      </w:r>
      <w:r>
        <w:rPr>
          <w:rFonts w:ascii="arial" w:eastAsia="arial" w:hAnsi="arial" w:cs="arial"/>
          <w:color w:val="000000"/>
          <w:sz w:val="20"/>
          <w:lang w:val="en-US" w:eastAsia="en-US" w:bidi="ar-SA"/>
        </w:rPr>
        <w:t xml:space="preserve"> at para. 19). Fourth, even where a decision is not binding, a process can be considered quasi-judicial in nature if its report has, in practice, a major influence on a binding and authoritative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However, as Lord Diplock emphasized at 495, the presence or absence of any one of the second, third or fourth elements is not determinative of whether the tribunal's proceedings are absolutely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appropriate inquiry is whether the tribunal proceedings are "sufficiently similar to the manner in which courts act, to warrant designating it as a tribunal where the doctrine of absolute privilege applies" (</w:t>
      </w:r>
      <w:r>
        <w:rPr>
          <w:rFonts w:ascii="arial" w:eastAsia="arial" w:hAnsi="arial" w:cs="arial"/>
          <w:i/>
          <w:color w:val="000000"/>
          <w:sz w:val="20"/>
          <w:lang w:val="en-US" w:eastAsia="en-US" w:bidi="ar-SA"/>
        </w:rPr>
        <w:t>Duquette v. Belanger</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[1973] F.C. 868</w:t>
        </w:r>
      </w:hyperlink>
      <w:r>
        <w:rPr>
          <w:rFonts w:ascii="arial" w:eastAsia="arial" w:hAnsi="arial" w:cs="arial"/>
          <w:color w:val="000000"/>
          <w:sz w:val="20"/>
          <w:lang w:val="en-US" w:eastAsia="en-US" w:bidi="ar-SA"/>
        </w:rPr>
        <w:t xml:space="preserve"> at 873 (T.D.)). See also: </w:t>
      </w:r>
      <w:r>
        <w:rPr>
          <w:rFonts w:ascii="arial" w:eastAsia="arial" w:hAnsi="arial" w:cs="arial"/>
          <w:i/>
          <w:color w:val="000000"/>
          <w:sz w:val="20"/>
          <w:lang w:val="en-US" w:eastAsia="en-US" w:bidi="ar-SA"/>
        </w:rPr>
        <w:t>O'Connor</w:t>
      </w:r>
      <w:r>
        <w:rPr>
          <w:rFonts w:ascii="arial" w:eastAsia="arial" w:hAnsi="arial" w:cs="arial"/>
          <w:color w:val="000000"/>
          <w:sz w:val="20"/>
          <w:lang w:val="en-US" w:eastAsia="en-US" w:bidi="ar-SA"/>
        </w:rPr>
        <w:t xml:space="preserve"> at para. 6; </w:t>
      </w:r>
      <w:r>
        <w:rPr>
          <w:rFonts w:ascii="arial" w:eastAsia="arial" w:hAnsi="arial" w:cs="arial"/>
          <w:i/>
          <w:color w:val="000000"/>
          <w:sz w:val="20"/>
          <w:lang w:val="en-US" w:eastAsia="en-US" w:bidi="ar-SA"/>
        </w:rPr>
        <w:t>Stark</w:t>
      </w:r>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Tribunal Recognized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Applying the first element of the </w:t>
      </w:r>
      <w:r>
        <w:rPr>
          <w:rFonts w:ascii="arial" w:eastAsia="arial" w:hAnsi="arial" w:cs="arial"/>
          <w:i/>
          <w:color w:val="000000"/>
          <w:sz w:val="20"/>
          <w:lang w:val="en-US" w:eastAsia="en-US" w:bidi="ar-SA"/>
        </w:rPr>
        <w:t>Trapp</w:t>
      </w:r>
      <w:r>
        <w:rPr>
          <w:rFonts w:ascii="arial" w:eastAsia="arial" w:hAnsi="arial" w:cs="arial"/>
          <w:color w:val="000000"/>
          <w:sz w:val="20"/>
          <w:lang w:val="en-US" w:eastAsia="en-US" w:bidi="ar-SA"/>
        </w:rPr>
        <w:t xml:space="preserve"> test to the current circumstances, it is clear that the BCUC is a tribunal "recognized by law".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expressly continues the BCUC from previous legislation and delineates its composition, duties, powers, procedures, and jurisdiction.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Nature of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One aspect of this element is whether the issue before the tribunal involves a </w:t>
      </w:r>
      <w:r>
        <w:rPr>
          <w:rFonts w:ascii="arial" w:eastAsia="arial" w:hAnsi="arial" w:cs="arial"/>
          <w:i/>
          <w:color w:val="000000"/>
          <w:sz w:val="20"/>
          <w:lang w:val="en-US" w:eastAsia="en-US" w:bidi="ar-SA"/>
        </w:rPr>
        <w:t>lis inter partes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The procedure in question relates to an energy supply contract between BC Hydro and Alcan and arises pursuant to s. 71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This section requires the BCUC to determine if energy supply contracts are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71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Subject to subsection (1.1), a person who, after this section comes into force, enters into an energy supply contract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copy of the contract with the commission under rules and within the time it specifies, and</w:t>
      </w:r>
    </w:p>
    <w:p>
      <w:pPr>
        <w:numPr>
          <w:numId w:val="5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 to the commission any information it considers necessary to determine whether the contract is in the </w:t>
      </w:r>
      <w:r>
        <w:rPr>
          <w:rFonts w:ascii="arial" w:eastAsia="arial" w:hAnsi="arial" w:cs="arial"/>
          <w:color w:val="000000"/>
          <w:sz w:val="20"/>
          <w:u w:val="single"/>
          <w:lang w:val="en-US" w:eastAsia="en-US" w:bidi="ar-SA"/>
        </w:rPr>
        <w:t>public interest</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commission may make an order under subsection (3) if the commission, after a hearing, determines that an energy supply contract to which subsection (1) applies is not in the </w:t>
      </w:r>
      <w:r>
        <w:rPr>
          <w:rFonts w:ascii="arial" w:eastAsia="arial" w:hAnsi="arial" w:cs="arial"/>
          <w:color w:val="000000"/>
          <w:sz w:val="20"/>
          <w:u w:val="single"/>
          <w:lang w:val="en-US" w:eastAsia="en-US" w:bidi="ar-SA"/>
        </w:rPr>
        <w:t>public interest</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The plaintiffs say that BCUC decisions cannot be made without a substantial exercise of administrative discretion and argue that when the decision to be made is solely in the public interest, there is no </w:t>
      </w:r>
      <w:r>
        <w:rPr>
          <w:rFonts w:ascii="arial" w:eastAsia="arial" w:hAnsi="arial" w:cs="arial"/>
          <w:i/>
          <w:color w:val="000000"/>
          <w:sz w:val="20"/>
          <w:lang w:val="en-US" w:eastAsia="en-US" w:bidi="ar-SA"/>
        </w:rPr>
        <w:t>lis inter partes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The plaintiffs rely on our Court of Appeal's description of the BCUC's role in </w:t>
      </w:r>
      <w:r>
        <w:rPr>
          <w:rFonts w:ascii="arial" w:eastAsia="arial" w:hAnsi="arial" w:cs="arial"/>
          <w:i/>
          <w:color w:val="000000"/>
          <w:sz w:val="20"/>
          <w:lang w:val="en-US" w:eastAsia="en-US" w:bidi="ar-SA"/>
        </w:rPr>
        <w:t>Kwikwetlem First Nation v. British Columbia (Utilities Commission)</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2009 BCCA 68</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Commission is a regulatory agency of the provincial government which operates under and administers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 primary responsibility is the supervision of British Columbia's natural gas and electricity utilities "to achieve a balance in the public interest between monopoly, where monopoly is accepted as necessary, and protection to the consumer provided by competition", subject to the government's direction on energy policy. At the heart of its regulatory function is the grant of monopoly through certification of public convenience and necessity. (See </w:t>
      </w:r>
      <w:r>
        <w:rPr>
          <w:rFonts w:ascii="arial" w:eastAsia="arial" w:hAnsi="arial" w:cs="arial"/>
          <w:i/>
          <w:color w:val="000000"/>
          <w:sz w:val="20"/>
          <w:lang w:val="en-US" w:eastAsia="en-US" w:bidi="ar-SA"/>
        </w:rPr>
        <w:t>British Columbia Hydro &amp; Power Authority v. British Columbia (Utilities Commission)</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(1996), 20 B.C.L.R. (3d) 106</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36 Admin L.R. (2d) 249</w:t>
        </w:r>
      </w:hyperlink>
      <w:r>
        <w:rPr>
          <w:rFonts w:ascii="arial" w:eastAsia="arial" w:hAnsi="arial" w:cs="arial"/>
          <w:color w:val="000000"/>
          <w:sz w:val="20"/>
          <w:lang w:val="en-US" w:eastAsia="en-US" w:bidi="ar-SA"/>
        </w:rPr>
        <w:t>, at paras. 46 and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plaintiffs say furthermore that the nature of the question more closely resembles an administrative process because it is directed predominantly at the formation of an opinion, rather than on generating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xml:space="preserve">  The defendants do not dispute that the BCUC process under s. 71 deals with public interest, rather than </w:t>
      </w:r>
      <w:r>
        <w:rPr>
          <w:rFonts w:ascii="arial" w:eastAsia="arial" w:hAnsi="arial" w:cs="arial"/>
          <w:i/>
          <w:color w:val="000000"/>
          <w:sz w:val="20"/>
          <w:lang w:val="en-US" w:eastAsia="en-US" w:bidi="ar-SA"/>
        </w:rPr>
        <w:t>inter partes</w:t>
      </w:r>
      <w:r>
        <w:rPr>
          <w:rFonts w:ascii="arial" w:eastAsia="arial" w:hAnsi="arial" w:cs="arial"/>
          <w:color w:val="000000"/>
          <w:sz w:val="20"/>
          <w:lang w:val="en-US" w:eastAsia="en-US" w:bidi="ar-SA"/>
        </w:rPr>
        <w:t xml:space="preserve"> issues. They argue, however, that in light of the policy reasons justifying absolute privilege, the absence of this element should not affect the determination of the whether the BCUC is quasi-judicial.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defendants say that the policy behind privilege is engaged wherever it is of public importance that a body engaged in the search for truth and applying natural justice conduct its inquiry fearlessly and without fear of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The defendants cite the decision in </w:t>
      </w:r>
      <w:r>
        <w:rPr>
          <w:rFonts w:ascii="arial" w:eastAsia="arial" w:hAnsi="arial" w:cs="arial"/>
          <w:i/>
          <w:color w:val="000000"/>
          <w:sz w:val="20"/>
          <w:lang w:val="en-US" w:eastAsia="en-US" w:bidi="ar-SA"/>
        </w:rPr>
        <w:t>Quebec (Attorney General) v. Canada (National Energy Board)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[1994] 1 S.C.R. 159</w:t>
        </w:r>
      </w:hyperlink>
      <w:r>
        <w:rPr>
          <w:rFonts w:ascii="arial" w:eastAsia="arial" w:hAnsi="arial" w:cs="arial"/>
          <w:color w:val="000000"/>
          <w:sz w:val="20"/>
          <w:lang w:val="en-US" w:eastAsia="en-US" w:bidi="ar-SA"/>
        </w:rPr>
        <w:t>, as a case where a body similar in nature to the BCUC, namely the National Energy Board, dealt with a public interest question but was nevertheless considered to be acting in a quasi-judicial capacity. In that case, the court assessed whether the National Energy Board owed a fiduciary duty to Aboriginal peoples in its decision-making process. In rejecting the existence of such a duty, Iacobucci J., writing for the court, stated as follows at 184: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view, the considerations which apply in evaluating whether such an obligation is impressed on the process by which the Board decides whether to grant a licence for export differ little from those applying to the courts. The function of the Board in this regard is quasi-judicial: </w:t>
      </w:r>
      <w:r>
        <w:rPr>
          <w:rFonts w:ascii="arial" w:eastAsia="arial" w:hAnsi="arial" w:cs="arial"/>
          <w:i/>
          <w:color w:val="000000"/>
          <w:sz w:val="20"/>
          <w:lang w:val="en-US" w:eastAsia="en-US" w:bidi="ar-SA"/>
        </w:rPr>
        <w:t>Committee for Justice and Liberty v. National Energy Board</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color w:val="000000"/>
          <w:sz w:val="20"/>
          <w:lang w:val="en-US" w:eastAsia="en-US" w:bidi="ar-SA"/>
        </w:rPr>
        <w:t>, at p. 385. While this characterization may not carry with it all the procedural and other requirements identical to those applicable to a court, it is inherently inconsistent with the imposition of a relationship of utmost good faith between the Board and a party appearing before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xml:space="preserve">  In light of the language in s. 71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which requires the BCUC to make its decision in the public interest, it is clear that, as the defendants concede, the proceeding under s. 71 does not involve a </w:t>
      </w:r>
      <w:r>
        <w:rPr>
          <w:rFonts w:ascii="arial" w:eastAsia="arial" w:hAnsi="arial" w:cs="arial"/>
          <w:i/>
          <w:color w:val="000000"/>
          <w:sz w:val="20"/>
          <w:lang w:val="en-US" w:eastAsia="en-US" w:bidi="ar-SA"/>
        </w:rPr>
        <w:t>lis inter partes</w:t>
      </w:r>
      <w:r>
        <w:rPr>
          <w:rFonts w:ascii="arial" w:eastAsia="arial" w:hAnsi="arial" w:cs="arial"/>
          <w:color w:val="000000"/>
          <w:sz w:val="20"/>
          <w:lang w:val="en-US" w:eastAsia="en-US" w:bidi="ar-SA"/>
        </w:rPr>
        <w:t xml:space="preserve">. However, as stated in </w:t>
      </w:r>
      <w:r>
        <w:rPr>
          <w:rFonts w:ascii="arial" w:eastAsia="arial" w:hAnsi="arial" w:cs="arial"/>
          <w:i/>
          <w:color w:val="000000"/>
          <w:sz w:val="20"/>
          <w:lang w:val="en-US" w:eastAsia="en-US" w:bidi="ar-SA"/>
        </w:rPr>
        <w:t>Trapp</w:t>
      </w:r>
      <w:r>
        <w:rPr>
          <w:rFonts w:ascii="arial" w:eastAsia="arial" w:hAnsi="arial" w:cs="arial"/>
          <w:color w:val="000000"/>
          <w:sz w:val="20"/>
          <w:lang w:val="en-US" w:eastAsia="en-US" w:bidi="ar-SA"/>
        </w:rPr>
        <w:t>, and argued by the defendants, the absence of this feature is not determinative on the question of the whether the process is quasi-judicial.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"nature of the question" element also includes consideration of whether the tribunal is confined to considering policy issues or whether it must also address questions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Joint Industry Electricity Steering Committee and GSX Concerned Citizens Coalition et al v. B.C. Utilities Commission et al</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2005 BCCA 233</w:t>
        </w:r>
      </w:hyperlink>
      <w:r>
        <w:rPr>
          <w:rFonts w:ascii="arial" w:eastAsia="arial" w:hAnsi="arial" w:cs="arial"/>
          <w:color w:val="000000"/>
          <w:sz w:val="20"/>
          <w:lang w:val="en-US" w:eastAsia="en-US" w:bidi="ar-SA"/>
        </w:rPr>
        <w:t xml:space="preserve"> (Thackray J.A. in Chambers), for the proposition that a BCUC decision made pursuant to s. 71 is an exercise of legislative authority and not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Justice Thackray at para. 36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Mr. Sanderson made a point with which I agree: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applicants complain that the scope of the hearing as determined by the Commission was too narrow and say that section 71 of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xml:space="preserve"> mandates a general test of "what is in the public interest." What is or is not in the public interest is a determination to be made by the Commission in the exercise of its legislative authority. Others can disagree with the Commission in this regard, but such disagreement does not give rise to an error of law or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However, subsequent jurisprudence clearly indicates that in a s. 71 hearing, the BCUC is empowered and indeed obligated to address questions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This aspect of the BCUC hearing process is addressed in </w:t>
      </w:r>
      <w:r>
        <w:rPr>
          <w:rFonts w:ascii="arial" w:eastAsia="arial" w:hAnsi="arial" w:cs="arial"/>
          <w:i/>
          <w:color w:val="000000"/>
          <w:sz w:val="20"/>
          <w:lang w:val="en-US" w:eastAsia="en-US" w:bidi="ar-SA"/>
        </w:rPr>
        <w:t>Carrier Sekani Tribal Council v. British Columbia (Utilities Commission),</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2009 BCCA 67</w:t>
        </w:r>
      </w:hyperlink>
      <w:r>
        <w:rPr>
          <w:rFonts w:ascii="arial" w:eastAsia="arial" w:hAnsi="arial" w:cs="arial"/>
          <w:color w:val="000000"/>
          <w:sz w:val="20"/>
          <w:lang w:val="en-US" w:eastAsia="en-US" w:bidi="ar-SA"/>
        </w:rPr>
        <w:t>, where at para. 15, Donald J.A. for the court described the BCUC as a quasi-judicial tribunal: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Commission is a quasi-judicial tribunal with authority to decide questions of law. As such, it has the jurisdiction, and in my opinion the obligation, to decide the constitutional question of whether the duty to consult exists and, if so, whether it has been discharged: </w:t>
      </w:r>
      <w:r>
        <w:rPr>
          <w:rFonts w:ascii="arial" w:eastAsia="arial" w:hAnsi="arial" w:cs="arial"/>
          <w:i/>
          <w:color w:val="000000"/>
          <w:sz w:val="20"/>
          <w:lang w:val="en-US" w:eastAsia="en-US" w:bidi="ar-SA"/>
        </w:rPr>
        <w:t>Paul v. British Columbia (Forest Appeals Commission)</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2003 SCC 55</w:t>
        </w:r>
      </w:hyperlink>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[2003] 2 S.C.R. 585</w:t>
        </w:r>
      </w:hyperlink>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In its decision reversing </w:t>
      </w:r>
      <w:r>
        <w:rPr>
          <w:rFonts w:ascii="arial" w:eastAsia="arial" w:hAnsi="arial" w:cs="arial"/>
          <w:i/>
          <w:color w:val="000000"/>
          <w:sz w:val="20"/>
          <w:lang w:val="en-US" w:eastAsia="en-US" w:bidi="ar-SA"/>
        </w:rPr>
        <w:t>Carrier Sekani Tribal Council</w:t>
      </w:r>
      <w:r>
        <w:rPr>
          <w:rFonts w:ascii="arial" w:eastAsia="arial" w:hAnsi="arial" w:cs="arial"/>
          <w:color w:val="000000"/>
          <w:sz w:val="20"/>
          <w:lang w:val="en-US" w:eastAsia="en-US" w:bidi="ar-SA"/>
        </w:rPr>
        <w:t xml:space="preserve">, indexed at </w:t>
      </w:r>
      <w:hyperlink r:id="rId817" w:history="1">
        <w:r>
          <w:rPr>
            <w:rFonts w:ascii="arial" w:eastAsia="arial" w:hAnsi="arial" w:cs="arial"/>
            <w:i/>
            <w:color w:val="0077CC"/>
            <w:sz w:val="20"/>
            <w:u w:val="single"/>
            <w:shd w:val="clear" w:color="auto" w:fill="FFFFFF"/>
            <w:lang w:val="en-US" w:eastAsia="en-US" w:bidi="ar-SA"/>
          </w:rPr>
          <w:t>2010 SCC 43</w:t>
        </w:r>
      </w:hyperlink>
      <w:r>
        <w:rPr>
          <w:rFonts w:ascii="arial" w:eastAsia="arial" w:hAnsi="arial" w:cs="arial"/>
          <w:color w:val="000000"/>
          <w:sz w:val="20"/>
          <w:lang w:val="en-US" w:eastAsia="en-US" w:bidi="ar-SA"/>
        </w:rPr>
        <w:t>, the Supreme Court of Canada affirmed at paras. 71-73 that the BCUC is empowered to consider questions of law, including some questions of constitutional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The foregoing analysis indicates that aspects of the "nature of the question" element point in both directions. On the one hand, the BCUC procedure under s. 71 involves questions of policy and requires the exercise of discretion in a context in which there is no </w:t>
      </w:r>
      <w:r>
        <w:rPr>
          <w:rFonts w:ascii="arial" w:eastAsia="arial" w:hAnsi="arial" w:cs="arial"/>
          <w:i/>
          <w:color w:val="000000"/>
          <w:sz w:val="20"/>
          <w:lang w:val="en-US" w:eastAsia="en-US" w:bidi="ar-SA"/>
        </w:rPr>
        <w:t>lis inter partes</w:t>
      </w:r>
      <w:r>
        <w:rPr>
          <w:rFonts w:ascii="arial" w:eastAsia="arial" w:hAnsi="arial" w:cs="arial"/>
          <w:color w:val="000000"/>
          <w:sz w:val="20"/>
          <w:lang w:val="en-US" w:eastAsia="en-US" w:bidi="ar-SA"/>
        </w:rPr>
        <w:t>. On the other hand, the tribunal is empowered and obligated to consider questions of law.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Powers and Procedures Similar to those of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The parties' positions on this third element mirror those taken on the "nature of the question" element. The defendants argue that because the powers and procedures that exist in the BCUC hearing process are similar to those of a court, the tribunal should be considered quasi-judicial. The plaintiffs acknowledge these similarities but seek to minimize the impact of this element on the determination of whether the tribunal is quasi-judicial.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defendants say that the BCUC hearing process is similar to that of a court in that it involves public notice, registration of intervenors, pre-hearing conferences and submissions outlining positions and leads to a very court-like oral hearing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The defendants also point to the fact that certain sections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have been made applicable to the BCUC, giving the BCUC an obligation to hold proceedings in public, and empowering it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hear evidence, decide questions of fact and law, and subpoena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The plaintiffs do not dispute that these attributes are part of the BCUC hearing process but argue that their presence does not necessarily mean that the tribunal exercises a judicial function. The plaintiffs rely on </w:t>
      </w:r>
      <w:r>
        <w:rPr>
          <w:rFonts w:ascii="arial" w:eastAsia="arial" w:hAnsi="arial" w:cs="arial"/>
          <w:i/>
          <w:color w:val="000000"/>
          <w:sz w:val="20"/>
          <w:lang w:val="en-US" w:eastAsia="en-US" w:bidi="ar-SA"/>
        </w:rPr>
        <w:t>Newfoundland Telephone Co. v. Newfoundland (Board of Commissioners of Public Utilities)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623</w:t>
      </w:r>
      <w:r>
        <w:rPr>
          <w:rFonts w:ascii="arial" w:eastAsia="arial" w:hAnsi="arial" w:cs="arial"/>
          <w:color w:val="000000"/>
          <w:sz w:val="20"/>
          <w:lang w:val="en-US" w:eastAsia="en-US" w:bidi="ar-SA"/>
        </w:rPr>
        <w:t>, for the proposition that where a body deals with policy issues, rather than legal questions, its decision-making process should be considered closer to the legislative or administrative end of the spectrum even though it may have powers and processes similar to those of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The plaintiffs further rely on the New Zealand Supreme Court decision in </w:t>
      </w:r>
      <w:r>
        <w:rPr>
          <w:rFonts w:ascii="arial" w:eastAsia="arial" w:hAnsi="arial" w:cs="arial"/>
          <w:i/>
          <w:color w:val="000000"/>
          <w:sz w:val="20"/>
          <w:lang w:val="en-US" w:eastAsia="en-US" w:bidi="ar-SA"/>
        </w:rPr>
        <w:t>Thompson v. Turbott</w:t>
      </w:r>
      <w:r>
        <w:rPr>
          <w:rFonts w:ascii="arial" w:eastAsia="arial" w:hAnsi="arial" w:cs="arial"/>
          <w:color w:val="000000"/>
          <w:sz w:val="20"/>
          <w:lang w:val="en-US" w:eastAsia="en-US" w:bidi="ar-SA"/>
        </w:rPr>
        <w:t xml:space="preserve">, [1962] NZLR 298 at 306, 309 (S.C.), as authority that the fact that a body possesses many of the "trappings of a court" will not establish that it has been invested with a judicial power and is therefore a quasi-judicial body whose proceedings are subject to the protection of absolute privilege. The plaintiffs also cite the decision in </w:t>
      </w:r>
      <w:r>
        <w:rPr>
          <w:rFonts w:ascii="arial" w:eastAsia="arial" w:hAnsi="arial" w:cs="arial"/>
          <w:i/>
          <w:color w:val="000000"/>
          <w:sz w:val="20"/>
          <w:lang w:val="en-US" w:eastAsia="en-US" w:bidi="ar-SA"/>
        </w:rPr>
        <w:t>Shell Co. of Australia Ltd. v. Federal Commissioner of Taxation</w:t>
      </w:r>
      <w:r>
        <w:rPr>
          <w:rFonts w:ascii="arial" w:eastAsia="arial" w:hAnsi="arial" w:cs="arial"/>
          <w:color w:val="000000"/>
          <w:sz w:val="20"/>
          <w:lang w:val="en-US" w:eastAsia="en-US" w:bidi="ar-SA"/>
        </w:rPr>
        <w:t>, [1931] A.C. 275 (P.C.), as authority for the same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 acknowledge that the presence of court-like characteristics is not determinative of the characterization of a tribunal. However, the presence of such characteristics in the case at bar weighs in favour of a determination that the BCUC exercises a quasi-judicial function when acting under s. 71.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Legal Consequences of Decision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With respect to the legal consequences of BCUC decisions, the plaintiffs argue that decisions of the BCUC may be overruled by the Provincial Cabinet pursuant to its powers under s. 3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As an example of how this power is used, the plaintiffs point to </w:t>
      </w:r>
      <w:hyperlink r:id="rId818" w:history="1">
        <w:r>
          <w:rPr>
            <w:rFonts w:ascii="arial" w:eastAsia="arial" w:hAnsi="arial" w:cs="arial"/>
            <w:i/>
            <w:color w:val="0077CC"/>
            <w:sz w:val="20"/>
            <w:u w:val="single"/>
            <w:shd w:val="clear" w:color="auto" w:fill="FFFFFF"/>
            <w:lang w:val="en-US" w:eastAsia="en-US" w:bidi="ar-SA"/>
          </w:rPr>
          <w:t>BC Reg 254/2009</w:t>
        </w:r>
      </w:hyperlink>
      <w:r>
        <w:rPr>
          <w:rFonts w:ascii="arial" w:eastAsia="arial" w:hAnsi="arial" w:cs="arial"/>
          <w:color w:val="000000"/>
          <w:sz w:val="20"/>
          <w:lang w:val="en-US" w:eastAsia="en-US" w:bidi="ar-SA"/>
        </w:rPr>
        <w:t xml:space="preserve"> in which the Cabinet issued a direction to BCUC requiring it to take into consideration different criteria than it had used in a previous decision. This direction had the effect of requiring the BCUC to revisit that previous decision, generating a substantially different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However, it is clear in s. 3 that while the Cabinet may issue such directions to the BCUC, it may not overrule or nullify a BCUC decision. Section 3 states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Subject to subsection (3), the Lieutenant Governor in Council, by regulation, may issue a direction to the commission with respect to the exercise of the powers and the performance of the duties of the commission, including, without limitation, a direction requiring the commission to exercise a power or perform a duty, or to refrain from doing either, as specified in the regulation.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Lieutenant Governor in Council may not under subsection (1) specifically and expressly</w:t>
      </w:r>
    </w:p>
    <w:p>
      <w:pPr>
        <w:numPr>
          <w:numId w:val="6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an order or decision of the commission to be of no force or effect, or</w:t>
      </w:r>
    </w:p>
    <w:p>
      <w:pPr>
        <w:numPr>
          <w:numId w:val="6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commission to rescind an order or a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As a result, I am satisfied that the legislature intended a decision of the BCUC to be of binding legal effect. It is moreover relevant that the Cabinet has used its powers under s. 3 sparingly. Indeed, it appears that at the time this matter was argued, only two such directives had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Bearing in mind Lord Diplock's statement in </w:t>
      </w:r>
      <w:r>
        <w:rPr>
          <w:rFonts w:ascii="arial" w:eastAsia="arial" w:hAnsi="arial" w:cs="arial"/>
          <w:i/>
          <w:color w:val="000000"/>
          <w:sz w:val="20"/>
          <w:lang w:val="en-US" w:eastAsia="en-US" w:bidi="ar-SA"/>
        </w:rPr>
        <w:t>Trapp</w:t>
      </w:r>
      <w:r>
        <w:rPr>
          <w:rFonts w:ascii="arial" w:eastAsia="arial" w:hAnsi="arial" w:cs="arial"/>
          <w:color w:val="000000"/>
          <w:sz w:val="20"/>
          <w:lang w:val="en-US" w:eastAsia="en-US" w:bidi="ar-SA"/>
        </w:rPr>
        <w:t xml:space="preserve"> that a tribunal can attract absolute privilege even if its decision is not binding but "in practice has a major influence on the final decision", the legal effect of BCUC decisions weighs in favour of a finding that its process is quasi-judicial.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Absolute Privilege to the BCUC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In my opinion the hearing process pursuant to s. 71 is quasi-judicial in nature. In addition to possessing court-like powers and procedures, the BCUC is empowered and obligated to deal with questions of law. Its decisions are binding both in practice and as a matter of law. I am satisfied that despite the lack of a </w:t>
      </w:r>
      <w:r>
        <w:rPr>
          <w:rFonts w:ascii="arial" w:eastAsia="arial" w:hAnsi="arial" w:cs="arial"/>
          <w:i/>
          <w:color w:val="000000"/>
          <w:sz w:val="20"/>
          <w:lang w:val="en-US" w:eastAsia="en-US" w:bidi="ar-SA"/>
        </w:rPr>
        <w:t>lis inter partes</w:t>
      </w:r>
      <w:r>
        <w:rPr>
          <w:rFonts w:ascii="arial" w:eastAsia="arial" w:hAnsi="arial" w:cs="arial"/>
          <w:color w:val="000000"/>
          <w:sz w:val="20"/>
          <w:lang w:val="en-US" w:eastAsia="en-US" w:bidi="ar-SA"/>
        </w:rPr>
        <w:t xml:space="preserve"> and the presence of a certain degree of discretion, the s. 71 proceeding is sufficiently court-like to attract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As a result, I conclude that absolute privilege applies to the BCUC hearing in question. I turn now to determine whether the impugned documents fit within the scope of that privilege, broad as it 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Connection of Letters 1 to 9 to the BCUC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In order for absolute privilege to apply as a defence, there must be a sufficient nexus between the case before the BCUC and the impugned words. This requirement is discussed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12-45 to 12-47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absolute privilege or immunity attaches to those communications which take place during, incidental to, and in the processing and furtherance of judicial or quasi-judicial proceedings. No action for libel or slander will lie for words spoken or written during the ordinary course of those proceedings.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I am satisfied that Letters 1 to 9, addressed to the BCUC and arising in the context of the proceedings, were all sufficiently connected to be considered at least "incidental to" the BCUC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Having concluded that absolute privilege would otherwise apply, I must address the plaintiffs' alternative argument that the impugned words should be considered "irrelevant, gratuitous statements about third parties" and therefore fall outside the scope of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This argument requires me to determine whether the scope of absolute privilege is limited in the manner that the plaintiffs suggest.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Irrelevant Gratuitous Statements about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As referred to earlier,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states that absolute privilege is "liberally construed". Indeed, for the policy reasons stated above, absolute privilege applies even to statements that are "totally and knowingly false, spoken with </w:t>
      </w:r>
      <w:r>
        <w:rPr>
          <w:rFonts w:ascii="arial" w:eastAsia="arial" w:hAnsi="arial" w:cs="arial"/>
          <w:i/>
          <w:color w:val="000000"/>
          <w:sz w:val="20"/>
          <w:lang w:val="en-US" w:eastAsia="en-US" w:bidi="ar-SA"/>
        </w:rPr>
        <w:t>mala fide</w:t>
      </w:r>
      <w:r>
        <w:rPr>
          <w:rFonts w:ascii="arial" w:eastAsia="arial" w:hAnsi="arial" w:cs="arial"/>
          <w:color w:val="000000"/>
          <w:sz w:val="20"/>
          <w:lang w:val="en-US" w:eastAsia="en-US" w:bidi="ar-SA"/>
        </w:rPr>
        <w:t xml:space="preserve"> and with actual malice,"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xml:space="preserve">  As the defendants note,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further states that the ambit of absolute privilege covers statements that are "irrelevant to all the issues in the judicial proceeding."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However, there is Canadian appellate authority for the plaintiffs' position that absolute privilege does not protect irrelevant, gratuitous statements about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M.J.M.</w:t>
      </w:r>
      <w:r>
        <w:rPr>
          <w:rFonts w:ascii="arial" w:eastAsia="arial" w:hAnsi="arial" w:cs="arial"/>
          <w:color w:val="000000"/>
          <w:sz w:val="20"/>
          <w:lang w:val="en-US" w:eastAsia="en-US" w:bidi="ar-SA"/>
        </w:rPr>
        <w:t>, the Saskatchewan Court of Appeal considered whether a statement of claim filed by the husband and alleging defamation against his wife should be struck as showing no reasonable cause of action. The statements in issue were made by the defendant against her husband as part of a complaint letter to the Law Society regarding the conduct of her husband's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At para. 9, Jackson J.A. framed the inquiry in this way: "The question of law is whether policy reasons support a claim of absolute privilege with respect to such statements." Justice Jackson then addressed whether the policy considerations behind absolute privilege apply to irrelevant statement about third parties, stating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major difference between statements made against the person about whom the complaint is made and a third party is the latter has no remedy within the complaint process. If a complaint is falsely and maliciously made against someone, it will ultimately be dealt with by the decision maker and found to be so. The person against whom the groundless complaint is made has the means to vindicate himself or herself by being found blameless. For example, with respect to the complaint filed against the husband's lawyer in this case, the Law Society found the complaint to be totally without merit. The process preserved the lawyer's reputation. Similarly, in a law suit, if a plaintiff makes libellous statements against the defendant, he or she can apply to have the statement struck, may be able to pursue remedies in costs and, potentially, commence an action for malicious prosecution. Perjury and contempt also remain as possible avenues to protect the reputation of the defendant. But when one makes a statement falsely and maliciously against one who is not a party to the proceedings, no such remedy exists if absolute privilege protects the 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Although the court's task in </w:t>
      </w:r>
      <w:r>
        <w:rPr>
          <w:rFonts w:ascii="arial" w:eastAsia="arial" w:hAnsi="arial" w:cs="arial"/>
          <w:i/>
          <w:color w:val="000000"/>
          <w:sz w:val="20"/>
          <w:lang w:val="en-US" w:eastAsia="en-US" w:bidi="ar-SA"/>
        </w:rPr>
        <w:t>M.J.M.</w:t>
      </w:r>
      <w:r>
        <w:rPr>
          <w:rFonts w:ascii="arial" w:eastAsia="arial" w:hAnsi="arial" w:cs="arial"/>
          <w:color w:val="000000"/>
          <w:sz w:val="20"/>
          <w:lang w:val="en-US" w:eastAsia="en-US" w:bidi="ar-SA"/>
        </w:rPr>
        <w:t xml:space="preserve"> was limited to determining whether it was "plain and obvious" that the statement of claim disclosed no reasonable cause of action, the issue of irrelevant, gratuitous statements about third parties came squarely before the Saskatchewan Court of Appeal in </w:t>
      </w:r>
      <w:r>
        <w:rPr>
          <w:rFonts w:ascii="arial" w:eastAsia="arial" w:hAnsi="arial" w:cs="arial"/>
          <w:i/>
          <w:color w:val="000000"/>
          <w:sz w:val="20"/>
          <w:lang w:val="en-US" w:eastAsia="en-US" w:bidi="ar-SA"/>
        </w:rPr>
        <w:t>Duke v. Puts</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2004 SKCA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The statements in question in </w:t>
      </w:r>
      <w:r>
        <w:rPr>
          <w:rFonts w:ascii="arial" w:eastAsia="arial" w:hAnsi="arial" w:cs="arial"/>
          <w:i/>
          <w:color w:val="000000"/>
          <w:sz w:val="20"/>
          <w:lang w:val="en-US" w:eastAsia="en-US" w:bidi="ar-SA"/>
        </w:rPr>
        <w:t>Duke</w:t>
      </w:r>
      <w:r>
        <w:rPr>
          <w:rFonts w:ascii="arial" w:eastAsia="arial" w:hAnsi="arial" w:cs="arial"/>
          <w:color w:val="000000"/>
          <w:sz w:val="20"/>
          <w:lang w:val="en-US" w:eastAsia="en-US" w:bidi="ar-SA"/>
        </w:rPr>
        <w:t xml:space="preserve"> formed part of a complaint to the College of Physicians and Surgeons. The court determined that absolute privilege did not cover statements that were not made with reference (construed broadly) to the proceedings or to the complaint against the doctor in question. As a result, the court found several statements that contained gratuitous and irrelevant allegations about a third party were not protected by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In light of the considerations expressed in </w:t>
      </w:r>
      <w:r>
        <w:rPr>
          <w:rFonts w:ascii="arial" w:eastAsia="arial" w:hAnsi="arial" w:cs="arial"/>
          <w:i/>
          <w:color w:val="000000"/>
          <w:sz w:val="20"/>
          <w:lang w:val="en-US" w:eastAsia="en-US" w:bidi="ar-SA"/>
        </w:rPr>
        <w:t>M.J.M.</w:t>
      </w:r>
      <w:r>
        <w:rPr>
          <w:rFonts w:ascii="arial" w:eastAsia="arial" w:hAnsi="arial" w:cs="arial"/>
          <w:color w:val="000000"/>
          <w:sz w:val="20"/>
          <w:lang w:val="en-US" w:eastAsia="en-US" w:bidi="ar-SA"/>
        </w:rPr>
        <w:t xml:space="preserve"> and applied in </w:t>
      </w:r>
      <w:r>
        <w:rPr>
          <w:rFonts w:ascii="arial" w:eastAsia="arial" w:hAnsi="arial" w:cs="arial"/>
          <w:i/>
          <w:color w:val="000000"/>
          <w:sz w:val="20"/>
          <w:lang w:val="en-US" w:eastAsia="en-US" w:bidi="ar-SA"/>
        </w:rPr>
        <w:t>Duke</w:t>
      </w:r>
      <w:r>
        <w:rPr>
          <w:rFonts w:ascii="arial" w:eastAsia="arial" w:hAnsi="arial" w:cs="arial"/>
          <w:color w:val="000000"/>
          <w:sz w:val="20"/>
          <w:lang w:val="en-US" w:eastAsia="en-US" w:bidi="ar-SA"/>
        </w:rPr>
        <w:t>, I am satisfied that absolute privilege does not extend to irrelevant, gratuitous statements about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Turning to the allegations in Letters 1 to 9, the relevance of those statements to the BCUC hearing may be determined by reference to the October 10, 2007 Scoping Order which, as reproduced above,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Therefore, the duty of the Crown to consult and, if necessary, accommodate is not within the scope of this proceeding because it is not relevant to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Commission will continue to hear from the Haisla Nation during this proceeding, provided that such participation is subject to this decision to limit the scope of the oral hearing to cost-effectiveness.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Although Letters 1 and 2, and possibly Letter 3, were published prior to the Scoping Order, in my view, with one exception which I shall discuss below, the defamatory expressions did not deal with the issues before the BCUC, either before or after that order. Letters 1 to 9 allege corruption, fraud, dishonesty and mismanagement by the defendants. These allegations had nothing to do with the regulatory process in which the defamatory expressions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In addition to being irrelevant to the BCUC issues, these statements are about the individual plaintiffs, who were not intervenors. As a result, I find that these expressions are not protected by absolute privilege because they are irrelevant gratuitous statements about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 one exception is found in Letter 2. It relates to the allegation that the Withdrawal Letter was fraudulent. This allegation concerned the legitimacy of documents placed before the BCUC with respect to a request for intervenor status. In my view the BCUC would have a legitimate concern respecting whether or not the Withdrawal Letter was valid and I am satisfied as to its relevance. This allegation therefore falls within the scope of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However, absolute privilege would not apply to any subsequent communications of this allegation. Once the BCUC's attention was drawn to this issue, further publications of the allegation were irrelevant and gratuitous. The latter publications of this allegation cannot be justified as contributing to the quasi-judicial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Haisla Traditional Court Exercising a Judicial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 defendants assert that there exists an entity called the Traditional Sovereign Tribal Court of the Haisla Hemaas based on their custom law. They say furthermore that the 5 Page Document was prepared in the context of proceedings before that tribunal and is therefore protected by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As I have mentioned, the 5 Page Document is purported to have been issued by an entity called the "Traditional Sovereign Tribal Court of the Haisla Hereditary Chiefs". It commences with the words "In the matter of an act of treason" and proceeds to detail a number of allegations against the plaintiffs. The evidence indicates it was dictated by Aidun Naidu, the individual who had purportedly been appointed Chief Tribal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As discussed above, in order to attract absolute privilege, a tribunal must be "recognized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defendants therefore face two preliminary hurdles with respect to their assertion that the 5 Page Document is protected by absolute privilege. They must first establish that the "Traditional Sovereign Tribal Court of the Haisla Hemaas" exists, and second, that it is a tribunal recognized by law to have jurisdiction over the matters referred to in the 5 Page Document.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Proof of the existence of the alleged court requires consideration of the evidence to be presented in light of the requirements set out in </w:t>
      </w:r>
      <w:r>
        <w:rPr>
          <w:rFonts w:ascii="arial" w:eastAsia="arial" w:hAnsi="arial" w:cs="arial"/>
          <w:i/>
          <w:color w:val="000000"/>
          <w:sz w:val="20"/>
          <w:lang w:val="en-US" w:eastAsia="en-US" w:bidi="ar-SA"/>
        </w:rPr>
        <w:t>R. v. Van der Peet</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[1996] 2 S.C.R. 507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Delgamuukw v. British Columbia</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Mitchell v. M.N.R.</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2001 SCC 33</w:t>
        </w:r>
      </w:hyperlink>
      <w:r>
        <w:rPr>
          <w:rFonts w:ascii="arial" w:eastAsia="arial" w:hAnsi="arial" w:cs="arial"/>
          <w:color w:val="000000"/>
          <w:sz w:val="20"/>
          <w:lang w:val="en-US" w:eastAsia="en-US" w:bidi="ar-SA"/>
        </w:rPr>
        <w:t>. In those cases, the court explained that trial courts must employ the rules of evidence in a manner that is sensitive to the inherent difficulties in adjudicating Aboriginal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take from these cases that the flexible and sensitive application of the rules of evidence cannot have the effect of reducing the burden of proof faced by the party seeking to prove a fact in issue. The burden upon that party remains the same as in civil litigation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The evidence in support of the existence of this traditional court was sparse. No documentary record was presented. The evidence was presented by individuals considered to be elders, which I understand to be a term referring to those older members of the band who are considered to have wisdom and who are keepers of its traditional, cultural and historical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Don Stewart, who was born in 1931, testified that he had been told by Chief Dick Williams in the 1940s that the chiefs had sat as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Magnus Duncan, 80 years of age and a hereditary chief, testified that when he was young, he listened when his grandfather Jacob Duncan, also a hereditary chief, told guests the history of the chiefs sitting as a court. He also testified that when he was 14, he and nine other young men had to appear before the chiefs regarding their behavior. Punishment was imposed by the chiefs and the village council carried out that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There was no evidence respecting how this body functioned, the source of its authority, or what custom law it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Jennifer Grant Howard testified that when the alleged court convened in 2007, the chiefs were in regalia and the proceedings were arranged in a roughly court-like fashion. However, no plaintiffs appeared and the proceedings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The limited evidence concerning the past existence of the "Traditional Sovereign Tribal Court of the Haisla Hemaas" has failed to describe its rules, procedures, practice or source of authority. Although I recognize that statutory authority is not required, without any evidence of the above, I am unable to conclude that this is a tribunal recognized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 therefore cannot conclude that absolute privilege in relation to the 5 Page Document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I pause to note that the elders, who are not parties to this action and who were called to give evidence on their knowledge of the alleged court, testified with the </w:t>
      </w:r>
      <w:r>
        <w:rPr>
          <w:rFonts w:ascii="arial" w:eastAsia="arial" w:hAnsi="arial" w:cs="arial"/>
          <w:i/>
          <w:color w:val="000000"/>
          <w:sz w:val="20"/>
          <w:lang w:val="en-US" w:eastAsia="en-US" w:bidi="ar-SA"/>
        </w:rPr>
        <w:t>gravitas</w:t>
      </w:r>
      <w:r>
        <w:rPr>
          <w:rFonts w:ascii="arial" w:eastAsia="arial" w:hAnsi="arial" w:cs="arial"/>
          <w:color w:val="000000"/>
          <w:sz w:val="20"/>
          <w:lang w:val="en-US" w:eastAsia="en-US" w:bidi="ar-SA"/>
        </w:rPr>
        <w:t xml:space="preserve"> of elders and there was a palpable acceptance by those in the courtroom of their wisdom. Don Stewart commented that he was concerned about what had happened to, in his words, "their once beautiful village". As I understood him, that was a reference to the dissension in the village. It is unfortunate that such wisdom, readily available to the defendants, was not listened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xml:space="preserve">  In the alternative, the defendants say that Letters 1 to 9, the 5 Page Document and the November 28 Words are protected by an occasion of qualified privilege. As noted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13-230, referencing </w:t>
      </w:r>
      <w:r>
        <w:rPr>
          <w:rFonts w:ascii="arial" w:eastAsia="arial" w:hAnsi="arial" w:cs="arial"/>
          <w:i/>
          <w:color w:val="000000"/>
          <w:sz w:val="20"/>
          <w:lang w:val="en-US" w:eastAsia="en-US" w:bidi="ar-SA"/>
        </w:rPr>
        <w:t>O'Connor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privileges are oftentimes recognized in instances where the assertion of an absolute privilege fails, particularly in the context of some administrative hearing or investigation where the proceeding does not satisfy the test of a judicial or quasi-judicial hearing.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However, such freedom to speak is not without limits. If the communication exceeds the privileged occasion, the qualified privilege will be lost.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at 320-321 (H.L.), Loreburn 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that an occasion is privileged does not necessarily protect all that is said or written on that occasion. Anything that is not relevant and pertinent to the discharge of the duty or the exercise of the right or the safeguarding of the interest which creates the privilege will not be protected.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The law of qualified privilege was recently reviewed in </w:t>
      </w:r>
      <w:r>
        <w:rPr>
          <w:rFonts w:ascii="arial" w:eastAsia="arial" w:hAnsi="arial" w:cs="arial"/>
          <w:i/>
          <w:color w:val="000000"/>
          <w:sz w:val="20"/>
          <w:lang w:val="en-US" w:eastAsia="en-US" w:bidi="ar-SA"/>
        </w:rPr>
        <w:t>Martin v. Lavigne</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2011 BCCA 104</w:t>
        </w:r>
      </w:hyperlink>
      <w:r>
        <w:rPr>
          <w:rFonts w:ascii="arial" w:eastAsia="arial" w:hAnsi="arial" w:cs="arial"/>
          <w:color w:val="000000"/>
          <w:sz w:val="20"/>
          <w:lang w:val="en-US" w:eastAsia="en-US" w:bidi="ar-SA"/>
        </w:rPr>
        <w:t xml:space="preserve">, a cased decided after the conclusion of submissions. Without altering the law of qualified privilege,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provides a helpful summary of this area at paras. 33-36: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defence of qualified privilege arises at common law when the defamatory words are published in a manner and at a time that is "reasonably appropriate in the context of the circumstances existing on the occasion when that information was given":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147.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the Supreme Court of Canada summarized the common law defence of qualified privilege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w:t>
      </w:r>
      <w:r>
        <w:rPr>
          <w:rFonts w:ascii="arial" w:eastAsia="arial" w:hAnsi="arial" w:cs="arial"/>
          <w:color w:val="000000"/>
          <w:sz w:val="20"/>
          <w:u w:val="single"/>
          <w:lang w:val="en-US" w:eastAsia="en-US" w:bidi="ar-SA"/>
        </w:rPr>
        <w:t>Qualified privilege attaches to the occasion upon which the communication is made, and not to the communication itself</w:t>
      </w:r>
      <w:r>
        <w:rPr>
          <w:rFonts w:ascii="arial" w:eastAsia="arial" w:hAnsi="arial" w:cs="arial"/>
          <w:color w:val="000000"/>
          <w:sz w:val="20"/>
          <w:lang w:val="en-US" w:eastAsia="en-US" w:bidi="ar-SA"/>
        </w:rPr>
        <w:t xml:space="preserve">. As Lord Atkinson explained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xml:space="preserve"> [1917] A.C. 309 (H.L.), at p. 334: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 privileged occasion is ...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was quoted with approval in </w:t>
      </w:r>
      <w:r>
        <w:rPr>
          <w:rFonts w:ascii="arial" w:eastAsia="arial" w:hAnsi="arial" w:cs="arial"/>
          <w:i/>
          <w:color w:val="000000"/>
          <w:sz w:val="20"/>
          <w:lang w:val="en-US" w:eastAsia="en-US" w:bidi="ar-SA"/>
        </w:rPr>
        <w:t>McLoughlin v. Kutasy,</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[1979] 2 S.C.R. 311</w:t>
        </w:r>
      </w:hyperlink>
      <w:r>
        <w:rPr>
          <w:rFonts w:ascii="arial" w:eastAsia="arial" w:hAnsi="arial" w:cs="arial"/>
          <w:color w:val="000000"/>
          <w:sz w:val="20"/>
          <w:lang w:val="en-US" w:eastAsia="en-US" w:bidi="ar-SA"/>
        </w:rPr>
        <w:t>, at p. 321.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w:t>
      </w:r>
      <w:r>
        <w:rPr>
          <w:rFonts w:ascii="arial" w:eastAsia="arial" w:hAnsi="arial" w:cs="arial"/>
          <w:color w:val="000000"/>
          <w:sz w:val="20"/>
          <w:u w:val="single"/>
          <w:lang w:val="en-US" w:eastAsia="en-US" w:bidi="ar-SA"/>
        </w:rPr>
        <w:t xml:space="preserve">The legal effect of the defence of qualified privilege is to rebut the inference, which normally arises from the publication of defamatory words, that they were spoken with malice. Where the occasion is shown to be privileged, the </w:t>
      </w:r>
      <w:r>
        <w:rPr>
          <w:rFonts w:ascii="arial" w:eastAsia="arial" w:hAnsi="arial" w:cs="arial"/>
          <w:i/>
          <w:color w:val="000000"/>
          <w:sz w:val="20"/>
          <w:u w:val="single"/>
          <w:lang w:val="en-US" w:eastAsia="en-US" w:bidi="ar-SA"/>
        </w:rPr>
        <w:t>bona fides</w:t>
      </w:r>
      <w:r>
        <w:rPr>
          <w:rFonts w:ascii="arial" w:eastAsia="arial" w:hAnsi="arial" w:cs="arial"/>
          <w:color w:val="000000"/>
          <w:sz w:val="20"/>
          <w:u w:val="single"/>
          <w:lang w:val="en-US" w:eastAsia="en-US" w:bidi="ar-SA"/>
        </w:rPr>
        <w:t xml:space="preserve"> of the defendant is presumed and the defendant is free to publish, with impunity, remarks which may be defamatory and untrue about the plaintiff</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Court went on to identify those circumstances in which the defence of qualified privilege may be defeated: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 </w:t>
      </w:r>
      <w:r>
        <w:rPr>
          <w:rFonts w:ascii="arial" w:eastAsia="arial" w:hAnsi="arial" w:cs="arial"/>
          <w:color w:val="000000"/>
          <w:sz w:val="20"/>
          <w:u w:val="single"/>
          <w:lang w:val="en-US" w:eastAsia="en-US" w:bidi="ar-SA"/>
        </w:rPr>
        <w:t>However, the privilege is not absolute and can be defeated if the dominant motive for publishing the statement is actual or express malice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xml:space="preserve"> [1975] A.C. 135 (H.L.) at p. 149.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 supra,</w:t>
      </w:r>
      <w:r>
        <w:rPr>
          <w:rFonts w:ascii="arial" w:eastAsia="arial" w:hAnsi="arial" w:cs="arial"/>
          <w:color w:val="000000"/>
          <w:sz w:val="20"/>
          <w:lang w:val="en-US" w:eastAsia="en-US" w:bidi="ar-SA"/>
        </w:rPr>
        <w:t xml:space="preserve">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McLoughlin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w:t>
      </w:r>
      <w:r>
        <w:rPr>
          <w:rFonts w:ascii="arial" w:eastAsia="arial" w:hAnsi="arial" w:cs="arial"/>
          <w:color w:val="000000"/>
          <w:sz w:val="20"/>
          <w:u w:val="single"/>
          <w:lang w:val="en-US" w:eastAsia="en-US" w:bidi="ar-SA"/>
        </w:rPr>
        <w:t>Qualified privilege may also be defeated when the limits of the duty or interest have been exceeded</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The Law of Defamation in Canada, supra,</w:t>
      </w:r>
      <w:r>
        <w:rPr>
          <w:rFonts w:ascii="arial" w:eastAsia="arial" w:hAnsi="arial" w:cs="arial"/>
          <w:color w:val="000000"/>
          <w:sz w:val="20"/>
          <w:lang w:val="en-US" w:eastAsia="en-US" w:bidi="ar-SA"/>
        </w:rPr>
        <w:t xml:space="preserve"> at pp. 13-193 and 13-194; </w:t>
      </w:r>
      <w:r>
        <w:rPr>
          <w:rFonts w:ascii="arial" w:eastAsia="arial" w:hAnsi="arial" w:cs="arial"/>
          <w:i/>
          <w:color w:val="000000"/>
          <w:sz w:val="20"/>
          <w:lang w:val="en-US" w:eastAsia="en-US" w:bidi="ar-SA"/>
        </w:rPr>
        <w:t>Salmond and Heuston on the Law of Torts</w:t>
      </w:r>
      <w:r>
        <w:rPr>
          <w:rFonts w:ascii="arial" w:eastAsia="arial" w:hAnsi="arial" w:cs="arial"/>
          <w:color w:val="000000"/>
          <w:sz w:val="20"/>
          <w:lang w:val="en-US" w:eastAsia="en-US" w:bidi="ar-SA"/>
        </w:rPr>
        <w:t xml:space="preserve"> (20th ed. 1992), at pp. 166-67. As Loreburn E. stated at p. 320-21 in </w:t>
      </w:r>
      <w:r>
        <w:rPr>
          <w:rFonts w:ascii="arial" w:eastAsia="arial" w:hAnsi="arial" w:cs="arial"/>
          <w:i/>
          <w:color w:val="000000"/>
          <w:sz w:val="20"/>
          <w:lang w:val="en-US" w:eastAsia="en-US" w:bidi="ar-SA"/>
        </w:rPr>
        <w:t>Adam v. Ward, supra</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the fact that an occasion is privileged does not necessarily protect all that is said or written on that occasion. Anything that is not relevant and pertinent to the discharge of the duty or the exercise of the right or the safeguarding of the interest which creates the privilege will not be protected.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In sum, the privilege attaches to the occasion and not to the defamatory words; absent an occasion of qualified privilege, the law will presume the defamatory words were communicated out of actual or express malice. However, where the occasion attracts a qualified privilege, the law will presume the defamatory words were made honestly and in good faith unless actual or express malice is 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[36]The requirement of reciprocity of duty or interest between the publisher and the recipient of the defamatory remarks is at the heart of the defence. Identifying the duty or interest of both involves a contextual analysis. Relevant factors to be considered include "the nature of the statement, the circumstances under which it was made, and by whom and to whom it was made": </w:t>
      </w:r>
      <w:r>
        <w:rPr>
          <w:rFonts w:ascii="arial" w:eastAsia="arial" w:hAnsi="arial" w:cs="arial"/>
          <w:i/>
          <w:color w:val="000000"/>
          <w:sz w:val="20"/>
          <w:lang w:val="en-US" w:eastAsia="en-US" w:bidi="ar-SA"/>
        </w:rPr>
        <w:t>RTC Engineering Consultants Ltd. v. Ontario</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(2002), 58 O.R. (3d) 726</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2002 CanLII 14179</w:t>
        </w:r>
      </w:hyperlink>
      <w:r>
        <w:rPr>
          <w:rFonts w:ascii="arial" w:eastAsia="arial" w:hAnsi="arial" w:cs="arial"/>
          <w:color w:val="000000"/>
          <w:sz w:val="20"/>
          <w:lang w:val="en-US" w:eastAsia="en-US" w:bidi="ar-SA"/>
        </w:rPr>
        <w:t xml:space="preserve"> (Ont. C.A.) at para. 16; and see </w:t>
      </w:r>
      <w:r>
        <w:rPr>
          <w:rFonts w:ascii="arial" w:eastAsia="arial" w:hAnsi="arial" w:cs="arial"/>
          <w:i/>
          <w:color w:val="000000"/>
          <w:sz w:val="20"/>
          <w:lang w:val="en-US" w:eastAsia="en-US" w:bidi="ar-SA"/>
        </w:rPr>
        <w:t>Sapiro v. Leader Publishing Co.,</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[1926] 3 D.L.R. 68</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[1926] 2 W.W.R. 268</w:t>
        </w:r>
      </w:hyperlink>
      <w:r>
        <w:rPr>
          <w:rFonts w:ascii="arial" w:eastAsia="arial" w:hAnsi="arial" w:cs="arial"/>
          <w:color w:val="000000"/>
          <w:sz w:val="20"/>
          <w:lang w:val="en-US" w:eastAsia="en-US" w:bidi="ar-SA"/>
        </w:rPr>
        <w:t xml:space="preserve"> (Sask. C.A.) at paras. 13-14. Where the circumstances in which the defamatory words were made give rise to a special relationship between the publisher and the recipients of the communication, the defence of qualified privilege will be available as it is an occasion which the interests of society justify protection so as to facilitate an open and frank exchange of communication.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With respect to the BCUC letters, the defendants Sandra Robinson and Wendy Bolton submit (which submissions were adopted by Morris Amos on his behalf and on behalf of the other defendants) that there was a reciprocal interest among the hereditary chiefs, Haisla people and the BCUC in decisions involving Haisla lands. They state this was particularly the case where the KVC was taking a neutral or supportive position on a project that would involve Haisla land. They state that the reciprocal interest extended to those who were involved in the decision making process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xml:space="preserve">  They rely on </w:t>
      </w:r>
      <w:r>
        <w:rPr>
          <w:rFonts w:ascii="arial" w:eastAsia="arial" w:hAnsi="arial" w:cs="arial"/>
          <w:i/>
          <w:color w:val="000000"/>
          <w:sz w:val="20"/>
          <w:lang w:val="en-US" w:eastAsia="en-US" w:bidi="ar-SA"/>
        </w:rPr>
        <w:t>RTC Engineering Consultants v. Ontario (Solicitor General)</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(2002), 58 O.R. (3d) 726</w:t>
        </w:r>
      </w:hyperlink>
      <w:r>
        <w:rPr>
          <w:rFonts w:ascii="arial" w:eastAsia="arial" w:hAnsi="arial" w:cs="arial"/>
          <w:color w:val="000000"/>
          <w:sz w:val="20"/>
          <w:lang w:val="en-US" w:eastAsia="en-US" w:bidi="ar-SA"/>
        </w:rPr>
        <w:t xml:space="preserve"> (C.A.), where the court stated at para. 16 that interest "should not be viewed technically or narrowly." The court added, "The interest sought to be served may be personal, social, business, financial or 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With respect to the alleged Haisla Court, the defendants state that the 5 Page Document is protected by qualified privilege. They emphasize that apart from the plaintiffs themselves and their counsel, the document only went to a small list of people, all of whom would have a strong interest in being made aware that the Haisla hereditary chiefs were asserting judicial power and raising issues regarding the KVC.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The defendants argue that the language used was not disproportionate. They refer to </w:t>
      </w:r>
      <w:r>
        <w:rPr>
          <w:rFonts w:ascii="arial" w:eastAsia="arial" w:hAnsi="arial" w:cs="arial"/>
          <w:i/>
          <w:color w:val="000000"/>
          <w:sz w:val="20"/>
          <w:lang w:val="en-US" w:eastAsia="en-US" w:bidi="ar-SA"/>
        </w:rPr>
        <w:t>Ward v. Clark</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2001 BCCA 724</w:t>
        </w:r>
      </w:hyperlink>
      <w:r>
        <w:rPr>
          <w:rFonts w:ascii="arial" w:eastAsia="arial" w:hAnsi="arial" w:cs="arial"/>
          <w:color w:val="000000"/>
          <w:sz w:val="20"/>
          <w:lang w:val="en-US" w:eastAsia="en-US" w:bidi="ar-SA"/>
        </w:rPr>
        <w:t>, where Esson J.A. noted at paras. 60-61 that malice will not defeat qualified privilege unless it is found to be the dominant motive: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point which was, with all respect, lost sight of in the decision under appeal is that expressed in the last sentence of that passage. The privilege is not absolute but can be defeated only by a finding that the dominant motive for publication is actual or express malice.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Once the jury, or the judge as jury, reaches the conclusion that there was no malice, that should be the end of the inquiry with respect to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The defendants refer as well to </w:t>
      </w:r>
      <w:r>
        <w:rPr>
          <w:rFonts w:ascii="arial" w:eastAsia="arial" w:hAnsi="arial" w:cs="arial"/>
          <w:i/>
          <w:color w:val="000000"/>
          <w:sz w:val="20"/>
          <w:lang w:val="en-US" w:eastAsia="en-US" w:bidi="ar-SA"/>
        </w:rPr>
        <w:t>Lee v. Ng</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2007 BCSC 1947</w:t>
        </w:r>
      </w:hyperlink>
      <w:r>
        <w:rPr>
          <w:rFonts w:ascii="arial" w:eastAsia="arial" w:hAnsi="arial" w:cs="arial"/>
          <w:color w:val="000000"/>
          <w:sz w:val="20"/>
          <w:lang w:val="en-US" w:eastAsia="en-US" w:bidi="ar-SA"/>
        </w:rPr>
        <w:t>, where Gill J. held that complaints regarding a real estate agent that included the words "misrepresentation and fraudulent behaviours" did not exceed the scope of qualified privilege in so far as they were communicated to the real estate council and the plaintiff's manager. Justice Gill found that these words referred to the defendant's "views regarding the refusal to honour the agreement" and that the plaintiffs had not proven malice. However, the qualified privilege did not extend to cover emails sent to other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The defendants further refer to other cases where, although very strong language was used, qualified privilege still applied. In one such case, </w:t>
      </w:r>
      <w:r>
        <w:rPr>
          <w:rFonts w:ascii="arial" w:eastAsia="arial" w:hAnsi="arial" w:cs="arial"/>
          <w:i/>
          <w:color w:val="000000"/>
          <w:sz w:val="20"/>
          <w:lang w:val="en-US" w:eastAsia="en-US" w:bidi="ar-SA"/>
        </w:rPr>
        <w:t>DDI Diamonds Direct Inc. v. Raney and Dhanji</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2006 BCSC 952</w:t>
        </w:r>
      </w:hyperlink>
      <w:r>
        <w:rPr>
          <w:rFonts w:ascii="arial" w:eastAsia="arial" w:hAnsi="arial" w:cs="arial"/>
          <w:color w:val="000000"/>
          <w:sz w:val="20"/>
          <w:lang w:val="en-US" w:eastAsia="en-US" w:bidi="ar-SA"/>
        </w:rPr>
        <w:t>, the court found that qualified privilege applied to allegations of "extortion" and "emotional torture" in relation to a dispute over an engagement ring. The court stated as follows at paras. 43-44: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Rather than referring to the tone or choice of language, "germane and reasonably appropriate" refers to the scope of the comments and their relation to matters in controversy. What is relevant is not the choice of language but its connection to the matters in controversy. The question, then, is not whether the letter contained intemperate language - from my reading, it surely did - but whether that language was directed to the subject matter that gave rise to the privilege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Having reviewed both the passages complained of by the plaintiffs and the letter and summary as a whole, I find that the comments made, whether they were true or not, were germane and reasonably appropriate. The letter focuses almost entirely on the dispute about the ring and the defendants' dealings with Mr. Ferguson and Ms. Helman. While the use of words such as "extortion" and "emotional torture" may seem rhetorically excessive, when read in context it is clear that, in using these words, the defendants were speaking of their subjective experience of dealing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As is clear from </w:t>
      </w:r>
      <w:r>
        <w:rPr>
          <w:rFonts w:ascii="arial" w:eastAsia="arial" w:hAnsi="arial" w:cs="arial"/>
          <w:b/>
          <w:i/>
          <w:color w:val="000000"/>
          <w:sz w:val="20"/>
          <w:lang w:val="en-US" w:eastAsia="en-US" w:bidi="ar-SA"/>
        </w:rPr>
        <w:t>Ibrajev</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[2000] O.J. No. 4049</w:t>
        </w:r>
      </w:hyperlink>
      <w:r>
        <w:rPr>
          <w:rFonts w:ascii="arial" w:eastAsia="arial" w:hAnsi="arial" w:cs="arial"/>
          <w:color w:val="000000"/>
          <w:sz w:val="20"/>
          <w:lang w:val="en-US" w:eastAsia="en-US" w:bidi="ar-SA"/>
        </w:rPr>
        <w:t xml:space="preserve">, however, a defendant is entitled to use very strong language before he or she can be found to be "utterly beyond and disproportionate to the facts". For example, in </w:t>
      </w:r>
      <w:r>
        <w:rPr>
          <w:rFonts w:ascii="arial" w:eastAsia="arial" w:hAnsi="arial" w:cs="arial"/>
          <w:b/>
          <w:i/>
          <w:color w:val="000000"/>
          <w:sz w:val="20"/>
          <w:lang w:val="en-US" w:eastAsia="en-US" w:bidi="ar-SA"/>
        </w:rPr>
        <w:t>O'Malley v. O'Callaghan</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(1992), 89 D.L.R. (4th) 577</w:t>
        </w:r>
      </w:hyperlink>
      <w:r>
        <w:rPr>
          <w:rFonts w:ascii="arial" w:eastAsia="arial" w:hAnsi="arial" w:cs="arial"/>
          <w:color w:val="000000"/>
          <w:sz w:val="20"/>
          <w:lang w:val="en-US" w:eastAsia="en-US" w:bidi="ar-SA"/>
        </w:rPr>
        <w:t xml:space="preserve">, a newspaper publisher was entitled to describe an anti-abortion activist who had criticized the paper as being excessively pro-choice as a "full-time professional religious fanatic" who was "waging a scorched-earth war against the forces of evil non-Christianity" and as someone who "needs help" and was incompetent to lead an anti-abortion organization. In </w:t>
      </w:r>
      <w:r>
        <w:rPr>
          <w:rFonts w:ascii="arial" w:eastAsia="arial" w:hAnsi="arial" w:cs="arial"/>
          <w:b/>
          <w:i/>
          <w:color w:val="000000"/>
          <w:sz w:val="20"/>
          <w:lang w:val="en-US" w:eastAsia="en-US" w:bidi="ar-SA"/>
        </w:rPr>
        <w:t>Arnott v. College of Physicians &amp; Surgeons (Saskatchewan),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[1954] S.C.R. 538</w:t>
        </w:r>
      </w:hyperlink>
      <w:r>
        <w:rPr>
          <w:rFonts w:ascii="arial" w:eastAsia="arial" w:hAnsi="arial" w:cs="arial"/>
          <w:color w:val="000000"/>
          <w:sz w:val="20"/>
          <w:lang w:val="en-US" w:eastAsia="en-US" w:bidi="ar-SA"/>
        </w:rPr>
        <w:t>, the defendant was entitled to describe a medical procedure performed by the plaintiff as "quackery".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The defendants also submit that the fact that a public body uses the Internet does not, as they put it, "vitiate any privilege" and that the availability of materials on the Internet furthers the goal of public and open proceedings. As mentioned above, they submit that the plaintiffs have failed to prove readership of the BCUC website. They further submit that anyone expected to read the material made available on the BCUC website would be, by definition, a person having an interest in the BCUC proceedings.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 plaintiffs submit that although communications from an intervenor may constitute a privileged occasion, the BCUC letters fall outside the scope of qualified privilege. Likewise, the plaintiffs argue that the 5 Page Document and November 28 Words exceeded the scope of any privilege that may have existed on those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The plaintiffs base their position on the fact that the protection of qualified privilege is lost if the dominant motive for publishing the defamatory expression was actual or express malice, or if the limits of the duty or interest have been exceeded.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They rely on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144-147 for the principles regarding the loss and limits of the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 legal effect of the defence of qualified privilege is to rebut the inference, which normally arises from the publication of defamatory words, that they were spoken with malice. Where the occasion is shown to be privileged,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the defendant is presumed and the defendant is free to publish, with impunity, remarks which may be defamatory and untrue about the plaintiff. However, the privilege is not absolute and can be defeated if the dominant motive for publishing the statement is actual or express malice. See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[1975] A.C. 135 (H.L.), at p. 149.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w:t>
      </w:r>
      <w:r>
        <w:rPr>
          <w:rFonts w:ascii="arial" w:eastAsia="arial" w:hAnsi="arial" w:cs="arial"/>
          <w:color w:val="000000"/>
          <w:sz w:val="20"/>
          <w:lang w:val="en-US" w:eastAsia="en-US" w:bidi="ar-SA"/>
        </w:rPr>
        <w:t xml:space="preserve">, supra,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McLoughlin, supra</w:t>
      </w:r>
      <w:r>
        <w:rPr>
          <w:rFonts w:ascii="arial" w:eastAsia="arial" w:hAnsi="arial" w:cs="arial"/>
          <w:color w:val="000000"/>
          <w:sz w:val="20"/>
          <w:lang w:val="en-US" w:eastAsia="en-US" w:bidi="ar-SA"/>
        </w:rPr>
        <w:t xml:space="preserve">,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Qualified privilege may also be defeated when the limits of the duty or interest have been exceeded. See </w:t>
      </w:r>
      <w:r>
        <w:rPr>
          <w:rFonts w:ascii="arial" w:eastAsia="arial" w:hAnsi="arial" w:cs="arial"/>
          <w:i/>
          <w:color w:val="000000"/>
          <w:sz w:val="20"/>
          <w:lang w:val="en-US" w:eastAsia="en-US" w:bidi="ar-SA"/>
        </w:rPr>
        <w:t>The Law of Defamation in Canada, supra,</w:t>
      </w:r>
      <w:r>
        <w:rPr>
          <w:rFonts w:ascii="arial" w:eastAsia="arial" w:hAnsi="arial" w:cs="arial"/>
          <w:color w:val="000000"/>
          <w:sz w:val="20"/>
          <w:lang w:val="en-US" w:eastAsia="en-US" w:bidi="ar-SA"/>
        </w:rPr>
        <w:t xml:space="preserve"> at pp. 13-193 and 13-194; </w:t>
      </w:r>
      <w:r>
        <w:rPr>
          <w:rFonts w:ascii="arial" w:eastAsia="arial" w:hAnsi="arial" w:cs="arial"/>
          <w:i/>
          <w:color w:val="000000"/>
          <w:sz w:val="20"/>
          <w:lang w:val="en-US" w:eastAsia="en-US" w:bidi="ar-SA"/>
        </w:rPr>
        <w:t>Salmond and Heuston on the La of Torts</w:t>
      </w:r>
      <w:r>
        <w:rPr>
          <w:rFonts w:ascii="arial" w:eastAsia="arial" w:hAnsi="arial" w:cs="arial"/>
          <w:color w:val="000000"/>
          <w:sz w:val="20"/>
          <w:lang w:val="en-US" w:eastAsia="en-US" w:bidi="ar-SA"/>
        </w:rPr>
        <w:t xml:space="preserve"> (20th ed. 1992), at pp. 166-67. As Loreburn E. stated at pp. 320-21 in </w:t>
      </w:r>
      <w:r>
        <w:rPr>
          <w:rFonts w:ascii="arial" w:eastAsia="arial" w:hAnsi="arial" w:cs="arial"/>
          <w:i/>
          <w:color w:val="000000"/>
          <w:sz w:val="20"/>
          <w:lang w:val="en-US" w:eastAsia="en-US" w:bidi="ar-SA"/>
        </w:rPr>
        <w:t>Adam v. Ward, supra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fact that an occasion is privileged does not necessarily protect all that is said or written on that occasion. Anything that is not relevant and pertinent to the discharge of the duty or the exercise of the right or the safeguarding of the interest which creates the privilege will not be protected.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147 In other words, the information communicated must be reasonably appropriate in the context of the circumstances existing on the occasion when that information was given. For example, in </w:t>
      </w:r>
      <w:r>
        <w:rPr>
          <w:rFonts w:ascii="arial" w:eastAsia="arial" w:hAnsi="arial" w:cs="arial"/>
          <w:i/>
          <w:color w:val="000000"/>
          <w:sz w:val="20"/>
          <w:lang w:val="en-US" w:eastAsia="en-US" w:bidi="ar-SA"/>
        </w:rPr>
        <w:t>Douglas v. Tucker</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[1952] 1 S.C.R. 275</w:t>
        </w:r>
      </w:hyperlink>
      <w:r>
        <w:rPr>
          <w:rFonts w:ascii="arial" w:eastAsia="arial" w:hAnsi="arial" w:cs="arial"/>
          <w:color w:val="000000"/>
          <w:sz w:val="20"/>
          <w:lang w:val="en-US" w:eastAsia="en-US" w:bidi="ar-SA"/>
        </w:rPr>
        <w:t>, the defendant, during an election campaign, stated that the plaintiff, who was the officer of an investment company, had charged a farmer and his wife an exorbitant rate of interest causing them to lose their property. The plaintiff maintained that the allegation was without foundation. In response, the defendant asserted that the plaintiff was facing a charge of fraud which had been adjourned until after the election. This Court held that the defendant had an interest in responding to the plaintiff's denial, thereby giving rise to an occasion of qualified privilege. However, it ruled that the occasion was exceeded because the defendant's comments went beyond what was "germane and reasonably appropriate" (p.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plaintiffs therefore argue that the publications in question were not reasonably appropriate to the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Publications to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In my view, the occasion of intervenors or proposed intervenors making submissions to the BCUC is privileged. The BCUC established the procedural conference to hear submissions on the regulatory process for the review of the Alcan Electricity Purchase Agreement. This conference was for the benefit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 defamatory publications were, on their face, published to the BCUC in furtherance of this objective. That is, the interests of the Haisla in the proceedings and how they would be affected by the agreement, particularly in-so-far as the use of their lands might be concerned. Accordingly, the circumstances in which the defamatory words were published to the BCUC give rise to a special relationship between the publishers and recipients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 burden is therefore on the plaintiffs to show that the defendants acted with malice or that the statements were not "reasonably appropriate" in the context of the relationship that existed between the defendants and BCUC on the occasions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I have concluded that, with the exception previously discussed under absolute privilege, Letters 1 to 9 exceeded the qualified privilege by not being reasonably appropriate to the occasion. As I have noted, the nature of the interest in question was limited to the regulatory process for the review of the filing. This interest was not served by the alleged defamatory expressions, which largely concern allegations of corruption, fraud, dishonesty and mismanagement on the part of the defendants. Further, they were lengthy, argumentative, bombastic and inflammatory, none of which served the legitimate reciprocal interests of the defendants and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As a result, I am satisfied that the allegations contained in Letters 1 to 9 are not protected by qualified privilege.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The 5 Page Document and the November 28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Above, I found that the existence of the alleged Sovereign Tribal Court of the Haisla Hemaas as a tribunal recognized by law had not been proven. Nevertheless, qualified privilege may still apply to publications made by the defendants as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Citizens have an interest in ensuring the accountability of those in government, and courts have applied qualified privilege to political communications concerning a person's conduct in public office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13-110 to 13-112, 13-382 and 13-383).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However, as noted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13-464: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privilege may be lost by excessive publication. Protection of a qualified privilege extends only to those persons who have some special interest in receiving the particular information. If the defamatory information is sent to persons who have no reciprocal interest in it, the privilege may be lost.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13-467: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communication] will be protected, however, only if it is reasonable under the circumstances and published no more widely than is required. ... Unnecessary and uncalled for publicity may destroy the privilege and leave the publisher open to an action for defamation.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In my view, the 5 Page Document and November 28 Words did not constitute communication reasonably appropriate to the occasion. Given the incendiary nature of the "charges", the evidence that the plaintiffs were intimidated by the 5 Page Document, and the recipient list of the 5 Page Document, I am satisfied that any occasion of qualified privileged for the purpose of political communication was exceeded in the publication of the 5 Page Document and the subsequent recital of its contents in the November 28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In the event that I am wrong, and any of the statements were reasonably appropriate in the context of the privileged occasion in question, I will consider below, following the discussion of justification and fair comment, whether the plaintiffs have established that the defendants were actuated by express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Justification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legal presumption is that a defamatory expression is false. A defendant who pleads justification must prove its truth on the balance of probabilities. A defendant's honest belief in the truth of a statement is not sufficient (</w:t>
      </w:r>
      <w:r>
        <w:rPr>
          <w:rFonts w:ascii="arial" w:eastAsia="arial" w:hAnsi="arial" w:cs="arial"/>
          <w:i/>
          <w:color w:val="000000"/>
          <w:sz w:val="20"/>
          <w:lang w:val="en-US" w:eastAsia="en-US" w:bidi="ar-SA"/>
        </w:rPr>
        <w:t>Caldwell v. McBride</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(1988), 45 C.C.L.T. 150</w:t>
        </w:r>
      </w:hyperlink>
      <w:r>
        <w:rPr>
          <w:rFonts w:ascii="arial" w:eastAsia="arial" w:hAnsi="arial" w:cs="arial"/>
          <w:color w:val="000000"/>
          <w:sz w:val="20"/>
          <w:lang w:val="en-US" w:eastAsia="en-US" w:bidi="ar-SA"/>
        </w:rPr>
        <w:t xml:space="preserve"> at 156 (B.C.S.C.), citing Gatley on </w:t>
      </w:r>
      <w:r>
        <w:rPr>
          <w:rFonts w:ascii="arial" w:eastAsia="arial" w:hAnsi="arial" w:cs="arial"/>
          <w:i/>
          <w:color w:val="000000"/>
          <w:sz w:val="20"/>
          <w:lang w:val="en-US" w:eastAsia="en-US" w:bidi="ar-SA"/>
        </w:rPr>
        <w:t>Libel and Slander</w:t>
      </w:r>
      <w:r>
        <w:rPr>
          <w:rFonts w:ascii="arial" w:eastAsia="arial" w:hAnsi="arial" w:cs="arial"/>
          <w:color w:val="000000"/>
          <w:sz w:val="20"/>
          <w:lang w:val="en-US" w:eastAsia="en-US" w:bidi="ar-SA"/>
        </w:rPr>
        <w:t xml:space="preserve"> (1981) (Eighth Edition) at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The defendants must only prove on a balance of probabilities that the gist or sting of the defamation was true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2007 BCSC 1757</w:t>
        </w:r>
      </w:hyperlink>
      <w:r>
        <w:rPr>
          <w:rFonts w:ascii="arial" w:eastAsia="arial" w:hAnsi="arial" w:cs="arial"/>
          <w:color w:val="000000"/>
          <w:sz w:val="20"/>
          <w:lang w:val="en-US" w:eastAsia="en-US" w:bidi="ar-SA"/>
        </w:rPr>
        <w:t xml:space="preserve"> at para. 37, aff'd </w:t>
      </w:r>
      <w:hyperlink r:id="rId836"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In other words, it is sufficient for the defendants to establish that a defamatory expression was substantially true; minor inaccuracies do not preclude a defence of justification so long as the publication conveyed an accurate impression. The test is whether the defamatory expression, as published, would have a different effect on a reader or listener than what the pleaded truth would have produced (</w:t>
      </w:r>
      <w:r>
        <w:rPr>
          <w:rFonts w:ascii="arial" w:eastAsia="arial" w:hAnsi="arial" w:cs="arial"/>
          <w:i/>
          <w:color w:val="000000"/>
          <w:sz w:val="20"/>
          <w:lang w:val="en-US" w:eastAsia="en-US" w:bidi="ar-SA"/>
        </w:rPr>
        <w:t>Jay v. Hollinger Canadian Newspapers</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2002 BCSC 1840</w:t>
        </w:r>
      </w:hyperlink>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Miller v. Canadian Broadcasting Corp.</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2003 BCSC 258</w:t>
        </w:r>
      </w:hyperlink>
      <w:r>
        <w:rPr>
          <w:rFonts w:ascii="arial" w:eastAsia="arial" w:hAnsi="arial" w:cs="arial"/>
          <w:color w:val="000000"/>
          <w:sz w:val="20"/>
          <w:lang w:val="en-US" w:eastAsia="en-US" w:bidi="ar-SA"/>
        </w:rPr>
        <w:t>, the plaintiff brought an action for defamation over a CBC report that she participated in racist activities and allowed her children to do so. The report stated that at an Aryan Nations gathering, she and her husband "dressed their kids up in pint-sized Klan uniforms for the celebratory cross burning". It was true the couple took their children to the conference, but not that they were dressed in Klan uniforms or that the meeting was of the Ku Klux Klan.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The court identified the meaning to be drawn from the report as implying that the plaintiff's husband involved the plaintiff and their children in the expression of racist ideology and that it was a family affair. The court found on the evidence that the plaintiff and her children were involved in racist activities, including attending the relevant Aryan Nations gathering, and that the family fully supported the plaintiff's husband as a proclaimed racist leader. Even though there was no evidence the children wore Klan outfits, the sting of the libel was substantially proven and the claim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Jay</w:t>
      </w:r>
      <w:r>
        <w:rPr>
          <w:rFonts w:ascii="arial" w:eastAsia="arial" w:hAnsi="arial" w:cs="arial"/>
          <w:color w:val="000000"/>
          <w:sz w:val="20"/>
          <w:lang w:val="en-US" w:eastAsia="en-US" w:bidi="ar-SA"/>
        </w:rPr>
        <w:t>, the court concluded that a mistaken statement that a plaintiff had plead guilty to assault "with a noxious substance" where in fact the plaintiff had plead guilty to common assault was an "'error in detail' of no practical consequence in the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defendants Alan Williams Sr., Morris Amos and Harvey Grant Sr. plead that the defamatory expressions are all true, that is, a general plea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They assert that they did not say anyone had accepted a bribe or committed a crime. They argue that the lack of disclosure was clear, particularly with respect to the Europa Creek/Crab River Hydroelectric Development. They state the term "fraud" accurately describes the use of the rubber stamp without disclosure; because the term was used in context, a reader would not need to rely on its legal or dictionary definition to understand the intended meaning. Likewise, they state that "treason" was an appropriate term, if harsh, to describe those who had turned their backs on their traditional government.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plaintiffs assert that the defendants in question have failed to prove the truth of any of the defamatory documents.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As previously stated, I have found the defamatory words to mean what the plaintiffs allege.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In my opinion, the defendants have failed to prove that the gist or the sting of any of the defamatory publications was true on a balance of probabilities. The evidence falls far short of establishing that the plaintiffs were guilty of deceit, dishonesty, fraud, misrepresentation, incompetence, corruption, 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With respect to the use of the rubber stamp, the evidence of the plaintiffs who were aware of its use is that they had the authority of Sammy Robinson to use the stamp. The other plaintiffs were not even aware it had been used. The evidence of the defendants fails to establish on the balance of probabilities that the stamp was used without the knowledge or authority of Tom Robinson. Sandra Robinson in her evidence did not state that she had specifically discussed with her father the use of the stamp, nor the issue of whether Sammy Robinson was authorized to speak for him. It is notable that despite bearing the burden on this issue, the defendants did not call Sammy Robinson to testify with respect to his authority or lack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As I have previously indicated, I accept the evidence of the plaintiffs respecting how the use of the signature stamp occurred. The defendants have failed to establish on the balance of probabilities that its use was the result of misconduct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With regard to the allegation of treason, I note that, as I have stated above, this matter cannot be characterized as a dispute between the KVC and the hereditary chiefs generally. The defendants have not proven that the plaintiffs "turned their backs" on their traditional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allegations arising from the Europa Creek/Crab River Hydroelectric Development project for the reasons given earlier have likewise not been proven to be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Fair Comment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The protection of free speech depends on wide latitude for comment, including inferences, deductions and opinions. The leading decision on fair comment is </w:t>
      </w:r>
      <w:r>
        <w:rPr>
          <w:rFonts w:ascii="arial" w:eastAsia="arial" w:hAnsi="arial" w:cs="arial"/>
          <w:i/>
          <w:color w:val="000000"/>
          <w:sz w:val="20"/>
          <w:lang w:val="en-US" w:eastAsia="en-US" w:bidi="ar-SA"/>
        </w:rPr>
        <w:t>WIC Radio Ltd. v. Simpson</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2008 SCC 40</w:t>
        </w:r>
      </w:hyperlink>
      <w:r>
        <w:rPr>
          <w:rFonts w:ascii="arial" w:eastAsia="arial" w:hAnsi="arial" w:cs="arial"/>
          <w:color w:val="000000"/>
          <w:sz w:val="20"/>
          <w:lang w:val="en-US" w:eastAsia="en-US" w:bidi="ar-SA"/>
        </w:rPr>
        <w:t>, where the court at para. 28 established the elements of this defence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w:t>
      </w:r>
    </w:p>
    <w:p>
      <w:pPr>
        <w:numPr>
          <w:numId w:val="6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be on a matter of public interest;</w:t>
      </w:r>
    </w:p>
    <w:p>
      <w:pPr>
        <w:numPr>
          <w:numId w:val="6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be based on fact;</w:t>
      </w:r>
    </w:p>
    <w:p>
      <w:pPr>
        <w:numPr>
          <w:numId w:val="6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although it can contain inferences of fact, must be recognizable as comment; and</w:t>
      </w:r>
    </w:p>
    <w:p>
      <w:pPr>
        <w:numPr>
          <w:numId w:val="6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satisfy the following objective test: could any person honestly express that opinion on the proved facts.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The defendant bears the burden to establish each of these four elements. However, the defence of fair comment can be defeated if the plaintiff proves that the defendant was actuated by express malice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London Artists Ltd. v. Littler</w:t>
      </w:r>
      <w:r>
        <w:rPr>
          <w:rFonts w:ascii="arial" w:eastAsia="arial" w:hAnsi="arial" w:cs="arial"/>
          <w:color w:val="000000"/>
          <w:sz w:val="20"/>
          <w:lang w:val="en-US" w:eastAsia="en-US" w:bidi="ar-SA"/>
        </w:rPr>
        <w:t xml:space="preserve"> (1968), [1969] 2 All E.R. 193 at 198 (C.A.), Lord Denning described the public interest element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Whenever a matter is such as to affect people at large, so that they may be legitimately interested in, or concerned at, what is going on; or what may happen to them or others; then it is a matter of public interest on which everyone is entitled to make fair comment.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With regard to the requirement of a factual foundation, Binnie J.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paras. 31 and 34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It is true that "[t]he comment must explicitly or implicitly indicate, at least in general terms, what are the facts on which the comment is being made"; Brown, vol. 2, p. 15-36, and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(10th ed. 2004), at para 12.12. What is important is that the facts be sufficiently stated or otherwise be known to the listeners that listeners are able to make up their own minds on the merits of [the impugned] comment. If the factual foundation is unstated or unknown, or turns out to be false, the fair comment defence is not available: (</w:t>
      </w:r>
      <w:r>
        <w:rPr>
          <w:rFonts w:ascii="arial" w:eastAsia="arial" w:hAnsi="arial" w:cs="arial"/>
          <w:i/>
          <w:color w:val="000000"/>
          <w:sz w:val="20"/>
          <w:lang w:val="en-US" w:eastAsia="en-US" w:bidi="ar-SA"/>
        </w:rPr>
        <w:t>Chicoutimi Pulp</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51 S.C.R. 179</w:t>
        </w:r>
      </w:hyperlink>
      <w:r>
        <w:rPr>
          <w:rFonts w:ascii="arial" w:eastAsia="arial" w:hAnsi="arial" w:cs="arial"/>
          <w:color w:val="000000"/>
          <w:sz w:val="20"/>
          <w:lang w:val="en-US" w:eastAsia="en-US" w:bidi="ar-SA"/>
        </w:rPr>
        <w:t>, at p. 194).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 agree with Southin J.A. that a properly disclosed or sufficiently indicated (or so notorious as to be already understood by the audience) factual foundation is an important objective limit to the fair comment defence,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The distinction between a statement of fact and a comment is explained in </w:t>
      </w:r>
      <w:r>
        <w:rPr>
          <w:rFonts w:ascii="arial" w:eastAsia="arial" w:hAnsi="arial" w:cs="arial"/>
          <w:i/>
          <w:color w:val="000000"/>
          <w:sz w:val="20"/>
          <w:lang w:val="en-US" w:eastAsia="en-US" w:bidi="ar-SA"/>
        </w:rPr>
        <w:t>Barltrop v. Canadian Broadcasting Corp.</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(1978), 86 D.L.R. (3d) 61</w:t>
        </w:r>
      </w:hyperlink>
      <w:r>
        <w:rPr>
          <w:rFonts w:ascii="arial" w:eastAsia="arial" w:hAnsi="arial" w:cs="arial"/>
          <w:color w:val="000000"/>
          <w:sz w:val="20"/>
          <w:lang w:val="en-US" w:eastAsia="en-US" w:bidi="ar-SA"/>
        </w:rPr>
        <w:t xml:space="preserve"> (N.S.C.A.) where MacKeigan, C.J.N.S., speaking for the court said at 73-74: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vital distinction is pointed up by Ferguson J., in </w:t>
      </w:r>
      <w:r>
        <w:rPr>
          <w:rFonts w:ascii="arial" w:eastAsia="arial" w:hAnsi="arial" w:cs="arial"/>
          <w:i/>
          <w:color w:val="000000"/>
          <w:sz w:val="20"/>
          <w:lang w:val="en-US" w:eastAsia="en-US" w:bidi="ar-SA"/>
        </w:rPr>
        <w:t>Myerson v. Smith's Weekly Publishing Co., Ltd.</w:t>
      </w:r>
      <w:r>
        <w:rPr>
          <w:rFonts w:ascii="arial" w:eastAsia="arial" w:hAnsi="arial" w:cs="arial"/>
          <w:color w:val="000000"/>
          <w:sz w:val="20"/>
          <w:lang w:val="en-US" w:eastAsia="en-US" w:bidi="ar-SA"/>
        </w:rPr>
        <w:t xml:space="preserve"> (1923), 24 S.R. (N.S.W.) 20 at p. 26, quoted by Fleming [on the Law of Torts, 4th ed. (1971)], at p. 512: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say that a man's conduct was dishonourable is not comment, it is a statement of fact. To say that he did certain specific things and th[u]s his conduct was dishonourable is a statement of fact coupled with a comment."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Gatley, para 713, quotes the following example, referring to and quoting from </w:t>
      </w:r>
      <w:r>
        <w:rPr>
          <w:rFonts w:ascii="arial" w:eastAsia="arial" w:hAnsi="arial" w:cs="arial"/>
          <w:i/>
          <w:color w:val="000000"/>
          <w:sz w:val="20"/>
          <w:lang w:val="en-US" w:eastAsia="en-US" w:bidi="ar-SA"/>
        </w:rPr>
        <w:t>Popham v. Pickburn</w:t>
      </w:r>
      <w:r>
        <w:rPr>
          <w:rFonts w:ascii="arial" w:eastAsia="arial" w:hAnsi="arial" w:cs="arial"/>
          <w:color w:val="000000"/>
          <w:sz w:val="20"/>
          <w:lang w:val="en-US" w:eastAsia="en-US" w:bidi="ar-SA"/>
        </w:rPr>
        <w:t xml:space="preserve"> (1862), 7 H. &amp; N. 891, 158 E.R. 730: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where the defendant published in his newspaper a report of a medical officer of health, which asserted that the plaintiff, a chemist and druggist, had given false medical certificates, and advised that he should be prosecuted for forgery, it was held that such report could not be justified as fair comment. It was contended that this libel might be justified as a matter of public discussion on a subject of public interest. The answer is this: This is not discussion or comment. It is a statement of fact. To charge a man incorrectly with a disgraceful act is very different from commenting on a fact relating to him truly stated there, the writer may, by his opinion, libel himself rather than the subject of his remarks.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xml:space="preserve">  The test is objective: </w:t>
      </w:r>
      <w:r>
        <w:rPr>
          <w:rFonts w:ascii="arial" w:eastAsia="arial" w:hAnsi="arial" w:cs="arial"/>
          <w:i/>
          <w:color w:val="000000"/>
          <w:sz w:val="20"/>
          <w:lang w:val="en-US" w:eastAsia="en-US" w:bidi="ar-SA"/>
        </w:rPr>
        <w:t>Ross v. New Brunswick Teachers' Association</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2001 NBCA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Daigle C.J.N.B. at para. 62; </w:t>
      </w:r>
      <w:r>
        <w:rPr>
          <w:rFonts w:ascii="arial" w:eastAsia="arial" w:hAnsi="arial" w:cs="arial"/>
          <w:i/>
          <w:color w:val="000000"/>
          <w:sz w:val="20"/>
          <w:lang w:val="en-US" w:eastAsia="en-US" w:bidi="ar-SA"/>
        </w:rPr>
        <w:t>B.S.O.I.W., Local 97 v. Campbell</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(1997), 40 B.C.L.R. (3d) 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xml:space="preserve">  It is clear from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that comment can include inferences and deductions, not just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xml:space="preserve">  With regard to the fourth element,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establishes that comments need not be fair, rational or warranted. They must merely be a view a person, and not necessarily a reasonable person, could honestly express on the basis of the proven facts.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The defendants note that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re-shaped the fair comment defence and emphasize that in the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framework, the comment need not be fair and can be quite outrageous so long as "a person" (not necessarily the defendant and not necessarily even a reasonable person) could hold the view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The defendants submit that the matters in issue were of public interest in the community. They further submit that the use of the rubber stamp, the dealings on Europa, the lack of disclosure and the silencing or ignoring of the hereditary chiefs were established facts and, as such, statements concerning them were comment.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The plaintiffs assert that the publications cannot be characterized as fair comment. The plaintiffs submit that although dealing with matters of public interest, the statements made are not assertions based on proven fact and are not comment or recognizable as comment.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There is no dispute that the subject matters of the expressions were of public interest. Clearly, the use of the rubber stamp, the Europa matters, the allegations of lack of disclosure and the rift with some of the hereditary chiefs were all matters of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 am of the view, however, that the defence of fair comment cannot succeed as the defendants have not met the second or third elements of this test. That is, that the defamatory expressions are not based on proven fact or recognizable as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 note that the defendants have not attempted to distinguish any specific examples of comment from assertions of fact. Even if the defendants were able to do so, I am satisfied that any "comment" would necessarily be based on assertions of fact regarding the alleged misconduct of the plaintiffs which, as I have discussed above, the defendants have been unable to establish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Moreover, the law is clear that comment must appear as comment. It must not be so mixed up with statements of fact that the reasonable reader or listener is unable to distinguish between the reported facts and the comment (</w:t>
      </w:r>
      <w:r>
        <w:rPr>
          <w:rFonts w:ascii="arial" w:eastAsia="arial" w:hAnsi="arial" w:cs="arial"/>
          <w:i/>
          <w:color w:val="000000"/>
          <w:sz w:val="20"/>
          <w:lang w:val="en-US" w:eastAsia="en-US" w:bidi="ar-SA"/>
        </w:rPr>
        <w:t>Leenen v. Canadian Broadcasting Corp.</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(2000), 48 O.R. (3d) 656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Jones v. Bennett,</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[1969] S.C.R. 277</w:t>
        </w:r>
      </w:hyperlink>
      <w:r>
        <w:rPr>
          <w:rFonts w:ascii="arial" w:eastAsia="arial" w:hAnsi="arial" w:cs="arial"/>
          <w:color w:val="000000"/>
          <w:sz w:val="20"/>
          <w:lang w:val="en-US" w:eastAsia="en-US" w:bidi="ar-SA"/>
        </w:rPr>
        <w:t xml:space="preserve"> at 285; </w:t>
      </w:r>
      <w:r>
        <w:rPr>
          <w:rFonts w:ascii="arial" w:eastAsia="arial" w:hAnsi="arial" w:cs="arial"/>
          <w:i/>
          <w:color w:val="000000"/>
          <w:sz w:val="20"/>
          <w:lang w:val="en-US" w:eastAsia="en-US" w:bidi="ar-SA"/>
        </w:rPr>
        <w:t>Mitchell v. Victoria Daily Times,</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[1944] 2 D.L.R. 239</w:t>
        </w:r>
      </w:hyperlink>
      <w:r>
        <w:rPr>
          <w:rFonts w:ascii="arial" w:eastAsia="arial" w:hAnsi="arial" w:cs="arial"/>
          <w:color w:val="000000"/>
          <w:sz w:val="20"/>
          <w:lang w:val="en-US" w:eastAsia="en-US" w:bidi="ar-SA"/>
        </w:rPr>
        <w:t>,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As I have mentioned, the defendants have not framed the statements in their publications so as to indicate clearly what was intended as comment. In my view, a reasonable reader would not be able to distinguish any comments from straightforward statements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In these circumstances, the defence of fair comment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Malice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Proof that a defendant was actuated by express malice at the time the defamatory expression was published defeats the defences of qualified privilege and fair comment. The test for whether the plaintiffs have established malice is the same in relation to both qualified privilege and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In the Court of Appeal decision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Kirkpatrick J.A. for the court discussed the elements of malice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defence of qualified privilege can be defeated by a finding of malice on the part of the defendant or by a finding that the limits of the privilege were exceeded. Malice in this sense is also called "express malice" or "malice in fact" to differentiate it from the legal malice assumed by the very publication of defamatory comments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looseleaf, 2nd ed. (Toronto: Carswell, 1999 at 16.2(1))).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defence of fair comment is also defeated by malice, and malice "for the purpose of defeating the defence of qualified privilege is the same as malice for the purpose of defeating the defence of fair comment." (</w:t>
      </w:r>
      <w:r>
        <w:rPr>
          <w:rFonts w:ascii="arial" w:eastAsia="arial" w:hAnsi="arial" w:cs="arial"/>
          <w:i/>
          <w:color w:val="000000"/>
          <w:sz w:val="20"/>
          <w:lang w:val="en-US" w:eastAsia="en-US" w:bidi="ar-SA"/>
        </w:rPr>
        <w:t>Creative Salmon Company Ltd. v. Staniford</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2009 BCCA 61</w:t>
        </w:r>
      </w:hyperlink>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307 D.L.R. (4th) 518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Creative Salmon</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term "malice" is more expansive than the everyday meaning of a desire to harm another. Brown at 16.3(2) suggests the alternate language of "bad faith". This Court summarized the definition in </w:t>
      </w:r>
      <w:r>
        <w:rPr>
          <w:rFonts w:ascii="arial" w:eastAsia="arial" w:hAnsi="arial" w:cs="arial"/>
          <w:i/>
          <w:color w:val="000000"/>
          <w:sz w:val="20"/>
          <w:lang w:val="en-US" w:eastAsia="en-US" w:bidi="ar-SA"/>
        </w:rPr>
        <w:t>Creative Salmon</w:t>
      </w:r>
      <w:r>
        <w:rPr>
          <w:rFonts w:ascii="arial" w:eastAsia="arial" w:hAnsi="arial" w:cs="arial"/>
          <w:color w:val="000000"/>
          <w:sz w:val="20"/>
          <w:lang w:val="en-US" w:eastAsia="en-US" w:bidi="ar-SA"/>
        </w:rPr>
        <w:t xml:space="preserve">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79, malice was defined to include "ill will" and "any indirect motive which conflicts with the sense of duty created by the occasion [in the case of qualified privilege]". The definition of malice stated by Mr. Justice Dickson in </w:t>
      </w:r>
      <w:r>
        <w:rPr>
          <w:rFonts w:ascii="arial" w:eastAsia="arial" w:hAnsi="arial" w:cs="arial"/>
          <w:i/>
          <w:color w:val="000000"/>
          <w:sz w:val="20"/>
          <w:lang w:val="en-US" w:eastAsia="en-US" w:bidi="ar-SA"/>
        </w:rPr>
        <w:t>Cherneskey</w:t>
      </w:r>
      <w:r>
        <w:rPr>
          <w:rFonts w:ascii="arial" w:eastAsia="arial" w:hAnsi="arial" w:cs="arial"/>
          <w:color w:val="000000"/>
          <w:sz w:val="20"/>
          <w:lang w:val="en-US" w:eastAsia="en-US" w:bidi="ar-SA"/>
        </w:rPr>
        <w:t xml:space="preserve"> at 1099, and adopted by Mr. Justice LeBel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102, includes "spite or ill will" and "any indirect motive or ulterior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Supreme Court of Canada summarized the law of malice and qualified privilege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126 D.L.R. (4th) 129</w:t>
        </w:r>
      </w:hyperlink>
      <w:r>
        <w:rPr>
          <w:rFonts w:ascii="arial" w:eastAsia="arial" w:hAnsi="arial" w:cs="arial"/>
          <w:color w:val="000000"/>
          <w:sz w:val="20"/>
          <w:lang w:val="en-US" w:eastAsia="en-US" w:bidi="ar-SA"/>
        </w:rPr>
        <w:t xml:space="preserve"> at para. 145: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 supra</w:t>
      </w:r>
      <w:r>
        <w:rPr>
          <w:rFonts w:ascii="arial" w:eastAsia="arial" w:hAnsi="arial" w:cs="arial"/>
          <w:color w:val="000000"/>
          <w:sz w:val="20"/>
          <w:lang w:val="en-US" w:eastAsia="en-US" w:bidi="ar-SA"/>
        </w:rPr>
        <w:t xml:space="preserve">,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McLoughlin, supra</w:t>
      </w:r>
      <w:r>
        <w:rPr>
          <w:rFonts w:ascii="arial" w:eastAsia="arial" w:hAnsi="arial" w:cs="arial"/>
          <w:color w:val="000000"/>
          <w:sz w:val="20"/>
          <w:lang w:val="en-US" w:eastAsia="en-US" w:bidi="ar-SA"/>
        </w:rPr>
        <w:t xml:space="preserve">,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xml:space="preserve"> (Toronto: Irwin Law, 2004) at 299, R.D. McConchie and D.A. Potts reduced this statement to a helpful framework for the categories under which a finding of malice can be made. A defendant is actuated by malice if he or she publishes the comment:</w:t>
      </w:r>
    </w:p>
    <w:p>
      <w:pPr>
        <w:numPr>
          <w:numId w:val="6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Knowing it was false; </w:t>
      </w:r>
      <w:r>
        <w:rPr>
          <w:rFonts w:ascii="arial" w:eastAsia="arial" w:hAnsi="arial" w:cs="arial"/>
          <w:i/>
          <w:color w:val="000000"/>
          <w:sz w:val="20"/>
          <w:lang w:val="en-US" w:eastAsia="en-US" w:bidi="ar-SA"/>
        </w:rPr>
        <w:t>or</w:t>
      </w:r>
    </w:p>
    <w:p>
      <w:pPr>
        <w:numPr>
          <w:numId w:val="6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reckless indifference whether it is true or false; </w:t>
      </w:r>
      <w:r>
        <w:rPr>
          <w:rFonts w:ascii="arial" w:eastAsia="arial" w:hAnsi="arial" w:cs="arial"/>
          <w:i/>
          <w:color w:val="000000"/>
          <w:sz w:val="20"/>
          <w:lang w:val="en-US" w:eastAsia="en-US" w:bidi="ar-SA"/>
        </w:rPr>
        <w:t>or</w:t>
      </w:r>
    </w:p>
    <w:p>
      <w:pPr>
        <w:numPr>
          <w:numId w:val="6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dominant purpose of injuring the plaintiff because of spite or animosity; </w:t>
      </w:r>
      <w:r>
        <w:rPr>
          <w:rFonts w:ascii="arial" w:eastAsia="arial" w:hAnsi="arial" w:cs="arial"/>
          <w:i/>
          <w:color w:val="000000"/>
          <w:sz w:val="20"/>
          <w:lang w:val="en-US" w:eastAsia="en-US" w:bidi="ar-SA"/>
        </w:rPr>
        <w:t>or</w:t>
      </w:r>
    </w:p>
    <w:p>
      <w:pPr>
        <w:numPr>
          <w:numId w:val="6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than one finding can be present in a given case (McConchie and Potts at 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If there is honest belief on the defendant's part, malice can only be proven under the latter two categories by showing a dominant improper purpose or desire to injure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(C.A.) at para. 40). Accordingly, it is necessary not only that the plaintiff prove that an improper motive existed, but that it was also the dominant reason for the publication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16-32 to 16-35). This requirement was also canvassed in the trial decision in </w:t>
      </w:r>
      <w:r>
        <w:rPr>
          <w:rFonts w:ascii="arial" w:eastAsia="arial" w:hAnsi="arial" w:cs="arial"/>
          <w:i/>
          <w:color w:val="000000"/>
          <w:sz w:val="20"/>
          <w:lang w:val="en-US" w:eastAsia="en-US" w:bidi="ar-SA"/>
        </w:rPr>
        <w:t>WIC Radio Ltd. v. Simpson</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2004 BCSC 754</w:t>
        </w:r>
      </w:hyperlink>
      <w:r>
        <w:rPr>
          <w:rFonts w:ascii="arial" w:eastAsia="arial" w:hAnsi="arial" w:cs="arial"/>
          <w:color w:val="000000"/>
          <w:sz w:val="20"/>
          <w:lang w:val="en-US" w:eastAsia="en-US" w:bidi="ar-SA"/>
        </w:rPr>
        <w:t xml:space="preserve">, rev'd on other grounds, </w:t>
      </w:r>
      <w:hyperlink r:id="rId839" w:history="1">
        <w:r>
          <w:rPr>
            <w:rFonts w:ascii="arial" w:eastAsia="arial" w:hAnsi="arial" w:cs="arial"/>
            <w:i/>
            <w:color w:val="0077CC"/>
            <w:sz w:val="20"/>
            <w:u w:val="single"/>
            <w:shd w:val="clear" w:color="auto" w:fill="FFFFFF"/>
            <w:lang w:val="en-US" w:eastAsia="en-US" w:bidi="ar-SA"/>
          </w:rPr>
          <w:t>2008 SCC 40</w:t>
        </w:r>
      </w:hyperlink>
      <w:r>
        <w:rPr>
          <w:rFonts w:ascii="arial" w:eastAsia="arial" w:hAnsi="arial" w:cs="arial"/>
          <w:color w:val="000000"/>
          <w:sz w:val="20"/>
          <w:lang w:val="en-US" w:eastAsia="en-US" w:bidi="ar-SA"/>
        </w:rPr>
        <w:t>, where Koenigsberg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In determining whether malice can defeat fair comment, the law cautions that the court must be able to find that malice was the dominant motive for the offending editorial.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The New Brunswick Court of Appeal decision in </w:t>
      </w:r>
      <w:r>
        <w:rPr>
          <w:rFonts w:ascii="arial" w:eastAsia="arial" w:hAnsi="arial" w:cs="arial"/>
          <w:i/>
          <w:color w:val="000000"/>
          <w:sz w:val="20"/>
          <w:lang w:val="en-US" w:eastAsia="en-US" w:bidi="ar-SA"/>
        </w:rPr>
        <w:t>Ross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paras. 113-116, malice sufficient to undermine the defence of fair comment was rejected, even though the defendant had admitted to hating Ross' writing, had made "profane and denigrating" remarks about Ross and had showed a very savage cartoon.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The court quoted with approval from Brown, </w:t>
      </w:r>
      <w:r>
        <w:rPr>
          <w:rFonts w:ascii="arial" w:eastAsia="arial" w:hAnsi="arial" w:cs="arial"/>
          <w:i/>
          <w:color w:val="000000"/>
          <w:sz w:val="20"/>
          <w:lang w:val="en-US" w:eastAsia="en-US" w:bidi="ar-SA"/>
        </w:rPr>
        <w:t xml:space="preserve">supra: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the Defendant's primary or predominant motive in publishing the defamatory remark that is determinative. ["]Incidental gratification of personal feelings is irrelevant." ... Dislike and ill will may be present but actual malice may be entirely wanting. The fact that a defendant is annoyed, or dislikes the plaintiff, or even contemptuous of him, and takes special delight in offending or embarrassing him, and pleasure in the effect of the publication, or that he was angry and rude, or indignant and resentful, and welcomed the opportunity to expose him, will not defeat a privilege if it is otherwise exercised for a proper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Having considered all the evidence put forward in oral and written submissions on the issue of malice, although I have not attempted to set out all of the arguments and evidence that was put before the court, and having found that Mair was, in fact, actuated by malice, I am unable to find that that this was his predominant or primary motive in publishing the defamatory editorial.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Evidence of express malice may be intrinsic, in the words used, or extrinsic, in the surrounding circumstances (</w:t>
      </w:r>
      <w:r>
        <w:rPr>
          <w:rFonts w:ascii="arial" w:eastAsia="arial" w:hAnsi="arial" w:cs="arial"/>
          <w:i/>
          <w:color w:val="000000"/>
          <w:sz w:val="20"/>
          <w:lang w:val="en-US" w:eastAsia="en-US" w:bidi="ar-SA"/>
        </w:rPr>
        <w:t>Davies &amp; Davies Ltd. v. Kott</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[1979] 2 S.C.R. 686</w:t>
        </w:r>
      </w:hyperlink>
      <w:r>
        <w:rPr>
          <w:rFonts w:ascii="arial" w:eastAsia="arial" w:hAnsi="arial" w:cs="arial"/>
          <w:color w:val="000000"/>
          <w:sz w:val="20"/>
          <w:lang w:val="en-US" w:eastAsia="en-US" w:bidi="ar-SA"/>
        </w:rPr>
        <w:t xml:space="preserve"> at 696).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Amalgamated Transit Union v. Independent Canadian Transit Union</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[1997] 5 W.W.R. 662</w:t>
        </w:r>
      </w:hyperlink>
      <w:r>
        <w:rPr>
          <w:rFonts w:ascii="arial" w:eastAsia="arial" w:hAnsi="arial" w:cs="arial"/>
          <w:color w:val="000000"/>
          <w:sz w:val="20"/>
          <w:lang w:val="en-US" w:eastAsia="en-US" w:bidi="ar-SA"/>
        </w:rPr>
        <w:t xml:space="preserve"> at para. 74 (Alta. Q.B.), Lutz J. adopted the following discussion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of how intrinsic malice may be inferred: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Malice may "be inferred from the terms of the defamatory statements themselves." Thus, the court will look to the "mode and style" of the publication, or the language which the defendant "has chosen to couch the communication," to see if there is unnecessary violence of expression or intemperance in language. Words exhibiting an "unwholesome virulence" or exaggeration, or which are "couched in terms stronger than necessary to gain the object in view", or are "entirely disproportionate to", or "beyond the absolute exigence" of, or utterly beyond and disproportionate to, the facts or circumstances of the occasion, may give rise to an inference of malice. This is particularly true where the violence or intemperance is the product of deliberation. </w:t>
      </w:r>
      <w:r>
        <w:rPr>
          <w:rFonts w:ascii="arial" w:eastAsia="arial" w:hAnsi="arial" w:cs="arial"/>
          <w:i/>
          <w:color w:val="000000"/>
          <w:sz w:val="20"/>
          <w:lang w:val="en-US" w:eastAsia="en-US" w:bidi="ar-SA"/>
        </w:rPr>
        <w:t>However, violent language may be more expectable where someone is responding to a personal attack. For that reason, it may be inappropriate to find malice merely in the way in which the defendant has framed his response.</w:t>
      </w:r>
      <w:r>
        <w:rPr>
          <w:rFonts w:ascii="arial" w:eastAsia="arial" w:hAnsi="arial" w:cs="arial"/>
          <w:color w:val="000000"/>
          <w:sz w:val="20"/>
          <w:lang w:val="en-US" w:eastAsia="en-US" w:bidi="ar-SA"/>
        </w:rPr>
        <w:t xml:space="preserv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pp. 948-9)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Extrinsic evidence of malice includes such evidence from which the court can infer improper motive. Conduct before, throughout and after the defamatory publication may be relevant. The courts may therefore consider evidence of antagonism, friction, feuding, threats, rivalry, or hostility between the parties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16-88).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Evidence of any steps, precautions or inquiries taken by the defendants prior to publication may also be relevant (</w:t>
      </w:r>
      <w:r>
        <w:rPr>
          <w:rFonts w:ascii="arial" w:eastAsia="arial" w:hAnsi="arial" w:cs="arial"/>
          <w:i/>
          <w:color w:val="000000"/>
          <w:sz w:val="20"/>
          <w:lang w:val="en-US" w:eastAsia="en-US" w:bidi="ar-SA"/>
        </w:rPr>
        <w:t>Amalgamated Transit Union</w:t>
      </w:r>
      <w:r>
        <w:rPr>
          <w:rFonts w:ascii="arial" w:eastAsia="arial" w:hAnsi="arial" w:cs="arial"/>
          <w:color w:val="000000"/>
          <w:sz w:val="20"/>
          <w:lang w:val="en-US" w:eastAsia="en-US" w:bidi="ar-SA"/>
        </w:rPr>
        <w:t xml:space="preserve"> at para. 74). One piece of evidence alone may be sufficient (</w:t>
      </w:r>
      <w:r>
        <w:rPr>
          <w:rFonts w:ascii="arial" w:eastAsia="arial" w:hAnsi="arial" w:cs="arial"/>
          <w:i/>
          <w:color w:val="000000"/>
          <w:sz w:val="20"/>
          <w:lang w:val="en-US" w:eastAsia="en-US" w:bidi="ar-SA"/>
        </w:rPr>
        <w:t>Leenen</w:t>
      </w:r>
      <w:r>
        <w:rPr>
          <w:rFonts w:ascii="arial" w:eastAsia="arial" w:hAnsi="arial" w:cs="arial"/>
          <w:color w:val="000000"/>
          <w:sz w:val="20"/>
          <w:lang w:val="en-US" w:eastAsia="en-US" w:bidi="ar-SA"/>
        </w:rPr>
        <w:t xml:space="preserve"> at para. 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Malice is that of an individual and the malice of one party does not "infect" another. It must be proven against each defendant. Where there is a joint publication, the express malice of one defendant does not taint his or her co-defendant (</w:t>
      </w:r>
      <w:r>
        <w:rPr>
          <w:rFonts w:ascii="arial" w:eastAsia="arial" w:hAnsi="arial" w:cs="arial"/>
          <w:i/>
          <w:color w:val="000000"/>
          <w:sz w:val="20"/>
          <w:lang w:val="en-US" w:eastAsia="en-US" w:bidi="ar-SA"/>
        </w:rPr>
        <w:t>Sun Life Assurance Co. of Canada et al. v. Dalrymple</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[1965] S.C.R. 302</w:t>
        </w:r>
      </w:hyperlink>
      <w:r>
        <w:rPr>
          <w:rFonts w:ascii="arial" w:eastAsia="arial" w:hAnsi="arial" w:cs="arial"/>
          <w:color w:val="000000"/>
          <w:sz w:val="20"/>
          <w:lang w:val="en-US" w:eastAsia="en-US" w:bidi="ar-SA"/>
        </w:rPr>
        <w:t xml:space="preserve"> at 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However, the malice of an agent is imputable to the principal (</w:t>
      </w:r>
      <w:r>
        <w:rPr>
          <w:rFonts w:ascii="arial" w:eastAsia="arial" w:hAnsi="arial" w:cs="arial"/>
          <w:i/>
          <w:color w:val="000000"/>
          <w:sz w:val="20"/>
          <w:lang w:val="en-US" w:eastAsia="en-US" w:bidi="ar-SA"/>
        </w:rPr>
        <w:t>Sun Life Assurance Co. of Canada</w:t>
      </w:r>
      <w:r>
        <w:rPr>
          <w:rFonts w:ascii="arial" w:eastAsia="arial" w:hAnsi="arial" w:cs="arial"/>
          <w:color w:val="000000"/>
          <w:sz w:val="20"/>
          <w:lang w:val="en-US" w:eastAsia="en-US" w:bidi="ar-SA"/>
        </w:rPr>
        <w:t xml:space="preserve"> at 310, citing </w:t>
      </w:r>
      <w:r>
        <w:rPr>
          <w:rFonts w:ascii="arial" w:eastAsia="arial" w:hAnsi="arial" w:cs="arial"/>
          <w:i/>
          <w:color w:val="000000"/>
          <w:sz w:val="20"/>
          <w:lang w:val="en-US" w:eastAsia="en-US" w:bidi="ar-SA"/>
        </w:rPr>
        <w:t>Egger v. Viscount Chelmsford</w:t>
      </w:r>
      <w:r>
        <w:rPr>
          <w:rFonts w:ascii="arial" w:eastAsia="arial" w:hAnsi="arial" w:cs="arial"/>
          <w:color w:val="000000"/>
          <w:sz w:val="20"/>
          <w:lang w:val="en-US" w:eastAsia="en-US" w:bidi="ar-SA"/>
        </w:rPr>
        <w:t xml:space="preserve">, [1964] 3 All E.R. 406 at 412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Denning M.R. (C.A.)).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plaintiffs submit that the evidence of malice is clear from the publications themselves and the surrounding events. They point to the allegations of fraud as the most compelling indicia of malice and hostility to the plaintiffs. They assert that the defamatory comments had nothing to do with the BCUC proceeding, considering its scope as defined in the Scoping Order, and as a result the defamatory expressions do not address issues of public interest. Additional factors they say are relevant include the refusal of the defendants at various stages of the litigation to participate in it as well as the involvement of Aidun Naidu and Janice Switlo.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xml:space="preserve">  The defendants submit that the threshold for a finding of malice is extremely high. They rely on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[1974] 1 All E.R. 662 at 670, [1975] A.C. 135 (H.L.), where the court emphasized that the trier of fact should be slow to make a finding of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Judges and juries should, however, be very slow to draw the inference that the defendant was so far actuated by improper motives as to deprive him of the protection of the privilege unless they are satisfied that he did not believe that what he said or wrote was true or that he was indifferent to its truth or falsity. The motives with which human beings act are mixed. They find it difficult to hate the sin but love the sinner.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The whole course of the defendants' conduct is relevant to the issue of malice. From the inception of the campaign against the plaintiffs, the true motivations of Morris Amos were clear. I am satisfied that he, as primarily assisted by Janice Switlo and Allan Williams Sr., never intended to address the issues relevant to the BCUC hearings. Rather, they seized on those hearings as a means to an end -- to challenge and undermine the authority of the elected band council. To do so, they launched personal attacks on the individual members of council -- a fact made abundantly clear by the 5 Page Document which named each of the plaintiffs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As previously noted, the late John Wilson Sr. on discovery acknowledged that along with Harvey Grant Sr. and Morris Amos, they viewed the BCUC hearings as a way of stopping the council from acting as it was. He also confirmed that the idea of using the BCUC proceedings for such purposes came from Morris Amos. It was clearly never the defendants' intention to participate in the BCUC hearings in a legitimate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This became readily apparent given the publications to the BCUC failed to address the issues the BCUC was considering.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Morris Amos managed to involve some of the hereditary chiefs. It is apparent he did so by providing misinformation to them. He was selective respecting which chiefs he contacted and, to some extent, took advantage of them. If his true motivation was the issue of a lack of disclosure, the lack of transparency and the BCUC issues, then presumably what was required of him and his group was to address those issues. This they failed to do, but instead mounted an oblique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Further evidence of malice can be found in the circumstances of the publication of the 5 Page Document. The defendants Allan Williams Sr., Harvey Grant Sr. and Morris Amos published this document after the litigation was underway, showing both recklessness and an intention to do harm. They named the plaintiffs individually and charged significant accusations of fraud, conspiracy and deceit. In doing so they knew that their "Chief Justice" Aidun Naidu would not even be present on the date set for the plaintiffs to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This conduct is in my view evidence of hostility and malice. The underlying theme is to attack Steve Wilson and the members of the KVC. In addition, those to whom the 5 Page Document was sent are not those that a true court would notify. This publication and its dissemination were clearly done for ulterior motives, presumably to humiliate, cause trouble, distress and dissension.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I am satisfied that malice in fact is established on the basis of the fourth category discussed above, namely, that the defendants Morris Amos and Janice Switlo were actuated by the improper and indirect purpose of challenging and undermining the authority of the elected band council. When all of the defamatory documents are read as a whole, I am satisfied that this was the dominant purpose with respect to all of the impugned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As a result, any defence on the basis of qualified privilege or fair comment is vitiated in respect of Morris Amos and Janice Switlo.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I am not satisfied on the evidence that malice by Harvey Grant Sr. has been proven. He did not testify at the trial. However, his evidence on discovery was read in. While Harvey Grant Sr. was initially responsible for the hiring and instructing of Janice Switlo, and failed to rein her in, that alone does not establish malice on his part. After giving initial instructions, Harvey Grant Sr. does not appear to have supplemented those instructions. He also had a change of heart at the September 27, 2007 meeting between the hereditary chiefs and the KVC. I am unable to conclude that Harvey Grant Sr.'s dominant purpose was to injure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With respect to Allan Williams Sr., however, I do find that he was actuated by malice. He confirmed that Janice Switlo was acting as his helper throughout. He acknowledged that he made no effort to verify the accuracy of any of the allegations contained in the publications she sent on his behalf. For example, he acknowledged that he had not read the Alcan Electricity Purchase Agreement nor asked that the issues be explained to him. He also conceded that he had not read Letter 4 before signing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In addition, he never approached Steve Wilson for an explanation for the alleged $22.5 million dollar kickback, nor did he have any information respecting allegations of warnings by Alcan to Harvey Grant Jr. about supporting the EPA. In my view, he was reckless and indifferent respecting whether the allegations were true or false. His motivation was, like that of Morris Amos, to unseat the KVC.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His conduct during this proceeding further supports my finding of malice given his refusal to accept delivery of his appointment for discovery (the process server left it at his feet) and his refusal to attend the discovery, resulting in plaintiffs' counsel seeking a court order to compel his attendance. In my view such conduct was a deliberate attempt to delay and obstruct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In summary, my findings respecting liability (including those by default) are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3" type="#_x0000_t75" style="width:432.06pt;height:476.32pt">
            <v:imagedata r:id="rId85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The plaintiffs asserted both through counsel and in their evidence that the overriding purpose of this litigation was vindication of their reputations. Notwithstanding that, the plaintiffs claim for general, aggravated and punitive damages in support of that vindication. I will set out the legal principles applicable to each category before addressing the parties' submissions on the appropriate quantum in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In a defamation action, the plaintiff does not need to prove loss in order to recover a verdict for general damages. Damage is presumed (</w:t>
      </w:r>
      <w:r>
        <w:rPr>
          <w:rFonts w:ascii="arial" w:eastAsia="arial" w:hAnsi="arial" w:cs="arial"/>
          <w:i/>
          <w:color w:val="000000"/>
          <w:sz w:val="20"/>
          <w:lang w:val="en-US" w:eastAsia="en-US" w:bidi="ar-SA"/>
        </w:rPr>
        <w:t>Ratcliffe v. Evans</w:t>
      </w:r>
      <w:r>
        <w:rPr>
          <w:rFonts w:ascii="arial" w:eastAsia="arial" w:hAnsi="arial" w:cs="arial"/>
          <w:color w:val="000000"/>
          <w:sz w:val="20"/>
          <w:lang w:val="en-US" w:eastAsia="en-US" w:bidi="ar-SA"/>
        </w:rPr>
        <w:t xml:space="preserve">, [1892] 2 Q.B. 524 at 528-529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Bowen L.J.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Liability for general damages is joint and several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174-175).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General damages in respect of a defamation claim are considered to be awarded "at large"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164). In </w:t>
      </w:r>
      <w:r>
        <w:rPr>
          <w:rFonts w:ascii="arial" w:eastAsia="arial" w:hAnsi="arial" w:cs="arial"/>
          <w:i/>
          <w:color w:val="000000"/>
          <w:sz w:val="20"/>
          <w:lang w:val="en-US" w:eastAsia="en-US" w:bidi="ar-SA"/>
        </w:rPr>
        <w:t>Cassell &amp; Co Ltd. v. Broome</w:t>
      </w:r>
      <w:r>
        <w:rPr>
          <w:rFonts w:ascii="arial" w:eastAsia="arial" w:hAnsi="arial" w:cs="arial"/>
          <w:color w:val="000000"/>
          <w:sz w:val="20"/>
          <w:lang w:val="en-US" w:eastAsia="en-US" w:bidi="ar-SA"/>
        </w:rPr>
        <w:t>, [1972] 1 All E.R. 801 at 824 (H.L.), Lord Halisham explained the term "at large"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actions of defamation and in any other actions where damages for loss of reputation are involved, the principle of restitutio[n] in integrum has necessarily an even more highly subjective element. Such actions involve a money award which may put the plaintiff in a purely financial sense in a much stronger position than he was before the wrong. Not merely can he recover the estimated sum of his past and future losses, but, in case the libel, driven underground, emerges from its lurking place at some future date, he must be able to point to a sum awarded by a jury sufficient to convince a bystander of the baselessness of the charge. As Windeyer J well said in </w:t>
      </w:r>
      <w:r>
        <w:rPr>
          <w:rFonts w:ascii="arial" w:eastAsia="arial" w:hAnsi="arial" w:cs="arial"/>
          <w:i/>
          <w:color w:val="000000"/>
          <w:sz w:val="20"/>
          <w:lang w:val="en-US" w:eastAsia="en-US" w:bidi="ar-SA"/>
        </w:rPr>
        <w:t xml:space="preserve">Uren v. John Fairfax &amp; Sons Pty Ltd: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properly speaking, a man defamed does not get compensation </w:t>
      </w:r>
      <w:r>
        <w:rPr>
          <w:rFonts w:ascii="arial" w:eastAsia="arial" w:hAnsi="arial" w:cs="arial"/>
          <w:i/>
          <w:color w:val="000000"/>
          <w:sz w:val="20"/>
          <w:lang w:val="en-US" w:eastAsia="en-US" w:bidi="ar-SA"/>
        </w:rPr>
        <w:t>for</w:t>
      </w:r>
      <w:r>
        <w:rPr>
          <w:rFonts w:ascii="arial" w:eastAsia="arial" w:hAnsi="arial" w:cs="arial"/>
          <w:color w:val="000000"/>
          <w:sz w:val="20"/>
          <w:lang w:val="en-US" w:eastAsia="en-US" w:bidi="ar-SA"/>
        </w:rPr>
        <w:t xml:space="preserve"> his damaged reputation. He gets damages </w:t>
      </w:r>
      <w:r>
        <w:rPr>
          <w:rFonts w:ascii="arial" w:eastAsia="arial" w:hAnsi="arial" w:cs="arial"/>
          <w:i/>
          <w:color w:val="000000"/>
          <w:sz w:val="20"/>
          <w:lang w:val="en-US" w:eastAsia="en-US" w:bidi="ar-SA"/>
        </w:rPr>
        <w:t>because</w:t>
      </w:r>
      <w:r>
        <w:rPr>
          <w:rFonts w:ascii="arial" w:eastAsia="arial" w:hAnsi="arial" w:cs="arial"/>
          <w:color w:val="000000"/>
          <w:sz w:val="20"/>
          <w:lang w:val="en-US" w:eastAsia="en-US" w:bidi="ar-SA"/>
        </w:rPr>
        <w:t xml:space="preserve"> he was injured in his reputation, that is simply because he was publicly defamed. For this reason, compensation by damages operates in two ways -- as a vindication of the plaintiff to the public, and as consolation to him for a wrong done. Compensation is here a solatium rather than a monetary recompense for harm measurable in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why it is not necessarily fair to compare awards of damages in this field with damages for personal injuries. Quite obviously, the award must include factors for injury to the feelings, the anxiety and uncertainty undergone in the litigation, the absence of apology, or the reaffirmation of the truth of the matters complained of, or the malice of the defendant. The bad conduct of the plaintiff himself may also enter into the matter, where he has provoked the libel, or where perhaps he has libelled the defendant in reply. What is awarded is thus a figure which cannot be arrived at by any purely objective computation.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[1999] 7 W.W.R. 703</w:t>
        </w:r>
      </w:hyperlink>
      <w:r>
        <w:rPr>
          <w:rFonts w:ascii="arial" w:eastAsia="arial" w:hAnsi="arial" w:cs="arial"/>
          <w:color w:val="000000"/>
          <w:sz w:val="20"/>
          <w:lang w:val="en-US" w:eastAsia="en-US" w:bidi="ar-SA"/>
        </w:rPr>
        <w:t xml:space="preserve"> (B.C.C.A.), leave to appeal to the Supreme Court of Canada ref'd, </w:t>
      </w:r>
      <w:hyperlink r:id="rId854" w:history="1">
        <w:r>
          <w:rPr>
            <w:rFonts w:ascii="arial" w:eastAsia="arial" w:hAnsi="arial" w:cs="arial"/>
            <w:i/>
            <w:color w:val="0077CC"/>
            <w:sz w:val="20"/>
            <w:u w:val="single"/>
            <w:shd w:val="clear" w:color="auto" w:fill="FFFFFF"/>
            <w:lang w:val="en-US" w:eastAsia="en-US" w:bidi="ar-SA"/>
          </w:rPr>
          <w:t>[1998] S.C.C.A. 614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Cole (1998)</w:t>
      </w:r>
      <w:r>
        <w:rPr>
          <w:rFonts w:ascii="arial" w:eastAsia="arial" w:hAnsi="arial" w:cs="arial"/>
          <w:color w:val="000000"/>
          <w:sz w:val="20"/>
          <w:lang w:val="en-US" w:eastAsia="en-US" w:bidi="ar-SA"/>
        </w:rPr>
        <w:t>], the court identified the following aspects of compensatory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compensation for "insult offered and pain given", to borrow the words of Lord Devlin in Rookes v. Barnard, [1964] 1 All E.R. 367 at 413;</w:t>
      </w:r>
    </w:p>
    <w:p>
      <w:pPr>
        <w:numPr>
          <w:numId w:val="6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vindication of reputation;</w:t>
      </w:r>
    </w:p>
    <w:p>
      <w:pPr>
        <w:numPr>
          <w:numId w:val="6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pride and self-confidence - this may just be another way of saying "insult offered and pain given";</w:t>
      </w:r>
    </w:p>
    <w:p>
      <w:pPr>
        <w:numPr>
          <w:numId w:val="6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damage and possible economic damage which may result but which cannot be expressly proven - this is particularly important, in my opinion, in defamation in the mass media.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xml:space="preserve">  With regard to the assessment of the quantum of general damages, the court in </w:t>
      </w:r>
      <w:r>
        <w:rPr>
          <w:rFonts w:ascii="arial" w:eastAsia="arial" w:hAnsi="arial" w:cs="arial"/>
          <w:i/>
          <w:color w:val="000000"/>
          <w:sz w:val="20"/>
          <w:lang w:val="en-US" w:eastAsia="en-US" w:bidi="ar-SA"/>
        </w:rPr>
        <w:t>Leenen</w:t>
      </w:r>
      <w:r>
        <w:rPr>
          <w:rFonts w:ascii="arial" w:eastAsia="arial" w:hAnsi="arial" w:cs="arial"/>
          <w:color w:val="000000"/>
          <w:sz w:val="20"/>
          <w:lang w:val="en-US" w:eastAsia="en-US" w:bidi="ar-SA"/>
        </w:rPr>
        <w:t xml:space="preserve"> at para. 205 outlined the following non-exhaustive list of factors to consider: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defamatory statement;</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accuser;</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breadth of the distribution of the publication of the libel;</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republication of the libel;</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give the audience both sides of the picture and not presenting a balanced review;</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desire to increase one's professional reputation or to increase ratings of a particular program;</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and defendant's counsel through to the end of trial;</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or refusal of any retraction or apology;</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establish a plea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xml:space="preserve">  The breadth of the distribution of the publication is a particularly important factor in internet defamation cases. The posting of the majority of the publications to the BCUC website raises the issue of publication and dissemination on the Internet. This factor was considered by the Ontario Court of Appeal in </w:t>
      </w:r>
      <w:r>
        <w:rPr>
          <w:rFonts w:ascii="arial" w:eastAsia="arial" w:hAnsi="arial" w:cs="arial"/>
          <w:i/>
          <w:color w:val="000000"/>
          <w:sz w:val="20"/>
          <w:lang w:val="en-US" w:eastAsia="en-US" w:bidi="ar-SA"/>
        </w:rPr>
        <w:t>Barrick Gold Corp. v. Lopehandia et al.</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(2004), 239 D.L.R. (4th) 577</w:t>
        </w:r>
      </w:hyperlink>
      <w:r>
        <w:rPr>
          <w:rFonts w:ascii="arial" w:eastAsia="arial" w:hAnsi="arial" w:cs="arial"/>
          <w:color w:val="000000"/>
          <w:sz w:val="20"/>
          <w:lang w:val="en-US" w:eastAsia="en-US" w:bidi="ar-SA"/>
        </w:rPr>
        <w:t xml:space="preserve"> at paras. 30-31, 33-34, </w:t>
      </w:r>
      <w:hyperlink r:id="rId855" w:history="1">
        <w:r>
          <w:rPr>
            <w:rFonts w:ascii="arial" w:eastAsia="arial" w:hAnsi="arial" w:cs="arial"/>
            <w:i/>
            <w:color w:val="0077CC"/>
            <w:sz w:val="20"/>
            <w:u w:val="single"/>
            <w:shd w:val="clear" w:color="auto" w:fill="FFFFFF"/>
            <w:lang w:val="en-US" w:eastAsia="en-US" w:bidi="ar-SA"/>
          </w:rPr>
          <w:t>71 O.R. (3d) 416</w:t>
        </w:r>
      </w:hyperlink>
      <w:r>
        <w:rPr>
          <w:rFonts w:ascii="arial" w:eastAsia="arial" w:hAnsi="arial" w:cs="arial"/>
          <w:color w:val="000000"/>
          <w:sz w:val="20"/>
          <w:lang w:val="en-US" w:eastAsia="en-US" w:bidi="ar-SA"/>
        </w:rPr>
        <w:t xml:space="preserve"> (Ont.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the Internet context, these factors must be examined in the light of what one judge has characterized as the "ubiquity, universality and utility" of that medium.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Thus, of the criteria mentioned above, the mode and extent of publication is particularly relevant in the Internet context, and must be considered carefully. Communication via the Internet is instantaneous, seamless, interactive, blunt, borderless and far-reaching. It is also impersonal, and the anonymous nature of such communications may itself create a greater risk that the defamatory remarks are believed: see </w:t>
      </w:r>
      <w:r>
        <w:rPr>
          <w:rFonts w:ascii="arial" w:eastAsia="arial" w:hAnsi="arial" w:cs="arial"/>
          <w:i/>
          <w:color w:val="000000"/>
          <w:sz w:val="20"/>
          <w:lang w:val="en-US" w:eastAsia="en-US" w:bidi="ar-SA"/>
        </w:rPr>
        <w:t>Vaquero Energy Ltd. v. Weir</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[2004] A.J. No. 84</w:t>
        </w:r>
      </w:hyperlink>
      <w:r>
        <w:rPr>
          <w:rFonts w:ascii="arial" w:eastAsia="arial" w:hAnsi="arial" w:cs="arial"/>
          <w:color w:val="000000"/>
          <w:sz w:val="20"/>
          <w:lang w:val="en-US" w:eastAsia="en-US" w:bidi="ar-SA"/>
        </w:rPr>
        <w:t xml:space="preserve"> (Alta. Q.B.) at para.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These characteristics differentiate the publication of defamatory material on the Internet from publication in the more traditional forms of media, in my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It is true that in the modern era defamatory material may be communicated broadly and rapidly via other media as well. The international distribution of newspapers, syndicated wire services, facsimile transmissions, radio and satellite television broadcasting are but some examples. Nevertheless, Internet defamation is distinguished from its less pervasive cousins, in terms of its potential to damage the reputation of individuals and corporations, by the features described above, especially its interactive nature, its potential for being taken at face value, and its absolute and immediate worldwide ubiquity and accessibility. The mode and extent of publication is therefore a particularly significant consideration in assessing damages in Internet defamation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plaintiffs in addressing the issue of damages make specific mention of publication through the Internet. In my view, the Internet is simply another medium for publication, albeit one with the potential to be far more ubiquitous and accessible than other forms. Although it has the potential to increase damage awards significantly, this is not the inevitable effect of such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xml:space="preserve">  In the case at bar, the publications though made available on the Internet were "broadcast" to a limited audience. The "absolute and immediate worldwide ubiquity and accessibility" noted in </w:t>
      </w:r>
      <w:r>
        <w:rPr>
          <w:rFonts w:ascii="arial" w:eastAsia="arial" w:hAnsi="arial" w:cs="arial"/>
          <w:i/>
          <w:color w:val="000000"/>
          <w:sz w:val="20"/>
          <w:lang w:val="en-US" w:eastAsia="en-US" w:bidi="ar-SA"/>
        </w:rPr>
        <w:t>Barrick</w:t>
      </w:r>
      <w:r>
        <w:rPr>
          <w:rFonts w:ascii="arial" w:eastAsia="arial" w:hAnsi="arial" w:cs="arial"/>
          <w:color w:val="000000"/>
          <w:sz w:val="20"/>
          <w:lang w:val="en-US" w:eastAsia="en-US" w:bidi="ar-SA"/>
        </w:rPr>
        <w:t xml:space="preserve"> was not necessarily present to the same degree here. Presumably, potential readers of the publications would have had to access the BCUC site to read the material in the first place. This is a far cry from publication of defamatory material on a frequently assessed internet message board, as in </w:t>
      </w:r>
      <w:r>
        <w:rPr>
          <w:rFonts w:ascii="arial" w:eastAsia="arial" w:hAnsi="arial" w:cs="arial"/>
          <w:i/>
          <w:color w:val="000000"/>
          <w:sz w:val="20"/>
          <w:lang w:val="en-US" w:eastAsia="en-US" w:bidi="ar-SA"/>
        </w:rPr>
        <w:t>Barrick</w:t>
      </w:r>
      <w:r>
        <w:rPr>
          <w:rFonts w:ascii="arial" w:eastAsia="arial" w:hAnsi="arial" w:cs="arial"/>
          <w:color w:val="000000"/>
          <w:sz w:val="20"/>
          <w:lang w:val="en-US" w:eastAsia="en-US" w:bidi="ar-SA"/>
        </w:rPr>
        <w:t>. There was no evidence that the publications were being replicated throughout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An assessment of damages in a defamation case requires consideration of the nature of the publications and their impact on readers. Arguably, the readers most likely to read the documents posted on the BCUC would quickly realize that the publications had little to do with the interests of the BCUC or those that would have frequented its website. However, notwithstanding the specialized nature of the BCUC website, and presumably its readers, the seriousness of the allegations against the plaintiffs are clear. In my view their impact cannot simply be negated because of their lack of relevance to the BCUC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It is the reputational effect that is determinative no matter what the manner of publication. Arguably, internet publications lack the credibility of traditional newspaper publications. The latter are subject to oversight, editorial review and are expected to provide accurate information. An interesting examination of Canadian and US authorities on this issue can be found in "Damage Awards in Internet Defamation Cases: Reassessing Assumptions About the Credibility of Online Speech", Alberta Law Review, October 2010 by Matthew 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xml:space="preserve">  The October 9 Words and the November 28 Words were published orally. They are actionable as slander. Slander requires proof of special damages unless the publication fits within one of the exceptions for slander per se.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8-23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Slander is generally not actionable without proof of special damages. There are four recognized exceptions to this requirement. These are:</w:t>
      </w:r>
    </w:p>
    <w:p>
      <w:pPr>
        <w:numPr>
          <w:numId w:val="7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oral imputations calculated to disparage the reputation of the plaintiff in the way of his or her work, business, office, calling, trade or profession;</w:t>
      </w:r>
    </w:p>
    <w:p>
      <w:pPr>
        <w:numPr>
          <w:numId w:val="7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accusations imputing the commission of a criminal offence;</w:t>
      </w:r>
    </w:p>
    <w:p>
      <w:pPr>
        <w:numPr>
          <w:numId w:val="7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imputing a loathsome or contagious disease;</w:t>
      </w:r>
    </w:p>
    <w:p>
      <w:pPr>
        <w:numPr>
          <w:numId w:val="7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imputing unchastity to a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Where the publication is a slander per se "the plaintiff need not allege or prove the existence of special damages since the damages are presumed to have been suffered from the very nature of the utterance". This is because "such slanders are either so obviously damaging to the financial position of the victim that pecuniary loss is almost certain, or so intrinsically outrageous that they ought to be actionable even if no pecuniary loss results."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8-24)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xml:space="preserve">  In my view, both the October 9 Words and the November 28 Words fall within the first and second categories and are therefore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without proof of special damages. The first category because it covers all types of occupation or employment including public officials and relates to their conduct in that office and the second category because of the accusation of a crime having been committed.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Aggravated damages, like general damages, are compensatory in nature. They may be awarded where the conduct of the defendant has been outrageous and malicious, increasing the distress suffered by the plaintiff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188-189). Furthermore, a finding of actual malice is required. The malice must have had the effect of increasing the injury to the plaintiff, increasing either the damage to the plaintiff's reputation or the distress and humiliation suffered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xml:space="preserve">  As the Court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stated at para. 191, the factors to take into account in assessing aggravated damages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191 ... was there a withdrawal of the libellous statement made by the defendants and an apology tendered? If there was, this may go far to establishing that there was no malicious conduct on the part of the defendant warranting an award of aggravated damages. The jury may also consider whether there was a repetition of the libel, conduct that was calculated to deter the plaintiff from proceeding with the libel action, a prolonged and hostile cross-examination of the plaintiff or a plea of justification which the defendant knew was bound to fail. The general manner in which the defendant presented its case is also relevant. Further, it is appropriate for a jury to consider the conduct of the defendant at the time of the publication of the libel. For example, was it clearly aimed at obtaining the widest possible publicity in circumstances that were the most adverse possible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Since unlike general damages, liability for aggravated damages is not joint and several, the compensatory damage award can be broken into two components as the plaintiffs' respective individual liability for aggravated damage may differ (</w:t>
      </w:r>
      <w:r>
        <w:rPr>
          <w:rFonts w:ascii="arial" w:eastAsia="arial" w:hAnsi="arial" w:cs="arial"/>
          <w:i/>
          <w:color w:val="000000"/>
          <w:sz w:val="20"/>
          <w:lang w:val="en-US" w:eastAsia="en-US" w:bidi="ar-SA"/>
        </w:rPr>
        <w:t>Brown v. Cole (1998)</w:t>
      </w:r>
      <w:r>
        <w:rPr>
          <w:rFonts w:ascii="arial" w:eastAsia="arial" w:hAnsi="arial" w:cs="arial"/>
          <w:color w:val="000000"/>
          <w:sz w:val="20"/>
          <w:lang w:val="en-US" w:eastAsia="en-US" w:bidi="ar-SA"/>
        </w:rPr>
        <w:t xml:space="preserve"> at para. 80).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Punitive damages do not compensate a party as do general or aggravated damages. They are intended to punish a defendant for his or her conduct, serve as an expression of outrage and act as a deterrent to the defendant and others from acting in such a manner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Home Equity Development</w:t>
      </w:r>
      <w:r>
        <w:rPr>
          <w:rFonts w:ascii="arial" w:eastAsia="arial" w:hAnsi="arial" w:cs="arial"/>
          <w:color w:val="000000"/>
          <w:sz w:val="20"/>
          <w:lang w:val="en-US" w:eastAsia="en-US" w:bidi="ar-SA"/>
        </w:rPr>
        <w:t>, Quijano J. summarized the principles applicable to punitive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At common law, punitive damages are awarded only in a situation where the defendant's conduct is so malicious, oppressive and high handed that it offends the court's sense of decency: </w:t>
      </w:r>
      <w:r>
        <w:rPr>
          <w:rFonts w:ascii="arial" w:eastAsia="arial" w:hAnsi="arial" w:cs="arial"/>
          <w:i/>
          <w:color w:val="000000"/>
          <w:sz w:val="20"/>
          <w:lang w:val="en-US" w:eastAsia="en-US" w:bidi="ar-SA"/>
        </w:rPr>
        <w:t>Hill v. Church of Scientology of Toronto, supra</w:t>
      </w:r>
      <w:r>
        <w:rPr>
          <w:rFonts w:ascii="arial" w:eastAsia="arial" w:hAnsi="arial" w:cs="arial"/>
          <w:color w:val="000000"/>
          <w:sz w:val="20"/>
          <w:lang w:val="en-US" w:eastAsia="en-US" w:bidi="ar-SA"/>
        </w:rPr>
        <w:t>, at 1208.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176 Punitive damages bear no relation to what the plaintiff should receive by way of compensation. Their aim is not to compensate the plaintiff, but rather to punish the defendant. It is the means by which the court expresses outrage at the egregious conduct of the defendant. They are in the nature of a fine which is meant to act as a deterrent to the defendant and to others: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1208.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177 Punitive damages are only to be awarded where the combined award of general and aggravated damages would be insufficient to achieve the goal of punishment and deterrence: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178 The test defined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limits the award to misconduct that represents a marked departure from ordinary standards of reasonable behaviour: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(2002), 209 D.L.R. (4th) 257</w:t>
        </w:r>
      </w:hyperlink>
      <w:r>
        <w:rPr>
          <w:rFonts w:ascii="arial" w:eastAsia="arial" w:hAnsi="arial" w:cs="arial"/>
          <w:color w:val="000000"/>
          <w:sz w:val="20"/>
          <w:lang w:val="en-US" w:eastAsia="en-US" w:bidi="ar-SA"/>
        </w:rPr>
        <w:t>, (S.C.C.) per Binnie, J. at paragraph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179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it was also held, at paragraphs 111 to 126, that a proper award of punitive damages must be rationally proportionate in several dimensions:</w:t>
      </w:r>
    </w:p>
    <w:p>
      <w:pPr>
        <w:numPr>
          <w:numId w:val="7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blameworthiness of the defendant's conduct; including</w:t>
      </w:r>
    </w:p>
    <w:p>
      <w:pPr>
        <w:numPr>
          <w:numId w:val="7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misconduct was planned or deliberate</w:t>
      </w:r>
    </w:p>
    <w:p>
      <w:pPr>
        <w:numPr>
          <w:numId w:val="7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 and motive of the defendant</w:t>
      </w:r>
    </w:p>
    <w:p>
      <w:pPr>
        <w:numPr>
          <w:numId w:val="7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vulnerability of the plaintiff.</w:t>
      </w:r>
    </w:p>
    <w:p>
      <w:pPr>
        <w:numPr>
          <w:numId w:val="7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harm or potential harm specifically directed at the plaintiff.</w:t>
      </w:r>
    </w:p>
    <w:p>
      <w:pPr>
        <w:numPr>
          <w:numId w:val="7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deterrence.</w:t>
      </w:r>
    </w:p>
    <w:p>
      <w:pPr>
        <w:numPr>
          <w:numId w:val="7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other penalties, both civil and criminal, which have been or which are likely to be inflicted on the defendant for the same misconduct.</w:t>
      </w:r>
    </w:p>
    <w:p>
      <w:pPr>
        <w:numPr>
          <w:numId w:val="7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advantage wrongfully gained by the defendant from the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Derrickson</w:t>
      </w:r>
      <w:r>
        <w:rPr>
          <w:rFonts w:ascii="arial" w:eastAsia="arial" w:hAnsi="arial" w:cs="arial"/>
          <w:color w:val="000000"/>
          <w:sz w:val="20"/>
          <w:lang w:val="en-US" w:eastAsia="en-US" w:bidi="ar-SA"/>
        </w:rPr>
        <w:t>, the court addressed the issue of damages generally and the issue of punitive damages as follows at p. 405: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it is my view that such matters are relevant to the assessment of damages, and may have a mitigating effect in the face of what would otherwise be seen as the aggravating features of defamatory statements made in a political context. Acceptance of that approach leads to restraint when non-pecuniary damages are assessed.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that restraint be exercised when assessing damages for defamatory statements made in a political context. The rhetoric of modern political debate is replete with extravagant hyperbole, partisan viewpoints and inaccuracy. The result is that any libel which occurs in such a context is likely to be taken for what it is, and thus to a considerable extent deprived of what would otherwise be its sting. Those defamed in such debate, moreover, necessarily have access to the public platform from which to rebut whatever sting may, in fact, remain.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there is also an important constitutional justification for such restraint. Without it the delicate balance between freedom of expression and protection of reputation may be lost, and that balance has much to do with the survival of the modern democratic political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411: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where liability has been established for defamatory statements made of a public official, in respect of the conduct of such person in an office to which he or she has been elected, the non-pecuniary damages awarded ought to be limited to an amount sufficient to bring clearly to public attention the fact that the allegations were unwarranted, and that no lawful excuse for making them existed. But beyond that, the courts must be careful not to award damages which may tend more to stifle the free expression of opinion than to rehabilitate the reputation of the defamed.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full scope of the circumstances to which this rule ought to be applied must await orderly development on a case-by-case basis. For the purposes of this appeal it is sufficient to say only that it should be applied where it is apparent that excessive zeal has caused ordinary citizens driven by political motivation, and not by calculated malice, to lose sight of the boundary between legitimate comment and actionable defamation. It should perhaps be noted that we are not here dealing with an action in which the media, whose resources and motivation may be entirely different, are sued for having republished such a libel. It may well be that entirely different considerations would apply in such a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more than one defendant is involved, of course, the rule must be considered separately and applied individually on the basis of the motive attributable to each.</w:t>
      </w:r>
    </w:p>
    <w:p>
      <w:pPr>
        <w:numPr>
          <w:numId w:val="7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Punitive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be apparent from all that I have said so far that punitive damages ought rarely to be imposed in those cases to which the political context rule of non-pecuniary general damages is applicable.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The plaintiffs submit that in addition to general damages they are, because of the actual malice of the defendants, entitled to aggravated damages. They assert that the conduct of the defendants prior to the litigation supports this as does their conduct after the action was begun. They submit as well that an additional award of punitive damages is required given the need for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xml:space="preserve">  They note that allegations of criminal conduct weigh in favour of a larger award of damages. The damages in their view must be sufficient to satisfy the principle established in </w:t>
      </w:r>
      <w:r>
        <w:rPr>
          <w:rFonts w:ascii="arial" w:eastAsia="arial" w:hAnsi="arial" w:cs="arial"/>
          <w:i/>
          <w:color w:val="000000"/>
          <w:sz w:val="20"/>
          <w:lang w:val="en-US" w:eastAsia="en-US" w:bidi="ar-SA"/>
        </w:rPr>
        <w:t>Cassell &amp; Co.</w:t>
      </w:r>
      <w:r>
        <w:rPr>
          <w:rFonts w:ascii="arial" w:eastAsia="arial" w:hAnsi="arial" w:cs="arial"/>
          <w:color w:val="000000"/>
          <w:sz w:val="20"/>
          <w:lang w:val="en-US" w:eastAsia="en-US" w:bidi="ar-SA"/>
        </w:rPr>
        <w:t xml:space="preserve"> where, as referred to above, Lord Halisham observed that "in case the libel, driven underground, emerges from its lurking place at some future date, [the plaintiff] must be able to point to a sum awarded by a jury sufficient to convince a bystander of the baselessness of the charge."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The defendants emphasize that damages must be individually assessed and that any award must reflect which defendants are liable and to what individual degrees they should pay damages. They note that there was no evidence of how many people may have viewed the publications on the BCUC website and therefore any award for such publication must be based on a modest assumption. They note that there was no evidence of a loss of popularity and that the re-election of several of the councillors in 2009 is evidence that their popularity did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The defendants state that generally there was a lack of evidence of reaction from those who either received the publications, as in the case of the 5 Page Document, or of those who may have viewed the documents on the BCUC website. As a result, they submit only nominal damages should be awarded.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xml:space="preserve">  The defendants also raise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they state applies to torts generally, including defamation (</w:t>
      </w:r>
      <w:r>
        <w:rPr>
          <w:rFonts w:ascii="arial" w:eastAsia="arial" w:hAnsi="arial" w:cs="arial"/>
          <w:i/>
          <w:color w:val="000000"/>
          <w:sz w:val="20"/>
          <w:lang w:val="en-US" w:eastAsia="en-US" w:bidi="ar-SA"/>
        </w:rPr>
        <w:t>Brown v. Cole (1995)</w:t>
      </w:r>
      <w:r>
        <w:rPr>
          <w:rFonts w:ascii="arial" w:eastAsia="arial" w:hAnsi="arial" w:cs="arial"/>
          <w:color w:val="000000"/>
          <w:sz w:val="20"/>
          <w:lang w:val="en-US" w:eastAsia="en-US" w:bidi="ar-SA"/>
        </w:rPr>
        <w:t xml:space="preserve">). They note that the plaintiffs themselves republished the alleged libel more than once to a wider audience and even made it worse by characterizing it as a bribe. This occurred with respect to the November 6, 2008 letter from the KVC, the Notice to the Haisla from the KVC and the KVC Council Response to Falsehoods publications which are attached respectively as Appendices G and H to these reasons. They assert in doing so the damages flowing from the BCUC letters and the 5 Page Document were caused by such publication by the plaintiffs, not the original publication of them. They submit that whether it 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simply the fact of republication by the plaintiffs, the effect is that the plaintiffs' own republication must be factored into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The plaintiffs assert that such republication was required in order to set the record straight. Certainly, had there been an apology, the plaintiffs would have been entitled to circulate it.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(1996), 65 A.C.W.S. (3d) 884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xml:space="preserve">  I am not satisfied that the republication by the plaintiffs constitutes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However, the nature and extent of the republication is in my view relevant when assessing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 assessment of damages with respect to each individual plaintiff is complicated by the fact that those responsible for the defamatory publications are not the same with respect to each plaintiff. Nor are the defamatory publications the same with respect to each combination of plaintiff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I shall first weigh the factors relevant to the assessment of damages regarding all of the plaintiffs, given they were all defamed as a result of their service as elected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I shall then review the circumstances of each plaintiff before returning to the subject of appropriate damages respecting each plaintiff and each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The circumstances that favour a larger award of damages are:</w:t>
      </w:r>
      <w:r>
        <w:rPr>
          <w:rFonts w:ascii="arial" w:eastAsia="arial" w:hAnsi="arial" w:cs="arial"/>
          <w:sz w:val="20"/>
          <w:lang w:val="en-US" w:eastAsia="en-US" w:bidi="ar-SA"/>
        </w:rPr>
        <w:cr/>
      </w:r>
    </w:p>
    <w:p>
      <w:pPr>
        <w:numPr>
          <w:numId w:val="7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all elected officials in a small community and there is no evidence that they were not of good standing and reputation. The repeated re-election of various plaintiffs from 2001 onward is evidence of their good standing and reputation.</w:t>
      </w:r>
    </w:p>
    <w:p>
      <w:pPr>
        <w:numPr>
          <w:numId w:val="7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publications were directed against the plaintiffs as councillors who also lived in and raised their children in the village. They were known throughout the community.</w:t>
      </w:r>
    </w:p>
    <w:p>
      <w:pPr>
        <w:numPr>
          <w:numId w:val="7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positions as elected officials placed them in a position of trust and as such their reputations as trustworthy and individuals of integrity were particularly important.</w:t>
      </w:r>
    </w:p>
    <w:p>
      <w:pPr>
        <w:numPr>
          <w:numId w:val="7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publications generated considerable public interest in the community.</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generally were of criminal conduct and breach of trust.</w:t>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were posted to the Internet.</w:t>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used the BCUC proceedings as a platform for the publications knowing that their content was irrelevant to those proceedings.</w:t>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their allegations were untrue or were indifferent to the truth of what they were stating and never sought clarification from the plaintiffs respecting their concerns.</w:t>
      </w:r>
    </w:p>
    <w:p>
      <w:pPr>
        <w:numPr>
          <w:numId w:val="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Steve Wilson, the specific targeted nature of the publications.</w:t>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continued their campaign after the litigation commenced.</w:t>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attempted to disrupt and delay the legal proceedings.</w:t>
      </w:r>
    </w:p>
    <w:p>
      <w:pPr>
        <w:numPr>
          <w:numId w:val="9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questioned the intentions of the plaintiffs in this litigation by alleging it to be a SLAPP lawsuit.</w:t>
      </w:r>
    </w:p>
    <w:p>
      <w:pPr>
        <w:numPr>
          <w:numId w:val="9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Janice Switlo, Morris Amos and Allan Williams Sr. were motivated by malice as their dominant purpose.</w:t>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lawyer, Janice Switlo is expected to have an increased awareness of the law.</w:t>
      </w:r>
    </w:p>
    <w:p>
      <w:pPr>
        <w:numPr>
          <w:numId w:val="9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refused to apologize.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There are, however, factors that support a lesser award of damages. These include:</w:t>
      </w:r>
      <w:r>
        <w:rPr>
          <w:rFonts w:ascii="arial" w:eastAsia="arial" w:hAnsi="arial" w:cs="arial"/>
          <w:sz w:val="20"/>
          <w:lang w:val="en-US" w:eastAsia="en-US" w:bidi="ar-SA"/>
        </w:rPr>
        <w:cr/>
      </w:r>
    </w:p>
    <w:p>
      <w:pPr>
        <w:numPr>
          <w:numId w:val="9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Only those with an interest in the BCUC proceedings are likely to access those publications posted to the BCUC website.</w:t>
      </w:r>
    </w:p>
    <w:p>
      <w:pPr>
        <w:numPr>
          <w:numId w:val="9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who would access the website for purposes related to the BCUC proceedings may have been less likely to pay attention to the defamatory publications.</w:t>
      </w:r>
    </w:p>
    <w:p>
      <w:pPr>
        <w:numPr>
          <w:numId w:val="10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that the BCUC publications were linked to other sites on the Internet, hence unlike other cases involving internet publication, they were not repeated to a "vast global audience" (</w:t>
      </w:r>
      <w:r>
        <w:rPr>
          <w:rFonts w:ascii="arial" w:eastAsia="arial" w:hAnsi="arial" w:cs="arial"/>
          <w:i/>
          <w:color w:val="000000"/>
          <w:sz w:val="20"/>
          <w:lang w:val="en-US" w:eastAsia="en-US" w:bidi="ar-SA"/>
        </w:rPr>
        <w:t>Barrick</w:t>
      </w:r>
      <w:r>
        <w:rPr>
          <w:rFonts w:ascii="arial" w:eastAsia="arial" w:hAnsi="arial" w:cs="arial"/>
          <w:color w:val="000000"/>
          <w:sz w:val="20"/>
          <w:lang w:val="en-US" w:eastAsia="en-US" w:bidi="ar-SA"/>
        </w:rPr>
        <w:t xml:space="preserve"> at para. 1).</w:t>
      </w:r>
    </w:p>
    <w:p>
      <w:pPr>
        <w:numPr>
          <w:numId w:val="10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Aside from its publication to counsel for the KVC and plaintiffs, the 5 Page Document was published by mail to a relatively small group consisting of senior public officials who were likely to disregard it.</w:t>
      </w:r>
    </w:p>
    <w:p>
      <w:pPr>
        <w:numPr>
          <w:numId w:val="10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the plaintiffs' republication of the defamatory publications.</w:t>
      </w:r>
    </w:p>
    <w:p>
      <w:pPr>
        <w:numPr>
          <w:numId w:val="10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evidence that Kitamaat Village was politically divided prior to the publication of the defamatory expressions.</w:t>
      </w:r>
    </w:p>
    <w:p>
      <w:pPr>
        <w:numPr>
          <w:numId w:val="10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dispute between the plaintiffs and the defendants had a political context raising issues of freedom of speech.</w:t>
      </w:r>
    </w:p>
    <w:p>
      <w:pPr>
        <w:numPr>
          <w:numId w:val="10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 of the plaintiffs have been re-elected since the defamatory expressions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xml:space="preserve">  Counsel have cited and summarized numerous cases in which damages were awarded in respect of defamation claims. While of some assistance, I note that as the court stated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187, "each libel case is unique ... the assessment of damages in a libel case flows from a particular confluence of [the relevant elements] ... It follows that there is little to be gained from a detailed comparison of libel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 do take from these cases, however, the principles to be applied and that there is a broad range of compensatory awards.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Steve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Steve Wilson is 38 years of age and married with four children. He currently lives in Terrace, B.C. Since graduation from high school, he has worked for the Canada Employment and Immigration Commission, the British Columbia Corrections Branch, the City of Vancouver and as a Canadian Pacific Railway police officer. From 1995 to 1997, he worked as a native court worker and in 1997 became the executive director of an environmental non-governmental non-profit organization in Kitimat, B.C. He remained in that position until 2002 when the position of chief councillor became a full-time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He testified that he was shocked, surprised and very disappointed by the initial letters to the BCUC. He had understood after the September 27 meeting that they had reached agreement and were to work together to stop the divisiveness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With respect to the publication charging him with treason before the alleged traditional court, he was shocked, hurt and angry. He indicated that he was pursuing the lawsuit because there has been a lot of damage to his reputation and at the end of the day he wished to have his name and reputation restored. He wished to have his day in court in order to confront the allegations and force the defendants to prove them. He became depressed, lost weight, felt socially isolated and drank a lot more. In his words "my whole life was turned upside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Overall, he viewed his reputation as damaged by the publications and seeks to have his name and reputation restored.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Margaret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Margaret Grant described her reaction to Letter 2 as one of shock, disbelief and anger. She was stressed and had difficulty sleeping initially. Members of the community stopped speaking to her and it affected the friends that her children spent time with. She felt shunned and that people were giving her the cold shoulder and whispering about her. Entering a room would cause the people to go quiet.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The 5 Page Document summoning her to a tribal court astonished her. She testified that she had never heard of such a court. For six months after the publications, she had difficulty arranging meetings with third parties respecting various band negotiations that were underway. She suffered from insomnia after these events, since resolved.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Jonah (Keith) Nyce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Jonah (Keith) Nyce testified that he was born in Kitimat, B.C. is 56 years of age and lives in Kitamaat Village. He has worked at Alcan since 1973 with time out to attend college and obtain a certificate in business administration. He has been a councillor since June of 2001, was re-elected in 2003 and was deputy chief councillor from 2003 to 2005. In September 2004, he took a leave of absence from Alcan in order to work full-time for the KVC and, after obtaining his diploma, became its executive director in May of 2005. He remained in that position until June 2007 when he was re-elected as a councillor.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His reaction to the publications was dismay and shock, particularly with respect to allegations made regarding the conduct of members of the band council. His testified that he believed that the disagreement had turned into some form of smear campaign. He described the emotional impact as stress, anxiety and sleepless nights. He said he got frequent headaches, became irritable and became reluctant to take part in public activities. He did not wish to go to the community centre because that meant being exposed to those people who believed what was being said about him. His daughter would ask questions about the matter and his mother was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He testified that he is party to this litigation because he wishes to clear his name and that of the band council as the integrity of that institution is important.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Ellis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Ellis Ross is 44 years of age. He was first elected to the KVC in 2003 and was re-elected in 2005, 2007 and 2009. He testified he was shocked, particularly by the 5 Page Document summoning him to the traditional court, a court he had never heard of. In his words it took this matter to a new level and his reaction was one of shock and sadness.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He testified that after all of the work he had done for his community and its youth, his reputation was being attacked. He said he became irritable and he cut back on his recreational activities because people were ignoring him. His relationship with his wife suffered. He had trouble sleeping, nightmares and stomach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The publications generally concerned him. His purpose in suing was to clear his name, to have the allegations cleared.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Kevin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Kevin Stewart is a hereditary chief and has been a band councillor since 2001. He lives in Kitamaat Village. He has been an employee of Alcan for 30 years. He testified that the 5 Page Document summoning him to the tribal court in his words "freaked" him out. He had never heard of such a court and feared for his safety. He did not attend in response because he was afraid to. With respect to the publications referring to him, he was upset as the allegations were not true. He stated that his purpose in suing was to clear his name and to stop the chaos going on in their community. He viewed the elders as being used and abused. The attacks contained in the publications were in his opinion damaging the council's reputation and that of the Haisla Nation's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He testified that none of the defendants has ever apologized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He described being stressed and depressed. That has led to disagreements with his spouse. He has had trouble sleeping and avoided going out. He has cut back on his recreational activities.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Rod Bolton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Rod Bolton was unable to attend the trial due to health issues. However, by agreement of counsel and the court his evidence was taken before a court reporter on February 12, 2010 and the transcript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He resides in the village and was born January 7, 1940. He is married with four adult children. Now retired, he had worked for Alcan for 32 years. He has served on the band council for a total of approximately 16 years. He was last elected in 2007 and chose not to run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He described the 5 Page Document as making him angry and upset. He testified it lead him to experience ongoing sleeplessness and he ceased eating properly. He said even up to February 12, 2010 he was still upset and hurt over it. With respect to the remaining publications, he had taken a leave from council due to a diagnosis of cancer and hence had not attended council meetings in 2007 when those publications were received.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Ken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Ken Hall was born in Kitamaat Village in December 1937. He is retired and continues to reside in the village. He was first elected to the band council in 1987 and except for a couple of terms remained on council until the June 2009 election when he lost his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He testified that he had difficulty believing what was occurring as the defamatory publications kept arriving. He stated he tried to deal with it by not thinking about it when at home. He found it disturbing in its impact on his community. He became a party to this lawsuit in the hope that it could bring an end to the effect of the defamatory publications on the community.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Alex Grant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Alex Grant Sr. is 53 years of age. He has worked at Alcan since 1973. He became a member of the KVC in 1999 or 2000 in a by-election and he was re-elected in 2001, 2003, 2005, 2007 and 2009. He stated that the defamatory publications were shocking to him. As they continued to emerge, he did not know what to think or expect next. His sleep suffered and he limited his activities in the community because "people viewed us differently". When he attended at the recreational centre he felt the hatred directed towards him. He testified it has affected his friendships. With respect to the 5 Page Document concerning the traditional court, he said he had never heard of it and found the accusations unbelievable.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He testified that he has taken part in the lawsuit in order to clear his name of the false accusations.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Godfrey Grant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Godfrey Grant Jr. is also 54 years of age. He has worked at Alcan since his graduation from high school. He was first elected to the KVC in 2005. He was re-elected in 2007 and 2009. He lives in Kitamaat Village. He stated that the effect of the defamatory publications was that he was angry. Members of the community shunned him and friends of 40 years stopped speaking to him. He testified that he did not sleep well anymore and that his wife had gone "into hiding".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Henry Amos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Henry Amos Sr. is a hereditary chief. He is retired from Alcan where he had worked for 36 years. He was elected to the KVC in 2007 and 2009. He described the disagreements in the community becoming more divisive after the publications occurred. He said the situation became ugly, he had an emotional breakdown at Christmas of 2007 and feels scarred by what occurred. He felt that people treated him differently. He said he was party to the lawsuit to clear his name in order to establish that he had done nothing wrong. In particular, he wanted his children and grandchildren to understand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Although Janice Switlo, Morris Amos, Allan Williams Sr. and Harvey Grant Sr. contributed in different combinations and degrees they are equally responsible for the overall harm generated by the publications as a whole. With respect to Jennifer Grant Howard her liability is founded in the November 28 Words alone. Taking into account the principles noted earlier and the circumstances of each plaintiff I assess general damages as follows:</w:t>
      </w:r>
      <w:r>
        <w:rPr>
          <w:rFonts w:ascii="arial" w:eastAsia="arial" w:hAnsi="arial" w:cs="arial"/>
          <w:sz w:val="20"/>
          <w:lang w:val="en-US" w:eastAsia="en-US" w:bidi="ar-SA"/>
        </w:rPr>
        <w:cr/>
      </w:r>
    </w:p>
    <w:p>
      <w:pPr>
        <w:numPr>
          <w:numId w:val="10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Wilson was the primary target of the defendants. He was the sole plaintiff who was defamed by each and every publication. In addition he was chief councillor and hence bore the brunt of the allegations. I assess general damages in his favour of $20,000 as against Janice Switlo, Morris Amos, Allan Williams Sr. and Harvey Grant Sr., who are jointly and severally liable for such damages;</w:t>
      </w:r>
    </w:p>
    <w:p>
      <w:pPr>
        <w:numPr>
          <w:numId w:val="10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Margaret Grant was also specifically targeted for her involvement in the rubber stamp issue. I assess general damages in her favour of $10,000 as against Janice Switlo, Morris Amos, Harvey Grant Sr. and Allan Williams Sr. also jointly and severally;</w:t>
      </w:r>
    </w:p>
    <w:p>
      <w:pPr>
        <w:numPr>
          <w:numId w:val="10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Stewart, like Margaret Grant, was specifically targeted. I assess general damages in his favour of $10,000 jointly and severally, as against Janice Switlo, Morris Amos, Harvey Grant Sr. and Allan Williams Sr.;</w:t>
      </w:r>
    </w:p>
    <w:p>
      <w:pPr>
        <w:numPr>
          <w:numId w:val="10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remaining plaintiffs, namely, Jonah (Keith) Nyce, Ellis Ross, Rod Bolton, Ken Hall, Alex Grant Sr., Godfrey Grant Jr. and Henry Amos Sr., I assess general damages of $7,000 each against Janice Switlo, Morris Amos, Harvey Grant Sr. and Allan Williams Sr., also jointly and severally;</w:t>
      </w:r>
    </w:p>
    <w:p>
      <w:pPr>
        <w:numPr>
          <w:numId w:val="1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$2,000 are assessed in favour of each of the plaintiffs against Jennifer Grant Howard who orally published the November 28 Words and against whom default judgment was taken.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In my view, the conduct of Morris Amos and Janice Switlo increased the humiliation and distress suffered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188 and 189). I refer as well to my finding above that Morris Amos, Janice Switlo and Allan Williams Sr. were actuated by express malice. Their conduct warrants an award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With respect to Janice Switlo as a lawyer, her uncritical adoption of information provided to her, her refusal to accept contrary instructions and her preparation of Letters 1 to 9 warrants an award against her for aggravated damages of $2,000 to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As previously found, Morris Amos was the instigator of the campaign against the plaintiffs. He manipulated others and continued his actions after these proceedings were commenced and served and continued to obstruct and attempt to frustrate these proceedings up to and including the first day of trial. I award aggravated damages of $2,000 in favour of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As noted earlier, Alan Williams Sr. never wavered from his initial position and like Morris Amos continued to support the campaign against the plaintiffs up to and including the legal proceedings. I award the sum of $2,000 against Alan Williams Sr. in favour of each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In my view, "the combined award of general and aggravated damages" is sufficient to punish and deter the defendants Janice Switlo, Allan Williams Sr., Harvey Grant Sr., and Jennifer Grant Howard. As a result, I decline to award punitive damages with respect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However, in my view the situation with Morris Amos differs. Morris Amos is primarily responsible for what occurred in this case. For his purposes he enlisted the assistance of others to further his own aims. His conduct continued after the litigation commenced and indeed up to and including the first day of trial when he appeared, made a statement denying the court's jurisdiction and left. He has deepened the rift in the community and he instigated the events that caused the resulting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xml:space="preserve">  The nature and seriousness of the defamatory statements, the failure of Morris Amos to inquire of the plaintiffs as to the facts, the absence of an apology, the continuation of publication of defamatory documents after the litigation was commenced along with his improper motive in my view justify an award of punitive damages against Morris Amos. Such an award will send a message that this kind of conduct will not be condoned. I say this bearing in mind the comments of Wood J.A. in </w:t>
      </w:r>
      <w:r>
        <w:rPr>
          <w:rFonts w:ascii="arial" w:eastAsia="arial" w:hAnsi="arial" w:cs="arial"/>
          <w:i/>
          <w:color w:val="000000"/>
          <w:sz w:val="20"/>
          <w:lang w:val="en-US" w:eastAsia="en-US" w:bidi="ar-SA"/>
        </w:rPr>
        <w:t>Derrickson</w:t>
      </w:r>
      <w:r>
        <w:rPr>
          <w:rFonts w:ascii="arial" w:eastAsia="arial" w:hAnsi="arial" w:cs="arial"/>
          <w:color w:val="000000"/>
          <w:sz w:val="20"/>
          <w:lang w:val="en-US" w:eastAsia="en-US" w:bidi="ar-SA"/>
        </w:rPr>
        <w:t xml:space="preserve"> respecting punitive damages rarely being imposed where political discourse is involved. However, in my opinion this is one of those cases, given the malice of Morris Amos, as the defamatory statements were themselves subversive of political discourse.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As a result, I award punitive damages in favour of all of the plaintiffs of $10,000 against Morris Amos, that is $1,000 in favour of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Injunctive relief should not limit legitimate public discourse on matters involving these parties. However, the conduct of the defendants Janice Switlo and Morris Amos leads me to the view that they should be enjoined from making any defamatory statements concerning the plaintiffs. Given Morris Amos' propensity to use others to achieve his aims, the order shall also prohibit him, his agents, servants or anyone on his behalf from publishing, causing to be published on the Internet or by any other medium any defamatory statements referring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The defendants Allan Williams Sr., Morris Amos, Sandra Robinson, Wendy Bolton and Harvey Grant Sr. have counterclaimed against the plaintiffs for defamation with respect to a press release circulated throughout Kitamaat Village and posted on www.haisla.ca.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Janice Switlo withdrew her counterclaim. Jennifer Grant Howard has not counterclaimed.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There is no dispute that the defendants published the impugned document on October 31, 2007, five days after the writ in this case was filed. In the document, the KVC advised members of the Haisla Band of the decision to initiate these proceedings and provided their reasons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The press release, with the complained of words emphasized,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Kitamaat Village Council files legal action over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false and defamatory accusations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Kitamaat Village, B.C.</w:t>
      </w:r>
      <w:r>
        <w:rPr>
          <w:rFonts w:ascii="arial" w:eastAsia="arial" w:hAnsi="arial" w:cs="arial"/>
          <w:color w:val="000000"/>
          <w:sz w:val="20"/>
          <w:lang w:val="en-US" w:eastAsia="en-US" w:bidi="ar-SA"/>
        </w:rPr>
        <w:t xml:space="preserve"> -- the Kitamaat Village Council, Chief Councillor Steve Wilson, Deputy-Chief Councillor Margaret Grant, and Councillors Jonah (Keith) Nyce, Ellis Ross, Kevin Stewart, Rod Bolton, Ken Hall, Alex Grant Sr., Godfrey Grant Jr. and Henry Amos Sr. -- announced today that they are taking legal proceedings in BC Supreme Court over unjustified and serious libels which were circulated recently in this community, in the City of Kitimat, and elsewhere in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to sue was not taken lightly.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careful consideration, the Council Members concluded they had no choice but </w:t>
      </w:r>
      <w:r>
        <w:rPr>
          <w:rFonts w:ascii="arial" w:eastAsia="arial" w:hAnsi="arial" w:cs="arial"/>
          <w:b/>
          <w:color w:val="000000"/>
          <w:sz w:val="20"/>
          <w:lang w:val="en-US" w:eastAsia="en-US" w:bidi="ar-SA"/>
        </w:rPr>
        <w:t>to take effective action to halt the campaign of vicious personal attacks which has caused so much damage over the years to this community and is now threatening to cause irreparable harm to the community's collective future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libel lawsuit is not about suppressing free speech.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Council members are more than prepared to submit to honest, fair and balanced criticism based on true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are not prepared, however, to stand by while others </w:t>
      </w:r>
      <w:r>
        <w:rPr>
          <w:rFonts w:ascii="arial" w:eastAsia="arial" w:hAnsi="arial" w:cs="arial"/>
          <w:b/>
          <w:color w:val="000000"/>
          <w:sz w:val="20"/>
          <w:lang w:val="en-US" w:eastAsia="en-US" w:bidi="ar-SA"/>
        </w:rPr>
        <w:t>publish intolerable terrible slurs against their reputation which have no foundation in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Council members place great value on their good reputations which they well-deserve and which has long been exemplified by their positive contributions to the interest of the community they were elected to serve.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vicious libels -- which do not bear repeating here -- appear to be primarily the work of one Janice Switlo, an ex-lawyer who apparently lives in Alberta and has injected herself into internal band affairs.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is not the only defendant, however, because </w:t>
      </w:r>
      <w:r>
        <w:rPr>
          <w:rFonts w:ascii="arial" w:eastAsia="arial" w:hAnsi="arial" w:cs="arial"/>
          <w:b/>
          <w:color w:val="000000"/>
          <w:sz w:val="20"/>
          <w:lang w:val="en-US" w:eastAsia="en-US" w:bidi="ar-SA"/>
        </w:rPr>
        <w:t>some members of the community have allowed themselves to become participants in her recent campaign of defamation, which is very harmful not only to the individual Councillors who have filed the lawsuit, but also to the community generally The lawsuit asks the Court to order the defendants to cease their unfair and injurious attacks on Council and its individual members who are named in the writ of summons that was filed last Friday.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not a case about money, </w:t>
      </w:r>
      <w:r>
        <w:rPr>
          <w:rFonts w:ascii="arial" w:eastAsia="arial" w:hAnsi="arial" w:cs="arial"/>
          <w:b/>
          <w:color w:val="000000"/>
          <w:sz w:val="20"/>
          <w:lang w:val="en-US" w:eastAsia="en-US" w:bidi="ar-SA"/>
        </w:rPr>
        <w:t>although it is clear that the libels are calculated to cause very substantial financial loss to the plaintiffs and to this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lawsuit is brought to vindicate reputation and the plaintiffs intend to take all necessary steps to ensure that this matter comes before a trial court at the earliest opportunity.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For more information, please contact: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Steve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Chief Councillor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Kitamaat Village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The counterclaiming defendants allege that the above meant and was understood to mean that the defendants had spread vicious and dishonest rumors intending to cause damage to others in their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In reply, the plaintiffs deny that the press release is defamatory and state that the press release did not bear and was not understood to bear and was not capable of bearing the alleged meanings. In the alternative, the plaintiffs state that the press release was published without malice and on an occasion of qualified privilege. The plaintiffs also claim that the words complained of in the counterclaim are true in substance and in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Press Release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As a matter of law, I am satisfied that the complained of words are capable of carrying a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I am further satisfied that the document is defamatory in fact. The press release alleges that Janice Switlo and "some members of the community" engaged in a vicious campaign to harm the reputation of the plaintiffs. This allegation would tend to lower the reputation of the impugned individuals in the estimation of reasonable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However, the defendants must also establish that the words in fact referred to them. I have discussed above the principles applicable to determining whether defamatory words refer to the individual in question (see discussion above under "Defamation of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I accept that the words are, as a matter of law, capable of referring to the defendants. The question is whether they do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In this regard, the plaintiffs submit that there is insufficient context upon which to conclude that the words would be reasonably understood to be defamatory of the defendants. They note that document refers to "some members of the community" but is not more specific. They argue that there was no evidence that the lawsuit was a matter of public record, nor whether the statement of claim or pleadings were circulating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They note as well the fact that there was no plea of legal innuendo respecting the identification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xml:space="preserve">  Applying the principles laid out in </w:t>
      </w:r>
      <w:r>
        <w:rPr>
          <w:rFonts w:ascii="arial" w:eastAsia="arial" w:hAnsi="arial" w:cs="arial"/>
          <w:i/>
          <w:color w:val="000000"/>
          <w:sz w:val="20"/>
          <w:lang w:val="en-US" w:eastAsia="en-US" w:bidi="ar-SA"/>
        </w:rPr>
        <w:t>Manno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Bou Malhab</w:t>
      </w:r>
      <w:r>
        <w:rPr>
          <w:rFonts w:ascii="arial" w:eastAsia="arial" w:hAnsi="arial" w:cs="arial"/>
          <w:color w:val="000000"/>
          <w:sz w:val="20"/>
          <w:lang w:val="en-US" w:eastAsia="en-US" w:bidi="ar-SA"/>
        </w:rPr>
        <w:t>, any reasonable persons knowing the defendants, would have concluded that this document in fact refers to them. In arriving at this conclusion, I have taken into account that Kitamaat Village is small, both in area and in population. Given the lawsuit was filed only a few days before the newsletter was published and was in fact a matter of public record, it is improbable that the residents of the village were not aware of its existence and of the identities of the plaintiffs and defendants. I am satisfied that the filing of the lawsuit would have been significant news in the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 am satisfied that the document was published, both through widespread circulation in Kitamaat Village and posting on the website www.haisla.ca.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The counterclaim is therefore established, subject to any defences as discussed immediately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"Attack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The plaintiffs submit that a defence of "attack privilege" applies in respect of the press release. The plaintiffs say that attack privilege is the right to respond by way of vindication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13-185 and 13-186). They say that a response may be communicated to the public generally if the original defamation was launched in a forum to which the public generally has access (</w:t>
      </w:r>
      <w:r>
        <w:rPr>
          <w:rFonts w:ascii="arial" w:eastAsia="arial" w:hAnsi="arial" w:cs="arial"/>
          <w:i/>
          <w:color w:val="000000"/>
          <w:sz w:val="20"/>
          <w:lang w:val="en-US" w:eastAsia="en-US" w:bidi="ar-SA"/>
        </w:rPr>
        <w:t>Sullivan Entertainment Group Inc. v. Butler</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(2004), 69 O.R. (3d) 354</w:t>
        </w:r>
      </w:hyperlink>
      <w:r>
        <w:rPr>
          <w:rFonts w:ascii="arial" w:eastAsia="arial" w:hAnsi="arial" w:cs="arial"/>
          <w:color w:val="000000"/>
          <w:sz w:val="20"/>
          <w:lang w:val="en-US" w:eastAsia="en-US" w:bidi="ar-SA"/>
        </w:rPr>
        <w:t xml:space="preserve">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On consideration of the authorities, my view is that what the plaintiff's term "attack privilege" is a qualified privilege that arises where a person seeks to defend and protect his or 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xml:space="preserve">  In the particular context of protecting personal interests and reputation,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13-182 to 13-187 describes this occasion of qualified privilege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"privilege to hit back when one's reputation is attacked." A person has a right, within limits, to defend himself or herself against false accusations. This privilege has been likened to a man's right of self-defence in criminal law. Where a defendant is attacked by another, he or she is privileged to meet the attack with an appropriate rejoinder. ... A person, or someone acting on his or her behalf, is entitled to respond by way of vindication. ... He or she may deny or explain the defamatory matter, correct any misstatements, reflect adversely on the assailant, label a personal attack as a "lie" and the attacker as a "liar", "attack in proper language the accuracy of the conclusions", "impugn the truth of the charges", question the purity of the accuser's motives, and, in an appropriate case, even defame the assailant in the process.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However, as with others forms of qualified privilege, its scope is limited to statements that are reasonably appropriate in the context of the circumstances existing on the occasion when that information was given. That is, the immunity is limited to the reasonable necessities of the case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13-191).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states further at 13-192 to 13-194, that it must be shown that the defamatory expression was in response to an initial attack that was untrue; the qualified privilege does not protect the response to valid criticism.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Given my findings in favour of the plaintiffs, their response to the counterclaim was a response to an untrue attack, not to valid criticism. It was reasonably appropriate to the occasion and as such, it is protected by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The counterclaim is therefore dismissed. In these circumstances, I decline to grant an injunction restraining the plaintiffs from publishing defamatory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the plaintiff Kitamaat Village Council is dismissed.</w:t>
      </w:r>
    </w:p>
    <w:p>
      <w:pPr>
        <w:numPr>
          <w:numId w:val="1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plaintiffs against Sandra Robinson and Wendy Bolton are dismissed.</w:t>
      </w:r>
    </w:p>
    <w:p>
      <w:pPr>
        <w:numPr>
          <w:numId w:val="1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publications were, as detailed above, defamatory of the plaintiffs.</w:t>
      </w:r>
    </w:p>
    <w:p>
      <w:pPr>
        <w:numPr>
          <w:numId w:val="1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in the sum of $20,000 in favour of Steve Wilson are assessed against Janice Switlo, Morris Amos, Allan Williams Sr. and Harvey Grant Sr., jointly and severally.</w:t>
      </w:r>
    </w:p>
    <w:p>
      <w:pPr>
        <w:numPr>
          <w:numId w:val="1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in the sum of $10,000 in favour of Margaret Grant are assessed against Janice Switlo, Morris Amos, Allan Williams Sr. and Harvey Grant Sr., jointly and severally.</w:t>
      </w:r>
    </w:p>
    <w:p>
      <w:pPr>
        <w:numPr>
          <w:numId w:val="1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in the sum of $10,000 in favour of Kevin Stewart are assessed against Janice Switlo, Morris Amos, Allan Williams Sr. and Harvey Grant Sr., jointly and severally.</w:t>
      </w:r>
    </w:p>
    <w:p>
      <w:pPr>
        <w:numPr>
          <w:numId w:val="1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in the sum of $56,000 ($7,000 each) in favour of Jonah (Keith) Nyce, Ellis Ross, Rod Bolton, Ken Hall, Alex Grant Sr., Godfrey Grant Jr. and Henry Amos Sr. are assessed against Janice Switlo, Morris Amos, Allan Williams Sr. and Harvey Grant Sr., jointly and severally.</w:t>
      </w:r>
    </w:p>
    <w:p>
      <w:pPr>
        <w:numPr>
          <w:numId w:val="1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in the sum of $2,000 against Jennifer Grant Howard in favour of the plaintiffs.</w:t>
      </w:r>
    </w:p>
    <w:p>
      <w:pPr>
        <w:numPr>
          <w:numId w:val="1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assessed against Morris Amos in favour of the plaintiffs in the sum of $2,000 each.</w:t>
      </w:r>
    </w:p>
    <w:p>
      <w:pPr>
        <w:numPr>
          <w:numId w:val="1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assessed against Janice Switlo in the sum of $2,000 in favour of each plaintiff.</w:t>
      </w:r>
    </w:p>
    <w:p>
      <w:pPr>
        <w:numPr>
          <w:numId w:val="1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assessed against Allan Williams Sr. in favour of the plaintiffs in the sum of $2,000 each.</w:t>
      </w:r>
    </w:p>
    <w:p>
      <w:pPr>
        <w:numPr>
          <w:numId w:val="1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plaintiffs for punitive damages are granted in the sum of $10,000 as against Morris Amos but dismissed as against the remaining defendants.</w:t>
      </w:r>
    </w:p>
    <w:p>
      <w:pPr>
        <w:numPr>
          <w:numId w:val="1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a permanent injunction restraining Janice Switlo and Morris Amos from making defamatory statements concerning the plaintiffs is granted in the terms set out above. The claim for injunctive relief restraining the remaining defendants is dismissed.</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is dismissed.</w:t>
      </w:r>
    </w:p>
    <w:p>
      <w:pPr>
        <w:numPr>
          <w:numId w:val="1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are entitled to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If the parties are unable to agree on costs they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4" type="#_x0000_t75" style="width:432.06pt;height:489.07pt">
            <v:imagedata r:id="rId86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 Appendixes are as originally written including all spelling and grammatical errors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B - Letter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Utilities Commission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Howe Street, Box 250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Sixth Floor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2N3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Via email: Commission Secretary BCUC: EX [Commission.Secretary@bcuc.com]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Sirs/Mesdames: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British Columbia Utilities Commission in the Matter of the Utilities Act,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And A Filing by British Columbia Hydro and Power Authority of the 2007 Electricity Purchase Agreement with Alcan Inc. as an Energy Supply Contract Pursuant to Section 71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Submissions of Haisla Hereditary Chiefs and Janice G.A.E. Switlo (C12-2)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Haisla assets, underlying title in the whole, are divided into possession areas, wa'wais, by clan in accordance with their Indigenous laws and continuing institution(s). Each Haisla name is associated with a particular clan and can be given only to a member of that clan. Some of these clan names carry prerogatives, such as use and possession, control and protection -- "ownership" of a wa'wais. The way for non-Haisla to try to think of it is in terms of estates or interests in Her Majesty's assets. Within Haisla, each clan's territory is thus divided into wa'wais areas. A wa'wais is a watershed, owned by the one who holds the particular clan name, which entails possession of the wa'wais. Thus each wa'wais belongs to a clan and is also individually owned by the member of that clan who is the wa'wais owner's name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can today relate that there are five Haisla clans, Beaver, Eagle, Killer whale, Fish (Fish Clan comes under the wing of the Killer Whale Clan in the feast hall), and Raven, and fifty-four Haisla wa'waises (I hope I have the plural correct). Individuals own wa'wais areas just as they own their names, but they cannot dispose of their wa'wais in a way that would alienate these clan possessions from the clan, and certainly cannot act in any way that endangers Haisla territorial integrity or Haisla and their assets. The owner of a wa'wais has the right to determine how the territory is used, who uses it. Haisla community sanctioned rights to exact punishment for trespassing, poaching, and waste or abuse of resources in their wa'wais have come to be interfered with but remain part of their Indigenous laws and certainly have not been abandoned. But permitted uses are also subject to Haisla canons of generosity, "sharing," such dictating that anyone who properly and respectfully sought permission from the proper party(ies) to, for example, harvest in his wa'wais or receive the gift(s) of animals (hunting in accordance with spiritual Indigenous laws) would likely be given that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Foreign threat to Haisla and Haisla territorial integrity invokes the chieftainship hierarchy whereby the highest ranking chief must act to deal with the threat, particularly where petitioned by the wa'wais owner. Where that Hereditary Chief(s) for any reason fails to act, or worse acts to abdicate their positions and/or threaten the nation by their actions, other Hereditary Chiefs, "Hai'mus," must intervene and act. For ease of my time constraint in preparing this and in no manner meaning disrespect and for ease of the various readers, I refer to "Hereditary Chief(s)" as required 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appreciate that it is important to confirm who is acting in what capacity and that there has been no time for me to properly assess this since being contacted by Hereditary Chiefs and their helper for my help. There is still due diligence to be conducted and it is not ever a simple matter. In my attempts to confirm who is to speak on this matter in such limited time, I have heard of the allegation of possibly some intimidation as the result of a meeting allegedly called by the Indian Act Chief and/or Council immediately after the letter seeking intervener status was provided in this matter, allegedly without permitting their helper(s) to attend. Thus there is a need to clarify if anything has changed in terms of certain Hereditary Chiefs, especially those who may he initiated participation and to confirm precisely for whom this also speaks.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Anticipating such internal matters, as it is commonplace in my experience, in order to prevent any delay and to facilitate this matter consistent with the timeframes so ordered, I also speak in personal capacity. In any event, regardless of the actual number, rank, clan, adherence to duty or not, of Hereditary Chiefs that may occur or shift, the submissions remain the same and the consistency that allows movement forward without being crippled by any internal political or other efforts is in my participation.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may even be relations I am advised that due to commitments between Indigenous nations would require the involvement of their Hereditary Chiefs, to protect, but again, that would not change the submissions as to the substantive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handbook of Indians of Canada (1912), Haisla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three Kwakiut dialetic divisions, embracing the Kitimat (Haisla proper) and the Kitlope-Boas in Rep. Nat. Mus., 328, 1895"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my intention to limit evidence to only that necessary in terms of persons appearing. At the relevant time(s), the witness will explain their capacity (title, rank, authorities) and ability to speak. It can also be a function of health at the relevant times, financial capacities, ability to travel, any intervening duties, etc and so it is important to anticipate such things. That is why an oral hearing in this matter was requested, as well as to satisfy principles of natural, justice as the submission discusses further below. Whomever it ends up being, the ability to cross-examine is not undermined my otherwise have occurred through a written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understand there are nineteen Indian reserves set aside for the Haisla Indian Band, ten of which under 10 hectares in size. But the Schedule of Indian Bands, Reserves and Settlements, Indian And Northern Affairs, December 1990, lists only seventeen. It also shows the name of the Indian band as "Kitamaat," Indian Band number 676. There is reference also to "Haisla Indian Band" as well the Indian Band's Indian At Chief and Council referred to as "Kitamaat Village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know if there has been a legal Indian band name change. It is common practice for Indian bands to simple use another name, for example, tacking on "First Nation" used to be common, without there being effected an actual legal change. This is information that Donovan &amp; Company may later provide depending on who their client actually is. More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contract is an energy supply contract to B.C. Hydro. I do not believe that electricity that is the subject of the Electricity Purchase Agreement is being generated by Alcan on any of them but if they are, then the Indian Act Chief and Council does have administrative responsibility under the Indian Act. That cannot, however be exercised in any manner detrimental to the Haisla or contrary to the responsibilities of the Haisla Hereditary Chiefs and Haisla laws, appreciating that the Indian Act interferes in Haisla.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speak of an Indian band. I speak of an Indigenous nation. Haisla.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avoid using the term "Haisla Nation" for the obvious that Donovan &amp; Company purports to represent registered intervener, "Haisla Nation," so as to avoid confusion for the readers.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Commission requests that the Haisla Hereditary Chiefs (Exhibit C12-1) provide clarification of the role, authority and constituency of the Haisla Hereditary Chiefs relative to the </w:t>
      </w:r>
      <w:r>
        <w:rPr>
          <w:rFonts w:ascii="arial" w:eastAsia="arial" w:hAnsi="arial" w:cs="arial"/>
          <w:i/>
          <w:color w:val="000000"/>
          <w:sz w:val="20"/>
          <w:lang w:val="en-US" w:eastAsia="en-US" w:bidi="ar-SA"/>
        </w:rPr>
        <w:t>Haisla First Nation.</w:t>
      </w:r>
      <w:r>
        <w:rPr>
          <w:rFonts w:ascii="arial" w:eastAsia="arial" w:hAnsi="arial" w:cs="arial"/>
          <w:color w:val="000000"/>
          <w:sz w:val="20"/>
          <w:lang w:val="en-US" w:eastAsia="en-US" w:bidi="ar-SA"/>
        </w:rPr>
        <w:t xml:space="preserve"> The Haisla hereditary Chiefs are also provided by this letter, an opportunity to file in writing, by Wednesday, October 3, 20007, any submissions they wish to make with regard to the Commission's role </w:t>
      </w:r>
      <w:r>
        <w:rPr>
          <w:rFonts w:ascii="arial" w:eastAsia="arial" w:hAnsi="arial" w:cs="arial"/>
          <w:i/>
          <w:color w:val="000000"/>
          <w:sz w:val="20"/>
          <w:lang w:val="en-US" w:eastAsia="en-US" w:bidi="ar-SA"/>
        </w:rPr>
        <w:t>regarding the adequacy of consultation and accommodation."</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"Haisla First Nation." Such a legal entity has not been created by federal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there has been a legal name change to the subject Indian Band, then their legal name would be "Haisla First Nation Indian Band." "First Nations" are not created pursuant to federal legislation unless there is a concluded final land claims settlement agreement to directing or a self-government agreement, such as in the case of Westbank Indian Band, which legally thereafter federal legislation to implement the self-government agreement, Westbank First Nation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Offence is taken by usage of the heading by the Commission of "First Nations" to reflect certain interveners as well as an assuming of issues not actually in issue, as the below illustrates. I appreciate no ill-will was intended but the Commission is now so advised. Natural justice requires that no conclusions or statements of fact be made before parties have the opportunity for input as to the actual issues, which the herein serves to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discussion is crucial to the critical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"Who is Donovan &amp; Company actually representing?" Who is the actual intervener for whom they speak?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Their client is most certainly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"Haisla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From where do their instructions issue? May it be presumed the Indian Act Chief Steven Wilson? Hereditary Chiefs' canvass of the community members suggests that a Band Council Resolution ("BCR") does not allegedly even exist that would allow Donovan and Company to say they represent the Chief and Council of the Haisla Indian Band. But in any event, a BCR is easy enough to come up with at any time regardless if the proper process for calling meeting etc was done as per Indian Act requirements. If doesn't exist -- and it is reminded that there are band office staff etc. who see things, it would be far better for Donovan and Company to obtain a BCR ratifying the chief's earlier unilateral decision t instruct them, if indeed that is the case. In which case, Donovan and Company would be representing the Indian Band Chief 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nothing in the Indian Act that provides mandates to Indian Act chiefs and councils in any matter off-reserve and Haisla Hereditary Chiefs do not recognize that unconstitutional interference with their sovereign governance. They remain, they do not abandon.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am advised that Haisla Hereditary Chiefs provided a mandate to the Indian Band Chief and Council to pursue the BC Treaty Process through a filing of a Statement of Intent. (I am also advised that consideration may be underway to revoke that mandate.) That mandate does not extend for other purposes and certainly does not extend to dealings with Haisla assets. Even in the dealing of Indian Band assets, Chief and council cannot deal with band assets for all purposes and need where those assets are significant or actions may have a significant impact on band assets, must go to the people for approval, for the mandate, before proceeding. See </w:t>
      </w:r>
      <w:r>
        <w:rPr>
          <w:rFonts w:ascii="arial" w:eastAsia="arial" w:hAnsi="arial" w:cs="arial"/>
          <w:i/>
          <w:color w:val="000000"/>
          <w:sz w:val="20"/>
          <w:lang w:val="en-US" w:eastAsia="en-US" w:bidi="ar-SA"/>
        </w:rPr>
        <w:t>Corbiere.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has been no mandate provided by the Haisla Hereditary Chiefs and the people regarding this matter, and I put Donovan and Company to the strictest proof thereof, the presence of any such mandate not hereby admitted but hereby specifically denied.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in this proceeding, the Commission needs to consider whether the duty to consult and, if necessary, accommodate the Haisla First Nation has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not a relevant issue, as explained below. The Haisla are an Indigenous nation. They are not mere remnants of former Indigenous nation(s) so as to constitute a mere Canadian domestic ethnic minority, whether incorporated by federal legislation or not. I nonetheless for the assistance of all concerned, address it and explain why I say this, without thereby to be construed as an admission of its relevant to this matter and certainly without thereby to be construed as making any admission that there is no said Indigenous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Commission requests that the Haisla Hereditary Chiefs (Exhibit C12-1) provide clarification of the role, authority and constituency of the Haisla Hereditary Chiefs relative to the Haisla First Nation. The Haisla Hereditary Chiefs are also provided by this letter, an opportunity to file in writing, by Wednesday, October 3, 2007, any submissions they wish to make with regard to the Commission's role regarding the adequacy of consultation and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 C3-2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September 13,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the solicitors for the Haisla Nation. We write to request intervener status in the above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Haisla Nation has an interest in this matter as the Alcan smelter is situated within asserted Haisla Nation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 C3-3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September 24,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asked to write to you on behalf of our client, the Haisla Nation, concerning the forthcoming hearing. The Haisla Nation wishes to record their support for Alcan, subject to the negotiation between Alcan and the Haisla Nation of an overall agreement. The Haisla Nation has also asked us to record the Haisla Nation position that British Columbia and BC Hydro have failed to consult with and accommodate the Haisla Nation with respect to the 2007 EPA, with respect to the proposed modernization of the Alcan facilities, and with respect to past infringements within Haisla Nation Territory. For the reasons set out below, this failure to consult and accommodate is a matter that will need to be addressed regardless of the outcome of the BCUC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Procedural Conference September 26, 2007 Transcript, page 6 lines 7-9 (all following page/line references to the Transcript)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GRIFFITH: Good morning, Commissioners. My apologies for being late. Jennifer Griffith, counsel on behalf of the Haisla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These representations must be considered in the light of all herein. These representations are confined to those </w:t>
      </w:r>
      <w:r>
        <w:rPr>
          <w:rFonts w:ascii="arial" w:eastAsia="arial" w:hAnsi="arial" w:cs="arial"/>
          <w:b/>
          <w:color w:val="000000"/>
          <w:sz w:val="20"/>
          <w:lang w:val="en-US" w:eastAsia="en-US" w:bidi="ar-SA"/>
        </w:rPr>
        <w:t>[Page 5]</w:t>
      </w:r>
      <w:r>
        <w:rPr>
          <w:rFonts w:ascii="arial" w:eastAsia="arial" w:hAnsi="arial" w:cs="arial"/>
          <w:color w:val="000000"/>
          <w:sz w:val="20"/>
          <w:lang w:val="en-US" w:eastAsia="en-US" w:bidi="ar-SA"/>
        </w:rPr>
        <w:t xml:space="preserve"> of the actual client of Donovan &amp; Company, and it must be clear as to whether the client is an individual notwithstanding the possibility of being an Indian Act Chief and Council of the subject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Chair of the Procedural Conference of September 26, 2007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two previous decisions, and I believe they are VITR and REV-5, the Commission has reached certain conclusions with respect to the consideration of consultation and accommodation. Consultation and if necessary, accommodation for First Nations. Both of those decisions were in the context of projects that were reviewable by the EAO, and arguably at least in part that was significant to the Commission's decision in VITR and Revelstoke 5, with respect to, as I say, that issue of a consideration of consultation and, if necessary, accommodation. This may not be an issue. Haisla has said that they are in support of the 2007 EPA and Ms. Griffith may choose not to pursue this issue. But I was uncertain from reading their submission whether or not there were implications from their letter related to the regulatory timetable that we might establish following this procedural conference. So, if there are, I'd like to hear from Ms. Griffith this morning, and if there aren't, then I don't think we probably need to turn to the issue that I've just mentioned."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there may be other issues, of course, that I haven't identified that arise from the Haisla Nation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"Consultation and accommodation" is not an issue, not for the reasons suggested by the Chair but as set out herein, but the absence of mutual accommodation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page 118 line 25 -- page 120 line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GRIFFITH: The Haisla Nation territory is sort of squarely centred around Kitimat, B.C., and the Haisla Nation is interested in economic development of the Kitimat area. But at the same time, it also has an </w:t>
      </w:r>
      <w:r>
        <w:rPr>
          <w:rFonts w:ascii="arial" w:eastAsia="arial" w:hAnsi="arial" w:cs="arial"/>
          <w:i/>
          <w:color w:val="000000"/>
          <w:sz w:val="20"/>
          <w:lang w:val="en-US" w:eastAsia="en-US" w:bidi="ar-SA"/>
        </w:rPr>
        <w:t>obligation to its people to protect its aboriginal rights and title.</w:t>
      </w:r>
      <w:r>
        <w:rPr>
          <w:rFonts w:ascii="arial" w:eastAsia="arial" w:hAnsi="arial" w:cs="arial"/>
          <w:color w:val="000000"/>
          <w:sz w:val="20"/>
          <w:lang w:val="en-US" w:eastAsia="en-US" w:bidi="ar-SA"/>
        </w:rPr>
        <w:t xml:space="preserve"> Now, where a government is contemplating a decision that could infringe aboriginal rights and title, that decision has to be justified. The Haisla Nation has a longstanding relationship with Alcan and is currently in discussions with Alcan. The Haisla Nation has also been seeking to have discussions with B.C. Hydro and the province relating to its operations and decisions within a territory. Now, the Haisla Nation recognizes the constraints, time constraints resulting from the commercial arrangement between Alcan and B.C. Hydro, and it hopes that it can move discussions forward in an expeditious way to try and address some of these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asked earlier whether the Haisla Nation would essentially be asking the BCUC to assess the adequacy of consultation and/or accommodation with respect to the 2007 EPA, and I don't have instructions on that currently. I can endeavour to get them during the break but I can't make any guarantees that I can. That said, I think the issue is sort of a scoping issue and I would like to seek permission to make some written submissions on that issue."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 the reasons above and to be provided below, this is not accurate. The doctrine of aboriginal rights and title applies to proceeding as a Canadian domestic ethnic minority. It does not apply to an Indigenous nation. There </w:t>
      </w:r>
      <w:r>
        <w:rPr>
          <w:rFonts w:ascii="arial" w:eastAsia="arial" w:hAnsi="arial" w:cs="arial"/>
          <w:b/>
          <w:color w:val="000000"/>
          <w:sz w:val="20"/>
          <w:lang w:val="en-US" w:eastAsia="en-US" w:bidi="ar-SA"/>
        </w:rPr>
        <w:t>[Page 6]</w:t>
      </w:r>
      <w:r>
        <w:rPr>
          <w:rFonts w:ascii="arial" w:eastAsia="arial" w:hAnsi="arial" w:cs="arial"/>
          <w:color w:val="000000"/>
          <w:sz w:val="20"/>
          <w:lang w:val="en-US" w:eastAsia="en-US" w:bidi="ar-SA"/>
        </w:rPr>
        <w:t xml:space="preserve"> is no "Haisla First Nation" 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must add as well in the question of who is the client(s) of Donovan &amp; Company that there is information circulating for a long time now that Milton Wong has and remains a close personal advisor/mentor to Indian Act Chief Steve Wilson. I was also told this from family of a high-ranked Hereditary Chief two-three years ago. I was called to ask who he was and why he was "attached to the hip of the chief." The family was very worried about what was going on between them. There is nothing wrong with the mentorship, indeed it should be encouraged, but it is not proper where there are matters underway of interest to the mentor in being the mentor.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at the very least an appearance of conflict as Milton Wong is a director of Alcan Inc.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Milton Wong were elected to the Board earlier this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101st Annual General Meeting of Shareholders Montreal Canada (L. Yves Fortier)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Notes for an address by L. Yves Fortier, Chairman of the Board, Alcan Inc. to the 101st Annual General Meeting of Shareholders, Montreal, Canada 2003/04/24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of the information request will also include copies of all that between them. It may turn out that Milton Wong will/has used his alleged private times with Indian Act Chief Steven Wilson to document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since whomever the client(s) is of Donovan &amp; Company is willing to hold out that Haisla supports Alcan and/or this subject Electricity Purchase Agreement where nothing has gone to the people and not even the Haisla Hereditary Chiefs are informed (subject to anything that might have changed on that as the result of any alleged meetings after September 26, 2007) -- even if could be or represent "Haisla Nation," which is not hereby admitted and is hereby specifically denied, this is acting contrary to best interests of Haisla. That triggers the duties of Haisla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Page 15 line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arrangement that has been filed for approval is a very complex one. If anything, it is more complicated than the original LTEPA-Plus agreement that was dealt with last year. And it has a large number of complicated components to it that are interconnected in a lot of complicated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has as yet been no time to review the materials that are the subject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various parts of the Transcript, such as at page 15 lines 14-24, page 17 line 16-19, page 18 line 14-26 to page 19 line 1, Page 19 line 22 -- page 21 line 18-26, page 26 lines 12-18, Page 29 lines 7-9, Page 50 line 19 -- page 51 line 5, Page 60 lines 7-8, there is discussion about lost opportunity costs, benefits to taxpayers, actual costs to the public, captured especially for present purposes 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"Suddenly we have a different deal with a very different price tag over the duration of the deal. This could happen more than once obviously in the course of the agreement. So the old phrase 'pig in a poke' kind of comes to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could well be that the days of British Columbia being a jurisdiction with cheap electricity for residential consumers are gone, like within three years. That's our assessment. We're very concerned that there should be very careful calculation and tracking of the cumulative impact of all of these pieces, and we want to have a lot of questions about what the long-term impact of this deal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if I'm able to segregate it from what has already been said, because they are broad economic considerations but they go beyond employment. They have to do with the implications and incentives and disincentives that are created by the 2007 EPA that have a broader economic consequence tor the district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"very, very complicated issue that involves millions and millions of dollars of public assets and public resources."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"You're here to determine whether the EPA is cost-effective."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client(s) of Donovan &amp; Company intend to argue for "consultation and accommodation," in a separate process, apart from the irrelevance of the exercise as maintained herein throughout, it would disadvantage the theoretical subject ethnic minority because they would not have the benefit of the analysis provided by the other parties to the regular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Instead, the manner of presentation by Donovan &amp; Company suggests that is being used as a ploy to pressure Alcan and BC Hydro to deal with the subject Indian Act Chief 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But important to know that the submissions being made by Donovan &amp; Company are not supported in law. There is no final land claim settlement agreement under the BC Treaty Process. There are Hereditary Chiefs. They continue to exercise their responsibilities to their land, their people. The Indian Band reserves were only partial effort to effect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treaty or relationship and is incomplete. It is not even of the level of other treaties in quantum -- and compounding some $5 per person over the decades, last time I calculated it, it came out at somewhere around $250,000 just to catch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appointment of the Steven Point to Lieutenant Governor, Indian Affairs Minister Chuck Strahl was quick to point out that there was no transfer of jurisdiction in that. This is correct -- Indigenous nations still own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real issues are the effects of conversion, trover, trespass, trespass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accounting for profits both from Alcan and BC Hydro on this subject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Alcan is selling something to BC Hydro that Alcan has not fully paid for. BC Hydro thus faces the reality of, inter alia, equitable tracing remedies such that BC Hydro may end up bearing the cost. That impacts the taxpayers, the consumers, the public, because that cost will be assumed passed onto them. So if price is the issue then consideration must be had to the real price and contingent liabilities must be factored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actually fair so as to address the above causes of action and allegations? Ideally that is worked out between Haisla and Alcan so that BC Hydro can be assured of no contingent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blanket permission provided, such as contained in the numbered treaties, and there is no abandonment of Indigenous nations in the subject area, such as would occur if there was a final land claim settlement as under the British Columbia Treaty Commission, thus Alcan and BC Hydro cannot ignore the fact of the Haisla, and it is the Hereditary Chiefs of Haisla who hold the responsibility to protect what is Haisla. This goes to the heart of what Alcan provides in the Energy Supply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Donovan &amp; Company, and perhaps the province, say there is only the need to satisfy "consultation and accommodation" under the doctrine of aboriginal rights and title. That presumes acceptance of the mere bare assertion of sovereignty by the Crown to be sufficient to terminate Haisla and what is Haisla, provided that the three-step extinguishment process set out in the doctrine since 1982 is followed. The Haisla Hereditary </w:t>
      </w:r>
      <w:r>
        <w:rPr>
          <w:rFonts w:ascii="arial" w:eastAsia="arial" w:hAnsi="arial" w:cs="arial"/>
          <w:b/>
          <w:color w:val="000000"/>
          <w:sz w:val="20"/>
          <w:lang w:val="en-US" w:eastAsia="en-US" w:bidi="ar-SA"/>
        </w:rPr>
        <w:t>[Page 8]</w:t>
      </w:r>
      <w:r>
        <w:rPr>
          <w:rFonts w:ascii="arial" w:eastAsia="arial" w:hAnsi="arial" w:cs="arial"/>
          <w:color w:val="000000"/>
          <w:sz w:val="20"/>
          <w:lang w:val="en-US" w:eastAsia="en-US" w:bidi="ar-SA"/>
        </w:rPr>
        <w:t xml:space="preserve"> Chiefs have made not such concession. If there are such representations out there, such as are contained in the submission of Donovan &amp; Company, those are merely personal, statements of someone who also happens to be an Indian Act Chief, presuming that the source of instructions to Donovan non-binding on Haisla.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easiest way to think of it is treason. Here a person(s) of the Haisla Nation holds out that they act for the Haisla Nation and in so acting, say there is no Haisla Nation, only a domestic ethnic minority, which they call, "Haisla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Since 1998, lawyers in BC can only act for an Indian Band by accepting instructions from Indian Act chief and council. I am able to provide direct evidence on that though there is insufficient time to formally present it in time for today's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Earlier in the 1990's I acted for an Indian Band through direct mandate from members of the Indian Band in accordance with the methodology employed and recognized by the federal government that I became knowledgeable of due to my having acted as Department of Justice in-house legal counsel for the Department of Indian and Northern Affairs. The BC Court of Appeal confirmed that I had represented the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Therefore the Law Society of British Columbia decreed that its member lawyers are only permitted to accept instructions from present sitting Indian Act Chief and Council notwithstanding the legal ability to represent the Indian Band via members. Since that time of my efforts on the instructions on behalf of the Indian Band to prevent attempted corporate manslaughter, potential loss of property and life, in relation to a land development project and circumvention of its water system for private benefit of the Indian Band Indian Act chief, Indian band members have no access to justice. Needless to say it gives rise to all sorts of behaviour by Indian Act chiefs and councils for which the band members cannot address. They can only potentially address the actions of former Indian Act Chief and Council should they ever succeed in replacing the allegedly offending chief and council in the Indian Act 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means that the responsibilities of the hereditary chiefs of the Indigenous nations has become far more pronounced in recent times since the Law Society of British Columbia undermined a key protective measure by so dictating the conduct of lawyers. Some may recall the previous denial of access to lawyers at the hands of the federal government that was finally removed in the 1950s. I submit this action by the Law Society of British Columbia achieves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Donovan &amp; Company can only be instructed by the subject Indian Band Act chief and/or council by definition of membership in the Law Society of British Columbia. I did not renew my membership fees beginning in 1997 and so I am not so confined. I am able to help the Hereditary Chiefs of the Indigenous nations as well as the band members. It still remains most difficult because of the absence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question posed for this submission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Haisla have continued to deny the right of others, including the Crown, Alcan, BC Hydro to the possession and enjoyment of what is of Haisla. They have never conceded as Donovan &amp; Company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Anyone contracting in this is getting more than they may realize or bargain for and the resulting contingent costs are high. Anyone facilitating it becomes part of the alleged conspiracy. All of that seriously impacts the public good that is at the crux of the responsibility of the Commission. It can even weigh personally on those involved as such alleged criminal conduct could be seen clearly as being outside authority and ultimately allegedly could attract attention of the international community through the evolving International Criminal Court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That is why this tribunal needs to consider the evidence and submission of the Haisla Hereditary Chiefs. It is not </w:t>
      </w:r>
      <w:r>
        <w:rPr>
          <w:rFonts w:ascii="arial" w:eastAsia="arial" w:hAnsi="arial" w:cs="arial"/>
          <w:b/>
          <w:color w:val="000000"/>
          <w:sz w:val="20"/>
          <w:lang w:val="en-US" w:eastAsia="en-US" w:bidi="ar-SA"/>
        </w:rPr>
        <w:t>[Page 9]</w:t>
      </w:r>
      <w:r>
        <w:rPr>
          <w:rFonts w:ascii="arial" w:eastAsia="arial" w:hAnsi="arial" w:cs="arial"/>
          <w:color w:val="000000"/>
          <w:sz w:val="20"/>
          <w:lang w:val="en-US" w:eastAsia="en-US" w:bidi="ar-SA"/>
        </w:rPr>
        <w:t xml:space="preserve"> an excuse to make sure that the extinguishment step of "consultation and accommodation" is sufficiently followed and that there is some opportunity later for that to be taken care of that does not thus result in responsibility in this tribunal. That only applies to a domestic ethnic minority -- a conquered former Indigenous nation. The Haisla Hereditary Chiefs will provide evidence that they are still here, of their responsibilities. They will not be engaging in that other step of the doctrine of aboriginal rights and title of "proving" their usage etc. in order to support their "claim" and "assertion of territory." They assert nothing. They own. It is the Crown that asserts and that is not enough to eliminate the uncertainty that directly impacts this subject energy supply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tribunal is not asked to rule on whether there is an Indigenous nation(s) -- that is not justiciable here -- nor to rule on the extent of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treaty-like relationship with the Crown. The Haisla Hereditary Chiefs will not be asking for a finding of fact as to their existence -- that is a matter of their Indigenous laws and not justiciable here. But they do say, and I say, Donovan &amp; Company is unable to provide any evidence to support their submissions and the tribunal must be cautioned on that. The Crown is unable to provide evidence of an abandonment of Haisla sovereignty -- it presents itself to this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Thus the resolution of the alleged outstanding crimes, including crimes against peace, with the Haisla, is a critical component because without that, this tribunal who must protect the public and must also act consistent with the Crown's Duty to Protect and Duty of Fairness as per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necessary for the preservation of Peace, Order and good Government, faces the reality of unknown contingent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the true price to be paid of a contract that exposes BC Hydro to such contingent liabilities? How can the Commission possibly ensure the protection of the public in such circumstances? That goes to the core of this matter and provided that the principles of natural justice are sufficiently followed, which the decision to have an oral hearing enhances, the Haisla Hereditary Chiefs are able to sufficiently inform the Commission during the oral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to confirm, the submission is that there is no need for the Commission to engage in its own "consultation and accommodation" in its procedures. There is no proper use of the Commission's time for a person or persons in the nature of an Indian Act chief and/or council to attempt to use the Commission's processes for the purpose of pressuring Alcan, BC Hydro or any other to work a deal with an Indian Act chief and/or council particularly when being allegedly seriously mislead. That is an abuse of process that ought not to be allowed to continue, and the band members have no access to justice to prevent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proper parties to the work of the Commission are the representatives of the Indigenous nations. The proper parties to deal with for the proponents are the Indigenous nations, not the administrators of the Indian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any domestic ethnic minority appear before the Commission in the future, for example, when the Tsawwassen land claim settlement is finalized and that new legal entity is created by an act of Canadian government, or for those interested in how to think of "consultation and accommodation" then I refer the Commission to the research on the subject of consultation and accommodation by Matthew T. Ghikas of the law firm Fasken Martineau, "First Nations Consultation in Proceedings before the British Columbia Utilities Commission:, presently available on their website, www.fasken.com.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need to determine if the Commission is quasi-judicial or not, relevant to any analysis of any duty to consult, which is not hereby admitted relevant and is specifically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Though it has no application here as there is no "First Nation" appearing nor any present in the subject area (I have been throughout the BC Northwest and there are no First Nations as that legal term is, in the area) it is a helpful tool should future need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Until such time as they leave it by the road, the Haisla Hereditary Chiefs carry the responsibilities for the Haisla Nation, until such time as they abdicate their duties, their existence cannot be ignored. Unlike Indian Act chiefs and councils who access funds to assist them in their administration of the reserve duties, Hereditary Chiefs consistently have little if any funds to assist and without their access to information, are unable to properly inform proponents ahead of time -- this is a great disadvantage to the companies and parties to this matter. If they do not wish delays to arise, they ought to do their due diligence and find out who they need to be dealing with and in the very least informing and not accept the mere representations of individuals who may be in a conflict of interest. If there are financial consequences to that, they bear the responsibility. They have the resources and the responsibility to ensure that they are getting what they hope to get such that when presenting to this Commission they can say for certain the economics are as they say. Presently, the contractual parties to the Electricity Purchase agreement cannot say that to the Commission and so the Commission, it is respectfully submitted, is unable to properly do its job to protect. Indeed, having been so advised, arguably the Duty to Protect the Indigenous nations and its lands is triggered and constitutionally overshadows the duty to the general public, thus creating quite the mess in a terribly tight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Donovan &amp; Company to say there is a First Nation here, a domestic ethnic minority who holds themselves out as such and thus proceeds under the doctrine of aboriginal rights that is based upon the doctrine of discovery is to serious mislead and I put them to the strictest of proof both of that and for whom they actually act and appear before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Haisla Hereditary Chiefs are not appearing here as somehow attorning to and accepting mere bare Crown assertion of sovereignty. They are appearing consistent with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in the interest of the Canadian public, to protect them, as part of that de facto relationship, is to co-exist in a lawful manner, to report where Her Majesty's governments and subjects commit crimes and/or act inconsistent with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and reminding of the duties of that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If the Commission determines that the subject Electricity Purchase agreement is otherwise in the best interests of the Canadian public, in the absence of a resolution of the outstanding crimes and the obtaining of permissions vis-a-vis the Haisla, the Commission is in </w:t>
      </w:r>
      <w:r>
        <w:rPr>
          <w:rFonts w:ascii="arial" w:eastAsia="arial" w:hAnsi="arial" w:cs="arial"/>
          <w:b/>
          <w:color w:val="000000"/>
          <w:sz w:val="20"/>
          <w:lang w:val="en-US" w:eastAsia="en-US" w:bidi="ar-SA"/>
        </w:rPr>
        <w:t>a conundrum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Commission cannot protect the public but in doing so endanger the Haisla for that threatens the </w:t>
      </w:r>
      <w:r>
        <w:rPr>
          <w:rFonts w:ascii="arial" w:eastAsia="arial" w:hAnsi="arial" w:cs="arial"/>
          <w:b/>
          <w:i/>
          <w:color w:val="000000"/>
          <w:sz w:val="20"/>
          <w:lang w:val="en-US" w:eastAsia="en-US" w:bidi="ar-SA"/>
        </w:rPr>
        <w:t>de facto</w:t>
      </w:r>
      <w:r>
        <w:rPr>
          <w:rFonts w:ascii="arial" w:eastAsia="arial" w:hAnsi="arial" w:cs="arial"/>
          <w:b/>
          <w:color w:val="000000"/>
          <w:sz w:val="20"/>
          <w:lang w:val="en-US" w:eastAsia="en-US" w:bidi="ar-SA"/>
        </w:rPr>
        <w:t xml:space="preserve"> relationship and hence the peace, and that in turn endangers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cannot imagine that the parties to the subject Electricity Purchase Agreement should wish jeopardize their preferred timeframes by failing to do everything within their power to address what is raised herein this submission in terms of outstanding matters and the contingent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which also speak to the scope of the hearing, reserving, with all due respect, the right in accordance with principles of natural justice to respond to submissions regarding Scope of Proceeding not presently available for my review. Whereby I mirror the closing comment of Mr. Mark S. Oulton in his letter of September 26, 2007 discussing the potential for a further procedural conference regarding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intention is to participate in this matter as fully as may appear necessary and to not be unduly burdensome or out of scope, subject to financial ability. I am unable to attend the procedural conference of October 5, 207 for financial reasons and apologize to all for being unable to attend the previous procedural conference, having only been contacted that very day to assist in this matter and in any event being unable to do so for financial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herein together with my article, "Hollow promises: Blockades at Hollow Water," </w:t>
      </w:r>
      <w:r>
        <w:rPr>
          <w:rFonts w:ascii="arial" w:eastAsia="arial" w:hAnsi="arial" w:cs="arial"/>
          <w:b/>
          <w:color w:val="000000"/>
          <w:sz w:val="20"/>
          <w:lang w:val="en-US" w:eastAsia="en-US" w:bidi="ar-SA"/>
        </w:rPr>
        <w:t>[Page 11]</w:t>
      </w:r>
      <w:r>
        <w:rPr>
          <w:rFonts w:ascii="arial" w:eastAsia="arial" w:hAnsi="arial" w:cs="arial"/>
          <w:color w:val="000000"/>
          <w:sz w:val="20"/>
          <w:lang w:val="en-US" w:eastAsia="en-US" w:bidi="ar-SA"/>
        </w:rPr>
        <w:t xml:space="preserve"> http://www.switlo.com/opinion.php?selected=93 and to be released publication, "Mutual Accommodation," which will add further as indicated in said "Hollow promises," timing of release now affected by this matter, and a courtesy personal profile, constitute my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will be seeking an interim order for participant assistance forthwith, being unable to continue without same. I will submit therein and trust I demonstrate herein this Submission that I am uniquely able to contribute, having a solid understanding of the two systems of laws that meet and assist in seeing a way through to achieve mutual accommodation and thus benefit for all in the time necessary, subject to review of the applicants submissions, which time has not yet permitted my full review. I have worked with Indigenous nations throughout Canada. Though their responsibilities are Haisla, due to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and in the interests of Peace, Order and good Government, the Haisla Hereditary Chiefs additionally look to the whole of this in terms of the public interest as "side-by-side" means Haisla as well. It must be good for all their relations, </w:t>
      </w:r>
      <w:r>
        <w:rPr>
          <w:rFonts w:ascii="arial" w:eastAsia="arial" w:hAnsi="arial" w:cs="arial"/>
          <w:i/>
          <w:color w:val="000000"/>
          <w:sz w:val="20"/>
          <w:lang w:val="en-US" w:eastAsia="en-US" w:bidi="ar-SA"/>
        </w:rPr>
        <w:t>de jure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the animals, Mother Earth, in all directions, as only the Haisla Hereditary Chiefs and/or their Haisla spokespersons can properly explain and speak to as may be permitted by their laws in this forum. I am not Haisla.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endeavoured to give the parties as much of an indication of the purpose of this participation as possible given the very constrained timeframes to date and given the remaining procedure and timeframes in the interests of assistance to the Commission and to all in this important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19th century G'psgolox totem pole is returned to the Haisla ... Members of the Haisla Nation celebrate after a crated totem pole was moved into The Museum of Anthropology in Vancouver Wednesday April 26, 2006. (CP / Chuck Stoody)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sacred totem pole belonging to an indigenous tribe in northern British Columbia returned home after 77 years in a Swedish museum [National Museum of Ethnography].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19th century G'psgolox totem pole, named after the chief who commissioned the carving after the death of his wife and kids, arrived in Vancouver by ship Wednesday.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be temporarily housed at the museum before it will eventually be returned to its rightful place in the village of Kitamaat in northern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pole is a significant cultural treasure for the Haisla, who erected the nine-metre carving in 1872 to honour a forest spirit </w:t>
      </w:r>
      <w:r>
        <w:rPr>
          <w:rFonts w:ascii="arial" w:eastAsia="arial" w:hAnsi="arial" w:cs="arial"/>
          <w:i/>
          <w:color w:val="000000"/>
          <w:sz w:val="20"/>
          <w:lang w:val="en-US" w:eastAsia="en-US" w:bidi="ar-SA"/>
        </w:rPr>
        <w:t>for saving them</w:t>
      </w:r>
      <w:r>
        <w:rPr>
          <w:rFonts w:ascii="arial" w:eastAsia="arial" w:hAnsi="arial" w:cs="arial"/>
          <w:color w:val="000000"/>
          <w:sz w:val="20"/>
          <w:lang w:val="en-US" w:eastAsia="en-US" w:bidi="ar-SA"/>
        </w:rPr>
        <w:t xml:space="preserve"> from a smallpox epidemic that devastated their community.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pole was taken from the mouth of the Kitlope Valley, the world's largest unlogged temperate coastal rainforest, and shipped to Stockholm in 1929 ... the pole was cut down and stolen, with the tribe discovering the theft after returning from a fishing trip.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museum displayed the pole in 1980 after it had been in storage for almost 50 years. Today it is one of the most popular attractions.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Haisla elder Louisa Smith, a descendant of Chief G'psgolox, was able to see the pole in 1991 when she traveled to the Sweden museum.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Haisla demanded the heirloom be returned to its rightful home, saying it had been taken without their consent at a difficult time when their people were ravaged by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"Treasured totem pole returned to B.C. tribe," CTV.ca, April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official ceremony to welcome the Totem home to its ancestral lands in Kitamaat Village, BC took place on the evening of July 1,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"July 1 is the high point of our journey, as the Totem will be arriving in Kitamaat via ship and finally our homecoming event and celebration can commence, for </w:t>
      </w:r>
      <w:r>
        <w:rPr>
          <w:rFonts w:ascii="arial" w:eastAsia="arial" w:hAnsi="arial" w:cs="arial"/>
          <w:i/>
          <w:color w:val="000000"/>
          <w:sz w:val="20"/>
          <w:lang w:val="en-US" w:eastAsia="en-US" w:bidi="ar-SA"/>
        </w:rPr>
        <w:t>our ancestors, for our elders, for our Chiefs &amp; Chief Ladies, and for our children.</w:t>
      </w:r>
      <w:r>
        <w:rPr>
          <w:rFonts w:ascii="arial" w:eastAsia="arial" w:hAnsi="arial" w:cs="arial"/>
          <w:color w:val="000000"/>
          <w:sz w:val="20"/>
          <w:lang w:val="en-US" w:eastAsia="en-US" w:bidi="ar-SA"/>
        </w:rPr>
        <w:t xml:space="preserve"> This totem is symbolic of our fortitude and resilience as a Nation; we definitely look forward to this celebration!"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Note that there is no reference therein to "Chief and Council."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totem represents so much more than just a monument; it is symbolic of our character, our integrity, our fortitude, and </w:t>
      </w:r>
      <w:r>
        <w:rPr>
          <w:rFonts w:ascii="arial" w:eastAsia="arial" w:hAnsi="arial" w:cs="arial"/>
          <w:i/>
          <w:color w:val="000000"/>
          <w:sz w:val="20"/>
          <w:lang w:val="en-US" w:eastAsia="en-US" w:bidi="ar-SA"/>
        </w:rPr>
        <w:t>our identity as a nation.</w:t>
      </w:r>
      <w:r>
        <w:rPr>
          <w:rFonts w:ascii="arial" w:eastAsia="arial" w:hAnsi="arial" w:cs="arial"/>
          <w:color w:val="000000"/>
          <w:sz w:val="20"/>
          <w:lang w:val="en-US" w:eastAsia="en-US" w:bidi="ar-SA"/>
        </w:rPr>
        <w:t xml:space="preserve">... this repatriation process reminds all that as a nation, we are present ... Remaining true to our heritage, our history and are </w:t>
      </w:r>
      <w:r>
        <w:rPr>
          <w:rFonts w:ascii="arial" w:eastAsia="arial" w:hAnsi="arial" w:cs="arial"/>
          <w:i/>
          <w:color w:val="000000"/>
          <w:sz w:val="20"/>
          <w:lang w:val="en-US" w:eastAsia="en-US" w:bidi="ar-SA"/>
        </w:rPr>
        <w:t>reclaiming</w:t>
      </w:r>
      <w:r>
        <w:rPr>
          <w:rFonts w:ascii="arial" w:eastAsia="arial" w:hAnsi="arial" w:cs="arial"/>
          <w:color w:val="000000"/>
          <w:sz w:val="20"/>
          <w:lang w:val="en-US" w:eastAsia="en-US" w:bidi="ar-SA"/>
        </w:rPr>
        <w:t xml:space="preserve"> what is rightfully ours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another difficult time. But the G'psgolox pole is back, they are protected, and there is a Duty to Protect.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Reaffirming, reclaiming -- not claiming and asserting, or begging Ms. Bonacci and Ms. Griffith (Donovan &amp; Company). Indigenous nation. Not "First Nation." Alive. Not defeated, not conceded, not conquered, not abandoned, not dead. To be protected, constitutionally in accordance with the legal realities of joint sovereignty, not to be held out as mere domestic ethnic minorities accorded a little compassion as they are pushed even further aside. But like with the G'psgolox pole, still there are those who would just take, only now, the impact will not only be felt by the Haisla, but also by all Canadians, especially in British Columbia. We cannot risk that It is not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There was a deal done </w:t>
      </w:r>
      <w:r>
        <w:rPr>
          <w:rFonts w:ascii="arial" w:eastAsia="arial" w:hAnsi="arial" w:cs="arial"/>
          <w:i/>
          <w:color w:val="000000"/>
          <w:sz w:val="20"/>
          <w:lang w:val="en-US" w:eastAsia="en-US" w:bidi="ar-SA"/>
        </w:rPr>
        <w:t>on reserve</w:t>
      </w:r>
      <w:r>
        <w:rPr>
          <w:rFonts w:ascii="arial" w:eastAsia="arial" w:hAnsi="arial" w:cs="arial"/>
          <w:color w:val="000000"/>
          <w:sz w:val="20"/>
          <w:lang w:val="en-US" w:eastAsia="en-US" w:bidi="ar-SA"/>
        </w:rPr>
        <w:t xml:space="preserve"> for the site of the future $500-million liquefied natural gas terminal and regasification complex planned by Kitimat LNG Inc., between KLNG and the subject Indian Band. It is slated for operation in 2010. KLNG has said that their biggest challenge now is securing gas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asked Haisla Hereditary Chiefs, "What do you know about this -- what is your position on this?" This is how they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agreement was done in haste. Galveston was able to create the impression that it was necessary to move the Benefits Agreement along quickly due to the 'first mover advantage'. The Chief and Council were able to capitalize on this ploy by creating the impression for the electorate that tons of money would be at stake and we could lose out somehow if we didn't take advantage quickly. In this atmosphere informed consent suffered. When the Benefits Agreement went to referendum, the referendum package contained a copy of the Agreement to be voted on. During the referendum another copy of the Agreement was sent out to voters usurping what had originally been sent out in voter packages and this was done in midstream which meant confusion due to the fact that off reserve voters already had opportunity to vote on the first document. The second document sent out contained significant changes to the first document. The second Benefits Agreement contained wording alluding to the necessity of a pipeline looping project that would be necessary for the project to go ahead. The electorate and the Hereditary Chiefs were never made aware of this. The Chief Councillor was known to publically state that he had one hundred percent support of the Himaas on the Kitimat Liquefied Natural Gas project and this was subsequently proven to be false and therefore a misrepresentation of the interests of the Hereditary Chiefs and the membership as these false claims had a bearing on the outcome of the referendum vote. It would appear that in the venue of dollar signs swimming in people's eyes the tactic of misinformation was used to fragment </w:t>
      </w:r>
      <w:r>
        <w:rPr>
          <w:rFonts w:ascii="arial" w:eastAsia="arial" w:hAnsi="arial" w:cs="arial"/>
          <w:b/>
          <w:color w:val="000000"/>
          <w:sz w:val="20"/>
          <w:lang w:val="en-US" w:eastAsia="en-US" w:bidi="ar-SA"/>
        </w:rPr>
        <w:t>[Page 13]</w:t>
      </w:r>
      <w:r>
        <w:rPr>
          <w:rFonts w:ascii="arial" w:eastAsia="arial" w:hAnsi="arial" w:cs="arial"/>
          <w:color w:val="000000"/>
          <w:sz w:val="20"/>
          <w:lang w:val="en-US" w:eastAsia="en-US" w:bidi="ar-SA"/>
        </w:rPr>
        <w:t xml:space="preserve"> the Hereditary Chiefs. The Hereditary Chiefs knew what was going on and are now taking steps to rectify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article [describing the deal] would make some sort of sense if the proposed deal recognized the ownership of the Haisla, and if they were to be paying taxes, rent, and more in the way of revenue sharing that actually represents the Haisla as the eternal owners of this territory. It does not do any of that. It is more in the model of typical land grabs with shady councils of bought and paid for corruption. It is no accident that this Indian At (sic) government has been unable o (sic) get Alcan to follow through on promises to the Village (sic) of decades ago, but is still prepared to destroy more land for crumbs yet again; crumbs that may never even get to the village's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Hereditary Chiefs have had it. In true Indigenous legal nature, individuals are allowed to make their attempts, to learn from their mistakes. But where those mistakes begin to affect the whole of the nation, that learning can no longer be permitted. It takes much for Hereditary Chiefs to step in -- their duties to protect must be triggered. I am advised that they are triggered and they now act, including reviewing of all that has been done in the recent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Appreciate that since the KLNG is on reserve, due to the establishment of the reserves and of the Indian Act, presently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encompasses those components simply because they have been in place for so long thus the processes for surrender by way of designation for leasing must meet the standards of enforcement or risk being a null surrender. Fully informed and free consent is critical to satisfy and therefore, the Haisla Hereditary Chiefs are raising serious issues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present matter, it is not an on-reserve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Haisla Hereditary Chiefs tell me, Commissioner, that there will be no more attempts to push them aside, by anyone, including any of their own wrongfully holding themselves out as having some authority in these matters. Chief and Council may speak to on-reserve administrative matters. They may deal as may be contracted between them and the federal government for matters of on-reserve administrative matters in accordance. Chief and Council were permitted by the Haisla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35 is there in anticipation that it may some day be used, that day when the Indigenous nations are no more and only assimilated remnants remain. Some without providing the authority to do so and indeed being unable to so instruct, have like the example here with Donovan &amp; Company, are made out to have accepted the doctrine of aboriginal rights applies. It does not. Here, and like many other examples bubbling across Canada, the way forward recognizing the true state of affairs to day is necessary to carry on productively, in the best interests of all. Sharing, caring, and love -- core Indigenous legal values. Let's demonstrate we can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my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(original signed by)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Janice G.A.E. Switlo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cc. Haisla Hereditary Chiefs via email: morrisamos@hotmail.com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C - Letter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October 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Utilities Commission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Howe Street, Box 250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Sixth Floor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2N3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Via email: Commission Secretary BCUC: EX [Commission.Secretary@bcuc.com]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Sirs/Mesdames: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British Columbia Utilities Commission in the Matter of the Utilities Commission Act,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And A Filing by British Columbia Hydro and Power Authority of the 2007 Electricity Purchase Agreement with Alcan Inc. as an Energy Supply Contract Pursuant to Section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from the transcript of the procedural conference held October 5, 2007 and the comments in response thereto by the Commission Chairman requires me to put this letter on the record. It required me to interfere in a great many people's Thanksgiving Day weekend and dinner, which is not appreciated. Recent events have caused great distress I am advised to the Haisla and the information I have been directly provided must be brought to the attention of the Commission and all the participants hereto, hence my letter.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Alcan S. 71 Energy Supply Contract Pre-hearing Conference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5, 2007, Volume 2 Page 169 Line 9-19 inclusive: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BURSEY: I repeat some of the comments from my friend Mr. Sanderson. It's not clear who she represents. It's not clear what she wants the Commission to do. We think that the Commission should disregard that letter. The letter from Donovan &amp; Company on October 3rd on behalf of the Haisla [the "subject letter"] disposes of the issue completely. There's a clear statement of hereditary chiefs attached to that letter which indicates who is speaking on behalf of the Haisla. And Alcan appreciates very much the support that the Haisla have demonstrated to Alcan in those submissions."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Alcan S. 71 Energy Supply Contract Pre-hearing Conference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5, 2007, Volume 2 Page: 154 Line 4 -- Page 155 Line 16 inclusive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SANDERSON: Thank you, Mr. Chairman. Let me then just go through the few remaining comments I have. The third issue that I identified early was the adequacy of consultation issue. In my respectful submission, the letter from my friend -- from Donovan &amp; Company is determinative. That is, it makes clear that from the Haisla Nation's perspective and from the perspective of their hereditary chiefs, the adequacy of consultation should not be dealt with further through an oral hearing. Sorry, because both the parties burdened with the responsibility in law, to the extent there is such a responsibility operating here and the party that would be the beneficiary of that and the consultee, both are taking the position that that's not something that would be profitable in the context of that consultation exercise. And it's not </w:t>
      </w:r>
      <w:r>
        <w:rPr>
          <w:rFonts w:ascii="arial" w:eastAsia="arial" w:hAnsi="arial" w:cs="arial"/>
          <w:b/>
          <w:color w:val="000000"/>
          <w:sz w:val="20"/>
          <w:lang w:val="en-US" w:eastAsia="en-US" w:bidi="ar-SA"/>
        </w:rPr>
        <w:t>[Page 2]</w:t>
      </w:r>
      <w:r>
        <w:rPr>
          <w:rFonts w:ascii="arial" w:eastAsia="arial" w:hAnsi="arial" w:cs="arial"/>
          <w:color w:val="000000"/>
          <w:sz w:val="20"/>
          <w:lang w:val="en-US" w:eastAsia="en-US" w:bidi="ar-SA"/>
        </w:rPr>
        <w:t xml:space="preserve"> something which this Commission in the current circumstances should undertake as part of its analysis of the EPA.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issue, I think, that is left, really, is the complexities introduced by the letter from Ms. Switlo. And with respect to that, as I say, I think the attachments to the Donovan &amp; Company letter indicating the signed views of the respective hereditary chiefs removes from any doubt who's speaking on behalf of them, and a careful reading of Ms. Switlo's letter does not disclose that she claims to be speaking for them, nor that she has an individual interest that she's putting forward as requiring a consideration distinct from theirs. While at times she speaks as an individual, she doesn't disclose an individual interest or right to be consulted personally in a way that would invoke the need for the Commission to resolve that issue. So, in my respectful submission, the second of the Donovan and Company letters really should be dispositive of that question for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remind the Commission that I am a participant. My submission of October 3, 2007 warned there were internal Haisla difficulties and I do not propose to repeat herein anything contained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am not aware of any application to have me removed as a participant though the tone of the procedural conference held on Friday, October 5, 2007 suggests the Commission tribunal is being encouraged to consider it was such an application,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I remind of the principles of natural justice. I caution that these were submissions regarding the scope to accordance with the first part of Order Number G-120-07, with submissions on "Duty to Consult" still subject to the regulatory timetable that is Appendix A forming part of Order Number G-120-07.1 caution that this was not and is not the appropriate time for submission of evidence. I remind the oral hearing has been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caution that the subject letter submitted by Donovan &amp; Company together with its submission on Duty of Consultation re: Hereditary Chiefs is most definitely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determinative of who represents whom and who may speak for whom, or of positions e.g. whether domestic ethnic minority or continuing Indigenous nation, particularly where serious allegations of fraud and misrepresentation and absence of full information exist, of which I have since been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most definitely </w:t>
      </w:r>
      <w:r>
        <w:rPr>
          <w:rFonts w:ascii="arial" w:eastAsia="arial" w:hAnsi="arial" w:cs="arial"/>
          <w:i/>
          <w:color w:val="000000"/>
          <w:sz w:val="20"/>
          <w:lang w:val="en-US" w:eastAsia="en-US" w:bidi="ar-SA"/>
        </w:rPr>
        <w:t>does not</w:t>
      </w:r>
      <w:r>
        <w:rPr>
          <w:rFonts w:ascii="arial" w:eastAsia="arial" w:hAnsi="arial" w:cs="arial"/>
          <w:color w:val="000000"/>
          <w:sz w:val="20"/>
          <w:lang w:val="en-US" w:eastAsia="en-US" w:bidi="ar-SA"/>
        </w:rPr>
        <w:t xml:space="preserve"> dispose of the issue completely. It is far from a clear statement. It is trite to state that it has not been proven. It is equally reckless to suggest it be relied upon and to attempt to do so. There is an abundance of evidence that is available to demonstrate it should not be relied upon at all and seriously misleads the Commission and the participants, and that mischief has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submit that due attention should be paid to the fact of the absence of Donovan &amp; Company from Friday's procedural conference and the admission of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who did appear, that he instructed Donovan &amp; Company: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WILSON: I instructed our legal counsel on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Alcan S. 71 Energy Supply Contract Pre-hearing Conference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5, 2007, Volume 2 Page: 226 Line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 the band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Recall my submissions regarding an appearance of conflict of interest for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w:t>
      </w:r>
      <w:r>
        <w:rPr>
          <w:rFonts w:ascii="arial" w:eastAsia="arial" w:hAnsi="arial" w:cs="arial"/>
          <w:b/>
          <w:color w:val="000000"/>
          <w:sz w:val="20"/>
          <w:lang w:val="en-US" w:eastAsia="en-US" w:bidi="ar-SA"/>
        </w:rPr>
        <w:t>[Page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submit due attention need be given to the absence of a Band Council Resolution (BCR) in the submissions by Donovan &amp; Company. (Without a BCR, Donovan &amp; Company cannot be paid from band assets, and you cannot collect from the on-reserve assets of an Indian.) I believe that if one existed, Donovan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Company would have produced it in their submission and would have appeared at the procedural conference on October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am advised that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Councillor Joey Nyce also works for Alcan as an Internal Consultant on Alcan's Expansion Project, thereby placing him in a conflict of interest in this matter, I have previously outlined as said in my submission the appearance of conflict of interest on the part </w:t>
      </w:r>
      <w:r>
        <w:rPr>
          <w:rFonts w:ascii="arial" w:eastAsia="arial" w:hAnsi="arial" w:cs="arial"/>
          <w:i/>
          <w:color w:val="000000"/>
          <w:sz w:val="20"/>
          <w:lang w:val="en-US" w:eastAsia="en-US" w:bidi="ar-SA"/>
        </w:rPr>
        <w:t>at Indian Act</w:t>
      </w:r>
      <w:r>
        <w:rPr>
          <w:rFonts w:ascii="arial" w:eastAsia="arial" w:hAnsi="arial" w:cs="arial"/>
          <w:color w:val="000000"/>
          <w:sz w:val="20"/>
          <w:lang w:val="en-US" w:eastAsia="en-US" w:bidi="ar-SA"/>
        </w:rPr>
        <w:t xml:space="preserve"> Chief Councillor Steve Wilson, Therefore any BCR would first require a meeting of the band council with proper notice, </w:t>
      </w:r>
      <w:r>
        <w:rPr>
          <w:rFonts w:ascii="arial" w:eastAsia="arial" w:hAnsi="arial" w:cs="arial"/>
          <w:i/>
          <w:color w:val="000000"/>
          <w:sz w:val="20"/>
          <w:lang w:val="en-US" w:eastAsia="en-US" w:bidi="ar-SA"/>
        </w:rPr>
        <w:t>without</w:t>
      </w:r>
      <w:r>
        <w:rPr>
          <w:rFonts w:ascii="arial" w:eastAsia="arial" w:hAnsi="arial" w:cs="arial"/>
          <w:color w:val="000000"/>
          <w:sz w:val="20"/>
          <w:lang w:val="en-US" w:eastAsia="en-US" w:bidi="ar-SA"/>
        </w:rPr>
        <w:t xml:space="preserve"> the presence and influence of Wilson and Nyce, and resolution made and thereafter recorded and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these two people, Wilson and Nyce, whom relations and witnesses of Hereditary Chief Tom Robinson who carries the name Jesse state approached Tom Robinson and asked to have the stamp made of his signature so as to make it easier to deal with the "signing of the traplines," explained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caution that you act on the recommendations of certain participants' lawyers at your peril both in terms of the proper conduct of your proceedings and your duty to the public interest They are not expert as I am in matters of Indigenous communities, and the interactions between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government and Indigenous government, and various duties of the Crown, and how all that mess responds where there is an absence of access to justice and absence of application of the principles of natural justice. They have not walked where I have walked and do not so walk here. They just read about it in the newspapers as other Canadians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common tactic of attempting to ignore important issues by trying to just put them aside and pretend they do not matter, hoping to be persuasive in doing so, is not a responsible tactic in this matter. I caution that lawyers owe duties to the public as well. This is not a purely adversarial civil court process and exercise -- we are not in a domestic court. This is supposed to be a process, whether quasi-judicial or not whenever that may actually be decided (which in my opinion is not necessary for present purposes of this matter) whereby participants assist the Commission to fulfill its duties. In doing so, lawyers must not ignore their ever-present duties to the public as well. They cannot mislead the Commission or encourage it to ignore principles of natural justice and due process in the proceedings. There can be no sharp practice, particularly when a participant has already made it known they cannot attend a procedural conference because of financial constraints, as in my case. That is not to be taken advantage of. There can be no morphing of ordered procedure into new procedure. That is contrary to principles of natural justice. Instead, there arises a higher onus of fairness and due process for them to consider in the course of their participation in the procedural conference. I submit they failed in their duties in respect to the matters discussed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personally known to me that Hereditary Chief Tom Robinson who carries the name Jesse is very ill and has been for some time. He has not passed on his name. In the event of extreme illness or pending risk of death, a Hereditary Chief may take action to pass on his name and thus responsibilities. This was done in the case of Harvey Grant, Sr. for example, who gave his name to his son when he was dose to dying. He recovered, and though he of course no longer carries the name and associated responsibilities, he contacted me and spoke to me in capacity as carrier of an authority to speak from a Hereditary Chief of another Clan.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"Antagamnolth Harvey Grant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how he is listed on the intervener letter request of September 26, 2007, C12-1. He did not hold himself out as a chief nor has anyone else. The word "Chief" does not appear near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Wilson misleads: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had instructed them and informed them that </w:t>
      </w:r>
      <w:r>
        <w:rPr>
          <w:rFonts w:ascii="arial" w:eastAsia="arial" w:hAnsi="arial" w:cs="arial"/>
          <w:i/>
          <w:color w:val="000000"/>
          <w:sz w:val="20"/>
          <w:lang w:val="en-US" w:eastAsia="en-US" w:bidi="ar-SA"/>
        </w:rPr>
        <w:t>because of the way that two chiefs, one of them that actually has signed that document, Mr. Harvey Grant,</w:t>
      </w:r>
      <w:r>
        <w:rPr>
          <w:rFonts w:ascii="arial" w:eastAsia="arial" w:hAnsi="arial" w:cs="arial"/>
          <w:color w:val="000000"/>
          <w:sz w:val="20"/>
          <w:lang w:val="en-US" w:eastAsia="en-US" w:bidi="ar-SA"/>
        </w:rPr>
        <w:t xml:space="preserve"> was actually no longer a chief. He took his name and gave it to his son, and you'll see that his son, who now is the ranking chief in that clan, signed the letter of support."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Alcan S. 71 Energy Supply Contract Pre-hearing Conference October 5, 2007, Volume 2 Page: 224 Line 8-18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 in the evening of October 8, 2007 Hereditary Chief Allan Williams Sr. who carries the name Wakas, confirmed this to me, that Harvey Grant Sr. carries the authority to speak. Harvey Grant Sr. first advised me that he is a carrier of an authority to speak during a telephone call to me on September 26, 2007. I understand Hereditary Chief "Johnny" Wilson who carries the name Sunahead as Hereditary Chief Allan Williams Sr. calls him, was present during that telephone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Wilson also misleads as he implies that "them" is the four Hereditary Chiefs who "signed" the subject letter, suggesting that they were all present at the meeting he speaks of during the procedural conference(see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no such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My assistance can be sought directly through Hereditary Chief(s), through those carrying the instructions of a Hereditary Chief or power to speak, and/or through helpers of them, in any combination, though not solely through helper even though initial contact may be with the helper, Typically a helper is needed who can use email to facilitate communications, for example, the role of Morris Amos.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any event, it is a matter of evidence. It is not for others to speculate as to the nature of how my assistance is sought and rendered. If proof is required in the nature of evidence, then same can be provided at the appropriate time. At the very least the Commission and the participants and their advisors need to appreciate the fluid nature of dealings, authorities, and quite frankly politics and the potential for intimidation and corruption that occurs in Indian Country, I tried to as delicately as possible make that clear in my submission of October 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been forced to further investigate and am now forced to elaborate. All on a holiday weekend, I add.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am advised mat Hereditary Chief Tom Robinson who carries the name Jesse has now been shown a copy of the subject letter that purports to have been signed by him. I am advised that he stated he did not sign it. I am advised that he had not seen it before being now shown it. I am advised that there was no copy of the subject letter provided or delivered to him previously, I am advised he receives 24/7 caregiving and would not have been able to attend a meeting and did not attend any recent meeting that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speaks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"You will note that these chiefs have made reference to a meeting where they met, and they did meet, I did appear in front of them along with the rest of my elected council members, and we put all of these issues out on the table.</w:t>
      </w:r>
      <w:r>
        <w:rPr>
          <w:rFonts w:ascii="arial" w:eastAsia="arial" w:hAnsi="arial" w:cs="arial"/>
          <w:color w:val="000000"/>
          <w:sz w:val="20"/>
          <w:lang w:val="en-US" w:eastAsia="en-US" w:bidi="ar-SA"/>
        </w:rPr>
        <w:t xml:space="preserve"> The result is that they chose to submit this letter. I had instructed them and informed them that because of the way that two chiefs, one of them that actually has signed that document, Mr. Harvey Grant, was actually no longer a chief. He took his name and gave it to his on, and you'll see that his son, who now is the ranking chief in that clan, signed the letter of support. So I agree with the legal counsel for Alcan in that the Switlo matter should be dismissed and should be given no further relevance in this matter."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Alcan S. 71 Energy Supply Contract Pre-hearing Conference October 5, 2007, Volume 2 Page: 223 line 11 -- 224 line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Wilson misleads.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advised this evening by a Robinson family member selected to inform me that the Robinson family held a family meeting this holiday weekend, including brothers, sisters, grandchildren. None recognize the signature on the subject letter as being presently that of Hereditary Chief Tom Robinson who carries the name Jesse: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can't even write right now. He can barely walk, he could not even read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they confirmed that Hereditary Chief Tom Robinson who carries the name Jesse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attend any such meeting that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speaks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advised that for reasons stated to be pertaining to numerous papers needing to be signed regarding a trapline issue, "the signing of the traplines," much earlier Hereditary Chief Tom Robinson who carries the name Jesse allowed Wilson and Nyce who so requested to make a stamp containing his signature to be used solely for that purpose of papers relating to the "signing of the traplines."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advised that demand for its return has been made long before my involvement in this matter but that the stamp has not been returned. I am advised that Hereditary Chief Tom Robinson who carries the name Jesse has granted a Power of Attorney and that it is being exercised by his POA. I am advised that that POA did not sign the subject letter and did not know of it until it was provided to die POA after October 5, 2007 when it came to my attention through my review of the submission of Donovan &amp; Company on "Duty to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is thus now suspected that me subject letter was "signed" by use of this stamp. I note that it was faxed to Donovan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Company and thus they may not have access to the original subject letter. That would be a matter for IRs and cross-examination and perhaps expert analysis. I am advised that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does not have authority to use this stamp, nor do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advised that a person(s) in the family of Hereditary Chief Tom Robinson who carries the name Jesse is seeking legal advice. In fact, my legal advice was first sought. The person(s) intended to seek assistance from the Commission,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it within the Commissions mandate to compel Steve Wilson to produce the stamp and compare it to the signature of our [relation] if so could you please do so and return it to our [relation] and void any documents with his signature on them. ... does unauthorized use of his signature constitute an infringement, misrepresentation or fraud ... Any assistance in this matter is greatly appreciated by our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responded mat it may be a matter for the RCMP but I will not be providing legal advice to this person(s) or others on that matter as I am not a practicing lawyer in BC. I am advised that the whole of the family is very fearful, especially in light of what was done to Harvey Grant, Sr. discussed below. I am advised that this person(s) has since forwarded all relevant materials to a lawyer for review and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point out that the subject letter implies that all four chiefs had the "opportunity" to assemble and discuss the issues. It does not say that they </w:t>
      </w:r>
      <w:r>
        <w:rPr>
          <w:rFonts w:ascii="arial" w:eastAsia="arial" w:hAnsi="arial" w:cs="arial"/>
          <w:i/>
          <w:color w:val="000000"/>
          <w:sz w:val="20"/>
          <w:lang w:val="en-US" w:eastAsia="en-US" w:bidi="ar-SA"/>
        </w:rPr>
        <w:t>actually</w:t>
      </w:r>
      <w:r>
        <w:rPr>
          <w:rFonts w:ascii="arial" w:eastAsia="arial" w:hAnsi="arial" w:cs="arial"/>
          <w:color w:val="000000"/>
          <w:sz w:val="20"/>
          <w:lang w:val="en-US" w:eastAsia="en-US" w:bidi="ar-SA"/>
        </w:rPr>
        <w:t xml:space="preserve"> assembled and discussed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Hereditary Chief Allan Williams who carries the name Wakas is another Hereditary Chief </w:t>
      </w:r>
      <w:r>
        <w:rPr>
          <w:rFonts w:ascii="arial" w:eastAsia="arial" w:hAnsi="arial" w:cs="arial"/>
          <w:i/>
          <w:color w:val="000000"/>
          <w:sz w:val="20"/>
          <w:lang w:val="en-US" w:eastAsia="en-US" w:bidi="ar-SA"/>
        </w:rPr>
        <w:t>who did not attend</w:t>
      </w:r>
      <w:r>
        <w:rPr>
          <w:rFonts w:ascii="arial" w:eastAsia="arial" w:hAnsi="arial" w:cs="arial"/>
          <w:color w:val="000000"/>
          <w:sz w:val="20"/>
          <w:lang w:val="en-US" w:eastAsia="en-US" w:bidi="ar-SA"/>
        </w:rPr>
        <w:t xml:space="preserve"> any such meeting. He told me that he did not attend any such meeting that Indian Act Chief Councillor Steve Wilson described when I spoke to him late on October 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told me that on the date of the subject letter, he had just had cataract surgery and all his bottom teeth "yanked out." He could not see anything, the effect is like looking cross-eyed, causing headaches, and he was taking huge amounts of Tylenol and other painkillers and medications that he is "just now starting to come off of," When he spoke to me he said he is no longer taking the 6 - 7 pills per hour as he was when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woman came to the door saying she just needed a letter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Hereditary Chief Allan Williams who carries the name Wakas was told by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just a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he asked what it was about, he was told by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nothing important, it just needed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 tired, disoriented, in pain, Hereditary Chief Allan Williams who carries the name Wakas just signed, He was not left a copy of the subject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"That woman" was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band councillor Margaret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During my telephone discussion with Hereditary Chief Allan Williams who carries the name Wakas late on October 8, 2007, he told me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"Harvey Grant was attacked"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told he has no right to speak. Hereditary Chief Allan Williams who carries the name Wakas told me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things being done are not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Grant Sr., who is about 77 years old and recall was so ill previously that he handed over his name to his son, ended up in the hospital. I understand this to mean verbally attacked and not physically attacked.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Hereditary Chief Allan Williams who carries the name Wakas told me of how his family is also at risk but that he must stand up to it as he carries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"name I hold dearly."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Hereditary Chief Allan Williams who carries the name Wakas told me how much I am appreciated in all I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"doing for </w:t>
      </w:r>
      <w:r>
        <w:rPr>
          <w:rFonts w:ascii="arial" w:eastAsia="arial" w:hAnsi="arial" w:cs="arial"/>
          <w:i/>
          <w:color w:val="000000"/>
          <w:sz w:val="20"/>
          <w:lang w:val="en-US" w:eastAsia="en-US" w:bidi="ar-SA"/>
        </w:rPr>
        <w:t>them"</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a meeting I am advised at which there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"three sub chiefs present at the meeting as steve supporters. It was after this meeting the letter was brought around to chiefs to be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Hereditary Chief John Wilson Sr. who carries the name Sunahead and Harvey Grant Jr. who carries the name Wisexs were at the meeting. I am advised that these Hereditary Chiefs were shown a document with the "signature" of Hereditary Chief Tom Robinson who carries the name Jesse appearing on it. They say that since that name was there, they did as they were told and signed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Having since found out that Hereditary Chief Tom Robinson who carries the name Jesse did not sign the subject letter (their words) I am advised that these Hereditary Chiefs say they only signed the subject letter because they saw the signature of Hereditary Chief Tom Robinson who carries the name Jesse already on it and are prepared to provide such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are willing to sign a paper saying the only reason they signed the letter was because Tom's signature was already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I asked for an explanation as to why these Hereditary Chiefs would sign because of seeing the signature of Hereditary Chief Tom Robinson who carries the name Jesse. I was told,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"Hierarchical protocol results in the situation whereby if Tom Robinson's signature appears on a document that is presented it would weigh heavy on the decision of the other clan chiefs to sign as they would not want to be seen publicly to refuse to sign a document that was already signed by the top chief Tom Robinson as this would be seen as an affront to Tom Robinson. I believe that the fact that Steve Wilson had possession of a stamp of Tom Robinson's signature was not widely known and people have not known that he has been incapacitated."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Robinson family member who telephoned me advised me that the condition of Hereditary Chief Tom Robinson who carries the name Jesse is a very well guarded matter. Such is to be expected in respect of the highest rank Hereditary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Hereditary Chief Allan Williams who carries the name Wakas confirmed to me late October 8, 2007 that Hereditary Chief Tom Robinson who carries the name Jesse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high chief. Us five work 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alleged that this meeting caused duress. Intimidation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believe based on what I have been informed of since Friday, October 5, 2007 that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Steve Wilson has intentionally mislead the Commission, and I believe he has engaged in at the very least questionable conduct, has disrespected and mislead Haisla Hereditary Chiefs and abused protocol, and potentially allegedly engaged in criminal conduct, rendering the subject letter of no evidentiary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advise that my instructions have not been rescinded. I advise that my instructions have been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Never in all my experiences have I encountered so much evidence pertaining to such disrespectful behaviour toward Hereditary Chiefs. You are all hereby so warned and 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Alcan S. 71 Energy Supply Contract Pre-hearing Conference October 5, 2007, Volume 2 Page 222 line 14 - 16: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WILSON: Mr. Commissioner, Madam Commissioner, I'm going to speak in English so that you can actually understand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passage in the transcript was pointed out to me. I was told that Indian Act Chief Councillor Steve Wilson does not speak Haisla as he was raised away from the community. I am advised that this statement to the Commission during the procedural conference on October 5, 2007 elicited many humourous reactions, generating discussion about his alleged Italian heritage and that perhaps he decided not to speak Italian to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shared herein only so as to be demonstrative of the manner in which Indian Act Chief Councillor Steve Wilson may allegedly be engaging the Commission and that great care ought to be taken in relying on his submissions at this stage of proceeding where cross-examination is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Indian Act Chief Councillor Steve Wilson during the procedural conference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think a lot of weight must be put on the letter that the true hereditary chiefs have placed in front of you, and that Ms, Switlo and the person that she cited, Mr. M. Amos, do not work for or are not supported by the Haisla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a matter of evidence. It would be reckless to be applying weight at this stage without participants having the benefit of testing such alleged evidence in the form of the subject letter. It would be reckless to dismiss my submissions on basis of a subject letter that may be fraudulent and in any event very short-lived. It is too late in the game for that as all are now on notice. It is reckless to ignore what has gone on the record no matter how much some may want to. That would not be in the public interest. That would not be proper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for some reason the Commission decides it is necessary to definitely determine who represents whom in speaking in this matter instead of, with all due respect, considering the evidence and issues and analysis presented by participants and all whom may either by authority or personal experience and expertise speak on the matters, cognizant of scope, at the proper times in accordance with natural justice, we may be here a very long time, but it can be done. I submit however that it is an unwarranted and tactical distraction from what should and needs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My submissions go to substantial impacts as the result of use and taking of lands and resources. I have clarified the difference between the legal terminology of "First Nation," a Canadian domestic ethnic minority, and who the Haisla are: an Indigenous nation. I explain that there is a need for mutual accommodation based on the relationship as a nation, with the Crown. I have provided a courtesy profile, any Google search will reveal the nature of my in-the-field experience, and I can speak to my background as a matter of evidence at the appropriate time. There is much on my website, www.switlo.com.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close this down, then you close down access - leaving no alternative than what is being seen in Ontario and Manitoba. Personally, I submit that is in no one's interest, least of all the public. Just look at who has been hurt at Caledonia, homeowners and at Eastern Lake Winnipeg, cottage owners and cottage lot purchasers -- small business, local economies. The Commission cannot say, with all due respect, that there is nothing here of relevance, within scope to the responsibilities and purposes of this hearing. It won't be Alcan and BC Hydro necessarily feeling the potential impacts here, it will be the immediate neighbours of the Haisla, and all their relations in the BC Northwest.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am not called into calm, settled, unified areas where there are no allegations of corruption and no allegations of intimidation, where fairness and equity and respect prevail. I am called in where matters have become so intense and unstable that resort is had to my assistance. I am like a last resort, leaving only thereafter more aggressive forms of action. I am the one who people turn to when they know people are getting too frustrated and may decide to take things into their own hands, no matter what Hereditary Chiefs or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Councillors or Councillors do or say or represent. I am the one people turn to when things are boxed in and threaten to turn deadly. Secwepemc defenders walked out and the Gustafsen Lake standoff ended the morning after I agreed to assist them. The Caledonia traffic began to flow again after I helped the people and the Confederacy Chiefs. Give this some strong consideration. This is not some moot academic game. I don't waste time and I don't bluff. This should be no surprise for people who have done their research 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Conclude these matters, say I have no interest in this, then there is nothing more I can do to assist all involved here. I took an oath to Her Majesty upon being called to the bar of British Columbia. I took another oath when I joined the Department of Justice. I am not relieved of my duty. That duty is to protect the public interest, to protect Her Majesty's interests. It is in the public interest and in Her Majesty's interests that the matters I raise in this hearing are included and not ignored. If they are, my duty is met as I will have done everything within my power, but such decision does not relieve the Commission of its duties and indeed supports the allegation that they fail before they even begin, having precluded natural justice and predetermined issues and thereby caused harm to the very public interest it is to protect. That fails industry, all the communities, British Columbia and indeed Canada as a whole because this has very far reaching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say mutual accommodation is necessary or because of equitable principals what is owed to the Haisla will be carried through this contract to BC Hydro and thus its customers, and exposes communities to very serious issues that has already been proven elsewhere in Canada flash suddenly with harsh consequences with all too often frequency. Whether that materializes now or is presently contained by a system of alleged nepotism, control of benefits on reserve, intimidation, or outright fraud, or in the future -- I can assure, based on my experience elsewhere and knowledge of this community, that it will not go just away. And if not dealt with today, it will fester and ferment and be all that more difficult to resolve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can say with a straight face that that does not matter to die public interest It most certainly does.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Alcan S. 71 Energy Supply Contract Pre-hearing Conference October 5, 2007, Volume 2 Page 187 Line 10-21: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w:t>
      </w:r>
      <w:r>
        <w:rPr>
          <w:rFonts w:ascii="arial" w:eastAsia="arial" w:hAnsi="arial" w:cs="arial"/>
          <w:i/>
          <w:color w:val="000000"/>
          <w:sz w:val="20"/>
          <w:lang w:val="en-US" w:eastAsia="en-US" w:bidi="ar-SA"/>
        </w:rPr>
        <w:t>all of our issues address aspects of cost-effectiveness, and although we didn't intend to explore the regional socio-economic impacts and the First Nations concerns, we do submit that these parties do have the right to explore those issues.</w:t>
      </w:r>
      <w:r>
        <w:rPr>
          <w:rFonts w:ascii="arial" w:eastAsia="arial" w:hAnsi="arial" w:cs="arial"/>
          <w:color w:val="000000"/>
          <w:sz w:val="20"/>
          <w:lang w:val="en-US" w:eastAsia="en-US" w:bidi="ar-SA"/>
        </w:rPr>
        <w:t xml:space="preserve"> Comments today from our Commission Chair, Mr. Hobbs, indicate that the potential importance of these considerations could be greatly increased should the decision become a close call. And I think it would be dangerous to limit the scope of this hearing at this point because the closeness of this call won't be apparent until die end of this process,"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WORTH: ... as counsel with Mr. Quail for the BCOAPO et al. (Consumers' Association (B.C. Branch, B.C. Old Age Pensioners' Organization, Counsel Of Senior Citizens' Organizations, Federated Anti- Poverty Groups Of B.C., West End Seniors' Network))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 be clear, the subject letter does not take care of it. I am certain the lawyers involved in this matter can appreciate the need that arises to ascertain the evidential value of the subject letter. There is no role for sharp practices here based on a subject letter created and submitted under such a cloud.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an oral hearing. If by the appropriate time matters are resolved internally to the Haisla, and/or mutual accommodation has occurred, there is no need for any evidence, and there is good news before Christmas.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Steve Wilson the mobster wannabe? Is Steve Wilson the industry puppet and/or profiting insider? Is Steve Wilson's "it's someplace safe" answer to Haisla Hereditary Chiefs' many requests for details on Haisla trust/money assets somewhere offshore like in other on-reserve examples? Is Steve Wilson the benevolent and respectful servant of the Haisla Hereditary Chiefs? Is Steve Wilson the protector of Elders? Is Steven Wilson the determiner of the public interest having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Having spoken to Haisla over the years, having regard to the above and my experience, I have already come to my own conclusion. If the Commission wishes to make its own determination thinking that that will somehow address its duty to the public, that will have to take place during the oral hearing, where I can then cross examine and bring witness and evidence, as to what was done and said in that meeting that led to that subject letter that lawyers say supports that I as a participant should be ignored and removed from further participation and that my submissions should be ignored And people will have to wait longer to decorate their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are better ways for us to focus our time at this juncture and during the oral hearing: the significant issues, including those I have raised in my submission of October 3, 2007, helping the Commission to exercise its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also say, it is not an issue of consultation and accommodation. But I do say, it is an issue of mutual accommodation, and that is a significant issue that triggers impact to other significant issues, and I say, I am uniquely qualified and empowered to speak to this, on my own behalf, in accordance with my oaths, in accordance with my continuing commitment to Indigenous nations as protector of the ancient laws, in accordance with the symbols of authorities that I carry, and on behalf of the Haisla Hereditary Chiefs as I have been asked to, which is to say, the Haisla ancient law, the Haisla (Indigenous) Nation, not "First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was asked to act I am requested to continue my representation. I remain a participant as well. I advise that I intend to continue to remain a participant able to contribute significantly on significant issues, uniquely qualified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Who knows what will happen next in the Haisla community given the pattern of behaviour and allegations that exist some of which are specified herein. It must be remembered that notwithstanding their positions, these Haisla Hereditary Chiefs are elderly men, in their seventies and eighties. It must be remembered that at any time, any Haisla national is vulnerable. With respect, it is all a red eulachon this effort to distract from the issues or to ensure my contributions cannot be made or heard. One last Haisla can stand to speak if it comes down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at least there is a willingness to participate in this process. It is a mistake to close that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not interested in the course of this oral hearing in indulging in any participant's political tactics, in the wasting of everyone's collective time. I suspect the other participants are not interested in that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appreciate no one wants this stuff in and no one wants to deal with the matters I raise, particularly in such a time-crunched scenario. With respect, that's not my problem. The fact is it's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Deal with it. That's your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Deal with it this way, or British Columbia ends up dealing with it in other far less controlled, pleasant, and predictable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Govern yourselves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that is all I have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Janice G.A.E. Switlo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D - Letter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October 10,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Utilities Commission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Howe Street, Box 250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Sixth Floor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2N3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Via email; Commission Secretary BCUC; EX [Commission.Secretary@bcuc.com]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Sirs/Mesdames: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British Columbia Utilities Commission in the Matter of the Utilities Commission Act,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And A Filing by British Columbia Hydro and Power Authority of the 2007 Electricity Purchase Agreement with Alcan Inc. as an Energy Supply Contract Pursuant to Section 71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IR #1 of Haisla Hereditary Chiefs and Janice G.A.E. Switlo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an Intervener Information Request to both BC Hydro and Alcan, served by one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require all information that will allow us to calculate the amount of profit that has been made directly or indirectly by all parties and to be placed in a position of full knowledge of the results of previous, ongoing and future operations on its lands, including BC Hydro and Alcan and its subsidiaries or associates, from the use of Haisla land, water, and resources from the time of first disputed access to and continuing in the future pursuant any agreement such as the 2007 EPA, and all information by them pertaining to any due diligence conducted as to with whom they should be dealing in regards to the Haisla, all and any efforts made to determine with whom they should be dealing and providing information to, and all information pertaining to all initiated or purportedly concluded efforts to achieve certainty and a mutual accommodation with the Haisla in order to engage in generation of profit from use of land, water and resources such as proposed by the 2007 EPA, including all purported agreements, benefits, donations, cash payments and deposits made, including but not limited to the following,</w:t>
      </w:r>
      <w:r>
        <w:rPr>
          <w:rFonts w:ascii="arial" w:eastAsia="arial" w:hAnsi="arial" w:cs="arial"/>
          <w:sz w:val="20"/>
          <w:lang w:val="en-US" w:eastAsia="en-US" w:bidi="ar-SA"/>
        </w:rPr>
        <w:cr/>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was earned, gross and net, per year, from the generation and sale of electricity at Kemano sold to BC Hydro through the LTEPA and to Powerex Corp? (Preamble C of 2007 EPA)</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value of all in kind or money provided in respect of the Haisla, by whom was it provided under the past agreement(s) regarding sale of electricity to whom and how was that provided and what is to be provided by whom as the result of the 2007 EPA?</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has been discussed, exchanged, provided by whom to anyone purportedly on behalf of or relating in anyway to the Haisla?</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due diligence has been done so as to ascertain with whom the parties should be dealing to achieve mutual accommodation and hence certainty with the Haisla in respect of the 2007 EPA?</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Which Haisla Hereditary Chiefs have you approached, and when, met and/or negotiated with regarding </w:t>
      </w:r>
      <w:r>
        <w:rPr>
          <w:rFonts w:ascii="arial" w:eastAsia="arial" w:hAnsi="arial" w:cs="arial"/>
          <w:b/>
          <w:color w:val="000000"/>
          <w:sz w:val="20"/>
          <w:lang w:val="en-US" w:eastAsia="en-US" w:bidi="ar-SA"/>
        </w:rPr>
        <w:t>[Page 2]</w:t>
      </w:r>
      <w:r>
        <w:rPr>
          <w:rFonts w:ascii="arial" w:eastAsia="arial" w:hAnsi="arial" w:cs="arial"/>
          <w:color w:val="000000"/>
          <w:sz w:val="20"/>
          <w:lang w:val="en-US" w:eastAsia="en-US" w:bidi="ar-SA"/>
        </w:rPr>
        <w:t xml:space="preserve"> use and generation of profit from their land?</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agreements oral or written have been entered into with anyone in any way relating to the Haisla?</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minutes of meetings, negotiations, memoranda to file exist pertaining to all of the above?</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representations have been made to you by anyone purportedly speaking on behalf of Haisla and/or holding out having authority to engage you on mutual accommodation?</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you intend to provide certainty in terms of actual cost to BC Hydro of the sale of electricity given it is electricity being produced without the permission of the Haisla Hereditary Chiefs and there has been no mutual accommodation between the parties to the 2007 EPA and Haisla?</w:t>
      </w:r>
    </w:p>
    <w:p>
      <w:pPr>
        <w:numPr>
          <w:numId w:val="1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by the parties to the 2007 EPA that mutual accommodation has occurred or is occurring, what is the exact nature of that and on what do you rely to say that?</w:t>
      </w:r>
    </w:p>
    <w:p>
      <w:pPr>
        <w:numPr>
          <w:numId w:val="1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has been earned, what information as to profit has been provided to Haisla, to whom, and what is intended to be provided to Haisla now in respect of the 2007 EPA?</w:t>
      </w:r>
    </w:p>
    <w:p>
      <w:pPr>
        <w:numPr>
          <w:numId w:val="1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reports, plans and notices, disclosures do the parties plan to deliver to Haisla and to whom, how, when?</w:t>
      </w:r>
    </w:p>
    <w:p>
      <w:pPr>
        <w:numPr>
          <w:numId w:val="1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parties able to provide to demonstrate any contributions to the Haisla in any form whatsoever that could be construed as contributing to a mutual accommodation between them and Haisla, including the details of any arrangements, donations, payments, gifts, contractual preferences?</w:t>
      </w:r>
    </w:p>
    <w:p>
      <w:pPr>
        <w:numPr>
          <w:numId w:val="1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Operating Committee has no role for Haisla; what are the plans for informing the Haisla and for allowing for at least their observation of meetings and workings of the JOC? How does the JOC plan to solicit and provide advice to the parties in regards to Haisla? How will the parties be responsible to Haisla?</w:t>
      </w:r>
    </w:p>
    <w:p>
      <w:pPr>
        <w:numPr>
          <w:numId w:val="1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as in 14. above is repeated in respect of the Transmission Authority.</w:t>
      </w:r>
    </w:p>
    <w:p>
      <w:pPr>
        <w:numPr>
          <w:numId w:val="1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will Haisla benefit from this 2007 EPA? The modernization if it proceeds? How might they and/or their lands, water and resources be harmed?</w:t>
      </w:r>
    </w:p>
    <w:p>
      <w:pPr>
        <w:numPr>
          <w:numId w:val="1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plans re: Haisla for mutual accommodation in the event of the desire to expand or improve Kemano?</w:t>
      </w:r>
    </w:p>
    <w:p>
      <w:pPr>
        <w:numPr>
          <w:numId w:val="1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level of electricity service to Haisla, on reserves and within the whole of their lands and how will that improve with this 2007 EPA? How will and how might Haisla thus benefit from this 2007 EPA, what new opportunities are presented hereby this 2007 EPA to Haisla?</w:t>
      </w:r>
    </w:p>
    <w:p>
      <w:pPr>
        <w:numPr>
          <w:numId w:val="1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Why is Haisla not included as a party to the 2007 EPA? What attempts were made to seek their inclusion as a party to the 2007 EPA?</w:t>
      </w:r>
    </w:p>
    <w:p>
      <w:pPr>
        <w:numPr>
          <w:numId w:val="1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section 11.6 the parties agree as to liability between them regarding party performance under the 2007 EPA but there is nothing in the 2007EPA that apportions liability for any such as itemized in section 11.6 that arises as the result of lack of mutual accommodation with the Haisla. How will the parties appropriate liability should present liabilities prove necessary to pursue by the Haisla in the event </w:t>
      </w:r>
      <w:r>
        <w:rPr>
          <w:rFonts w:ascii="arial" w:eastAsia="arial" w:hAnsi="arial" w:cs="arial"/>
          <w:b/>
          <w:color w:val="000000"/>
          <w:sz w:val="20"/>
          <w:lang w:val="en-US" w:eastAsia="en-US" w:bidi="ar-SA"/>
        </w:rPr>
        <w:t>[Page 3]</w:t>
      </w:r>
      <w:r>
        <w:rPr>
          <w:rFonts w:ascii="arial" w:eastAsia="arial" w:hAnsi="arial" w:cs="arial"/>
          <w:color w:val="000000"/>
          <w:sz w:val="20"/>
          <w:lang w:val="en-US" w:eastAsia="en-US" w:bidi="ar-SA"/>
        </w:rPr>
        <w:t xml:space="preserve"> of no mutual accommodation? Who pays for the conversion, trespass conversion, trover, trespass, trespass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accounting for profits both from Alcan and BC Hydro on this subject deal?</w:t>
      </w:r>
    </w:p>
    <w:p>
      <w:pPr>
        <w:numPr>
          <w:numId w:val="1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the submissions of Haisla Hereditary Chiefs and Switlo, do the parties consider any such event would be characterized as falling within the inclusive definition of Force Majeure? If so on what basis? Why would you think it beyond your control when you are able to engage in mutual accommodation with the Haisla? Is there anything precluding the parties from their incorporation documents from engaging in mutual accommodation so as to achieve certainty in this 2007 EPA? If so, what precisely?</w:t>
      </w:r>
    </w:p>
    <w:p>
      <w:pPr>
        <w:numPr>
          <w:numId w:val="1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about a blockade or other direct action -- would the parties consider this as being within the inclusive definition of Force Majeure?</w:t>
      </w:r>
    </w:p>
    <w:p>
      <w:pPr>
        <w:numPr>
          <w:numId w:val="1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9.1 - does Alcan hold title insurance? Plan to obtain it? Are they able to?</w:t>
      </w:r>
    </w:p>
    <w:p>
      <w:pPr>
        <w:numPr>
          <w:numId w:val="1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of the parties are required to account for an disgorge all profits to the Haisla, will this be considered Major Damage as defined in the 2007 EPA (s, 61 Appendix I)?</w:t>
      </w:r>
    </w:p>
    <w:p>
      <w:pPr>
        <w:numPr>
          <w:numId w:val="1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10.2(b) -- do the parties realize that Haisla laws also apply here? Reviewing the definitions in section 40 and 51 of Appendix One -- do the parties realize that pursuant to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relationship between the Haisla and Her Majesty and Her Majesty's extension of protections and of Canadian citizenship that Haisla are dual nationals subject to any rejection by Haisla of secondary Canadian citizenship, and that as such, while an Indigenous nation, their governmental authorities as represented by the Haisla Hereditary Chiefs and resulting structures and institutions, and to the extent of their administrative on-reserve functions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the Kitimaat Indian Band Council (who often call themselves as Kitimaat Village Council), also fall within the definition of Laws therein?</w:t>
      </w:r>
    </w:p>
    <w:p>
      <w:pPr>
        <w:numPr>
          <w:numId w:val="1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parties realize that the fundamental principles of the subject Indigenous laws are sharing, caring and a balance between sustainability and profitability, and that this is achieved through mutual accommodation between the parties and the Haisla?</w:t>
      </w:r>
    </w:p>
    <w:p>
      <w:pPr>
        <w:numPr>
          <w:numId w:val="1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payments, their nature and kind, to be made Haisla and what is their schedule of payment and to whom is it intended these payments will be made, and how are they to be characterized?</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their knowledge, why would Indian Act Chief Steve Wilson personally be supporting Alcan in this matter?</w:t>
      </w:r>
    </w:p>
    <w:p>
      <w:pPr>
        <w:numPr>
          <w:numId w:val="1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paying or may pay $22.5 million to Indian Act Chief Councillor Steve Wilson that he has said on reserve the intervening of the Haisla Hereditary Chiefs and Switlo as participants herein threatens? For what purpose has this been agreed and by whom or is being discussed? Does this assist in answering question 28. above?</w:t>
      </w:r>
    </w:p>
    <w:p>
      <w:pPr>
        <w:numPr>
          <w:numId w:val="1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assignment of the 2007 EPA to other party(ies) how do the parties intend to explain their responsibilities and ensuing liabilities to the Haisla, particularly without the Haisla being a party to the 2007 EPA or the parties having a collateral agreement with the Haisla forming a part of the 2007 EPA?</w:t>
      </w:r>
    </w:p>
    <w:p>
      <w:pPr>
        <w:numPr>
          <w:numId w:val="1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BC Hydro realize that it cannot be released from its obligations and liabilities re Haisla in the event of assignment of the 2007 EPA without the Haisla so agreeing? How does BC Hydro plan to minimize this where the Haisla are not a party to the 2007 EPA and there is no agreement collateral thereto?</w:t>
      </w:r>
    </w:p>
    <w:p>
      <w:pPr>
        <w:numPr>
          <w:numId w:val="1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can Alcan prove it owns its assets in the subject area where there has been nothing to achieve that in </w:t>
      </w:r>
      <w:r>
        <w:rPr>
          <w:rFonts w:ascii="arial" w:eastAsia="arial" w:hAnsi="arial" w:cs="arial"/>
          <w:b/>
          <w:color w:val="000000"/>
          <w:sz w:val="20"/>
          <w:lang w:val="en-US" w:eastAsia="en-US" w:bidi="ar-SA"/>
        </w:rPr>
        <w:t>[Page 4]</w:t>
      </w:r>
      <w:r>
        <w:rPr>
          <w:rFonts w:ascii="arial" w:eastAsia="arial" w:hAnsi="arial" w:cs="arial"/>
          <w:color w:val="000000"/>
          <w:sz w:val="20"/>
          <w:lang w:val="en-US" w:eastAsia="en-US" w:bidi="ar-SA"/>
        </w:rPr>
        <w:t xml:space="preserve"> law so as to terminate Haisla ownership? In section 17.1(a) Alcan represents that is has authority to own but it does not hold out that it actually owns or how it can own, where for example there is no written treaty to such effect between the Haisla and Her Majesty. How does Alcan confirm it has the permission of Haisla to use and control certain Alcan Assets? How can it prove that Haisla will not enforce its ownership or continue to allow if de facto that has occurred, how plan to address this uncertainty?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Assets --No appropriation, expropriation or seizure of all or any portion of Kemano is pending or threatened;"</w:t>
      </w:r>
    </w:p>
    <w:p>
      <w:pPr>
        <w:numPr>
          <w:numId w:val="1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can Alcan continue to say this given the submissions by Haisla Hereditary Chiefs and Switlo?</w:t>
      </w:r>
    </w:p>
    <w:p>
      <w:pPr>
        <w:numPr>
          <w:numId w:val="1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can Alcan make representation in 17.1(d) in the absence of an agreement to such effect by the Haisla? Bringing us back to the question regarding Force Majeure.</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Same information request as for section 17.1 as for 17.2 (a), (c) and (d) for BC Hydro.</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Why are there no indemnities in the 2007 EPA pertaining to the Haisla, such as contained in sections 18.1 and 18.2?</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collateral agreement between the parties and Haisla intended to be negotiated, is it being negotiated, if so, with whom, and what are all the documents, procedures and anything whatsoever created so far pertaining to it?</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section 19.5 that says the 2007 EPA is the entire agreement, how do the parties proposed to achieve mutual accommodation with the Haisla?</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the parties propose to deal with the need for information exchange with the Haisla for purposes of mutual accommodation given section 19.8 of the 2007 EPA, the fact of Haisla not being a party thereto and no collateral agreement thereto exists with the Haisla?</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19.10, do the parties interpret this to include signing an amendment to the 2007 EPA such that Haisla is a party thereto or concluding an agreement with the Haisla collateral thereto together with necessary amendment to the 2007 EPA so as to achieve such collateral effect? With whom do they intend to engage in negotiations to do so? Has this already commenced? If so, with whom in what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reiterate the following except as applies to the Haisla as there is no legal entity "Haisla First Nation" but if that means the Kitimaat Indian Band called by some the "Haisla First Nation," the following are extended so as not to be confined to on-reserve jurisdictions and thus asked of in respect of the Haisla: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"REQUESTOR NAME: B.C. UTILITIES COMMISSION INFORMATION REQUEST ROUND NO: 1 TO: ALCAN INC. DATE: OCTOBER 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PROJECT NO: 3698475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NAME: SECTION 71 FILING OF 2007 ELECTRICITY PURCHASE AGREEMENT ("2007 EPA") WITH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Reference: Haisla First Nation, Exhibit C3-3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4.1 In Exhibit C3-3, the Haisla First Nation state that their support for Alcan is subject to the negotiation between </w:t>
      </w:r>
      <w:r>
        <w:rPr>
          <w:rFonts w:ascii="arial" w:eastAsia="arial" w:hAnsi="arial" w:cs="arial"/>
          <w:b/>
          <w:color w:val="000000"/>
          <w:sz w:val="20"/>
          <w:lang w:val="en-US" w:eastAsia="en-US" w:bidi="ar-SA"/>
        </w:rPr>
        <w:t>[Page 5]</w:t>
      </w:r>
      <w:r>
        <w:rPr>
          <w:rFonts w:ascii="arial" w:eastAsia="arial" w:hAnsi="arial" w:cs="arial"/>
          <w:color w:val="000000"/>
          <w:sz w:val="20"/>
          <w:lang w:val="en-US" w:eastAsia="en-US" w:bidi="ar-SA"/>
        </w:rPr>
        <w:t xml:space="preserve"> Alcan and the Haisla First Nation of an overall agreement. Please outline the status of discussions regarding such an agreement, and the schedule of steps that are expected to lead to its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Please outline the areas that are expected to be covered by such an "overall agreement". Will any of the areas affect the ability of Alcan to meet its obligations under the 2007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In the view of Alcan, will the 2007 EPA and its acceptance for filing by the Commission have any impact on the Haisla First Nation? If yes, please explain what the impacts are. What is Alcan (or BC Hydro) doing, or could do, to accommodate the Haisla First Nation with respect to these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"REQUESTOR NAME: B.C. UTILITIES COMMISSION INFORMATION REQUEST ROUND NO: I TO: BRITISH COLUMBIA HYDRO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POWER AUTHORITY DATE: OCTOBER 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PROJECT NO: 3698475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NAME: SECTION 71 FILING OF 2007 ELECTRICITY PURCHASE AGREEMENT ("2007 EPA") WITH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Reference: Haisla First Nation, Exhibit C3-3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108.1 In Exhibit C3-3, the Haisla First Nation state that their support for Alcan is subject to the negotiation between Alcan and the Haisla First Nation of an overall agreement. In the view of BC Hydro, will the 2007 EPA and its acceptance for filing by the Commission have any impact on the Haisla First Nation? If yes, please explain what the impacts are. What is BC Hydro or Alcan doing, or could do, to accommodate the Haisla First Nation with respect to these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reiterate the following as aforesaid for the Haisla rather than "Haisla First Nation" asked in the October 4, 2007 Independent Power Producers letter:</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on the Contract of the agreement between Alcan and the Haisla First Nation with respect to flows for the protection of eulachon;"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are our questions, reserving the right to seek further information via information requests) in this matter as information is provided and/or obtained by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Respectfully submitted in personal participant capacity and as per instructions by Haisla and Haisla Hereditary Chiefs, Participant.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Janice G.A.E. Switlo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E - Letter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Haisla P.O. Box 1108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Kitamaat Village B.C.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VOT2BO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Utilities Commission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Howe Street, Box 250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Sixth Floor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2N3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Via facsimile: 604.660.1102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Sirs/Mesdames: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 British Columbia Utilities Commission in the Matter of the Utilities Commission Act,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And A Filing by British Columbia Hydro and Power Authority of the 2007 Electricity Purchase Agreement with Alcan Inc. as an Energy Supply Contract Pursuant to Section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Haisla Hereditary Chiefs and Janice G.A.E. Switlo Confirmation of Representation CC12-7)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confirm that we properly sought intervener status by our letter of September 26, 2007 to you and were accorded intervener status. There was no authority for you to withdraw the September 26, 2007 letter seeking our intervener status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October 2, 2007 letter provided by Steve Wilson was a fraud perpetuated on the BCUC and we presume on Donovan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Our representation continues by Janice G.A,E. Switlo, our Helper, since September 26, 2007 when she agreed to assist us in this matter. The Commission has no authority to determine who speaks for us at any time and we demand retraction from the record of all and anything pertaining to that fraudulent letter, including your statements that issued on October 10, 2007 purporting to recognize Steve Wilson as speaking for us, for the Haisla Nation, you are clearly using the fraudulent letter dated October 2, 2007 notwithstanding our Helper properly advised you on that prior to your issuing your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Switlo submitted a detailed explanation of what transpired with this fraud on October 9, 2007. Steve Wilson has since cut the stamp in half used to fraudulently apply the "signature" of Tom Robinson who carries the name Jesse and returned one-half of it. Switlo submitted our Information request on October 10, 2007. Yet after this, you make a statement later on October 10, 2007 that you will hear from Steve Wilson for the Haisla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completely inappropriate, a breach of protocol; and very disrespectful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demand that the record be corrected to reflect that we remain as intervener, that Switlo assists us, is our Helper. Unless we specifically advise that she does not represent our position, her submissions continue to speak for us as they have since her involvement on our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We speak for the Haisla Nation. Steve Wilson was elected to deal with administrative matters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His recent actions bring into serious question his ability to continue even in that capacity. We confirm that he does not speak for us in any capacity nor has he ever done so in this matter before you, nor do we confer our delegation or authority in any manner to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Kitimaat Indian Band Council or any of them, who also calls itself the Kitimaat Village Council (band council) in any respect in any way in this matter before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Information has just come to us that Steve Wilson has allegedly taken ownership in a Europa Creek private power license that was formerly Alcan s. We expect Alcan to properly and fully inform us as to this transaction, in addition to all others, in response to our questions as asked for us by Switlo in our Information Request of October 10, 2007 submitted by her that day. Including specifically, how Steve Wilson came to be the alleged owner. We understand, Plutonic Power, a VSE startup we are advised with a half a billion dollar public purchase order for river power deals yet to be built in Toba Inlet is another owner in that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repeat. We are to be provided full details of exactly all benefits conferred on anyone such as Steve Wilson as we maintain that such benefits and business arrangements ought to be conferred on the Haisla Nation, should we so accept through a proper process, as a matter of achieving our accommodation to the parties in the matter of this 2007 EPA: mutual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advise that Harvey Grant Jr. who carries the name Wisexs is in a conflict of interest in this matter as he is an employee of Alcan, a foreman, and we are apprised that staff Alcan employees have been warned at risk of loss of their employment that they must support Alcan in this matter of the 2007 Electricity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you continue to hear from Steve Wilson in this, and regarding all previous submissions made by him, we caution that he has only and can only speak for himself. His conflict of interest precludes his being involved in any decisions by the band council in relation to the 2007 EPA and this BCUC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Aces-Gwa-Las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Signed at Kitamaat this 11th day of October, 2007,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[SIGNATURES]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F - Letter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October 20,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Utilities Commission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Howe Street, Box 250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Sixth Floor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2N3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Via email: Commission Secretary BCUC: EX [Commission.Secretary@bcuc.com]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Sirs/Mesdames: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British Columbia Utilities Commission in the Matter of the Utilities Commission Act,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And A Filing by British Columbia Hydro and Power Authority of the 2007 Electricity Purchase Agreement with Alcan Inc. as an Energy Supply Contract Pursuant to Section 71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Response by Haisla Hereditary Chiefs and Janice G.A.E. Switlo to letter dated October 19, 2007 from Roger McConchie to BCUC, and letter of Donovan </w:t>
      </w:r>
      <w:r>
        <w:rPr>
          <w:rFonts w:ascii="arial" w:eastAsia="arial" w:hAnsi="arial" w:cs="arial"/>
          <w:b/>
          <w:i/>
          <w:color w:val="000000"/>
          <w:sz w:val="20"/>
          <w:lang w:val="en-US" w:eastAsia="en-US" w:bidi="ar-SA"/>
        </w:rPr>
        <w:t>&amp;</w:t>
      </w:r>
      <w:r>
        <w:rPr>
          <w:rFonts w:ascii="arial" w:eastAsia="arial" w:hAnsi="arial" w:cs="arial"/>
          <w:b/>
          <w:color w:val="000000"/>
          <w:sz w:val="20"/>
          <w:lang w:val="en-US" w:eastAsia="en-US" w:bidi="ar-SA"/>
        </w:rPr>
        <w:t xml:space="preserve"> Company of October 12, 2007 to BCUC together with email from Roger McConchie to Allan Donovan October 12, 2007 1:43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I say that it ought to be a simple matter for the BCUC in this proceeding regarding the Haisla. I respectfully offer this to assist the BCUC in how to think about the situation before the BCUC with the purpose of encouraging keeping things on track in light of the very tight schedule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Before the BCUC is appearing an intervenor, Steve Wilson, who is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Councillor of an Indian Band, </w:t>
      </w:r>
      <w:r>
        <w:rPr>
          <w:rFonts w:ascii="arial" w:eastAsia="arial" w:hAnsi="arial" w:cs="arial"/>
          <w:i/>
          <w:color w:val="000000"/>
          <w:sz w:val="20"/>
          <w:lang w:val="en-US" w:eastAsia="en-US" w:bidi="ar-SA"/>
        </w:rPr>
        <w:t>de jure</w:t>
      </w:r>
      <w:r>
        <w:rPr>
          <w:rFonts w:ascii="arial" w:eastAsia="arial" w:hAnsi="arial" w:cs="arial"/>
          <w:color w:val="000000"/>
          <w:sz w:val="20"/>
          <w:lang w:val="en-US" w:eastAsia="en-US" w:bidi="ar-SA"/>
        </w:rPr>
        <w:t xml:space="preserve"> the Kitimaat Indian Band, but usually referring to the band as the "Haisla First Nation" certainly at the start of the present events, and thus member of the band council, who holds office for a term of two years, and whomever he speaks for, which he may say even most aggressively but does not even need to be decided by the BCUC, Donovan &amp; Company serving as legal counsel, who presents a position. That position, repeated a number of times in writing and orally, includes the position if I understand the position correctly that "accommodation and consultation" (sec. 35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1982 doctrine of aboriginal rights and title) has not been satisfied but does not need to be dealt with by the BCUC in this hearing. The position also includes representation as to what is the legal nature of the Indian band, and who has the legal authority to act for and in what capacity and for what things, and where for the Indian band, essentially saying, in all things as the Haisla Hereditary Chiefs can not act, for example because the Haisla First Nation is the same as the Iskut First Nation, if I understand the position correctly, and most recently submitted, without need for the Haisla Hereditary Chiefs except as the band council may feel need to consult them in accordance with a process determined by the band council. In particular, this position says that Alcan and BC Hydro have to do their deal with the band council and that there is no deal in place. The position implies that the deal needed is outside of and not collateral to the 2007 EPA that is the subject of this hearing. It is not clear to me if the position includes that the 2007 EPA is to be contingent on the deal and with respect, this may be an area the BCUC may wish to clarify with this intervenor. This is how I understand what has been submitted to date, but for remaining purposes, we continue by simply saying, "position 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Also before the BCUC is appearing intervenors, Haisla Hereditary Chiefs, who hold office (carry names and the responsibilities and assets attached to those names) generally for life (but names can be stripped or passed or hung up) and me, a 10-year call lawyer but no longer a domestic practising lawyer though member of the International Bar Association (as is Mr. McConchie, including us both being members in the Human Rights Institute) thus a specialist (consultant), who present a position. That position says,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what the legal nature of the Haisla Indigenous nation is, what the nature of the interaction is between the Haisla Hereditary Chiefs and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band council, the implications of interferences by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the nature of the relationship with Her Majesty, that there is no acceptance by the Haisla of the mere bare assertion of sovereignty of the Crown. The position says that "mutual accommodation" must be achieved in the great matter of the public interest and that failure to achieve mutual accommodation may result in significant contingent liabilities that may affect,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cost of electricity should equitable remedies result, or economic stability, that goes to the core of the issues before the BCUC. The position says dealing with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 and council is not always enough though it can be, but that that is not the case for the Haisla. The position says the Haisla are not like the Iskut First Nation (explained in response to Donovan &amp; Company's two submissions, Exhibits C3-6 and C3-7, by separate submission) and that far from being a practical and only way to proceed, for anyone such as the BCUC to attempt to force such a structure on the Haisla or indeed other Indigenous nations known to me, would be a serious irritant and potentially irresponsible approach given the potential to threaten the peace. The position says that the Haisla Hereditary Chiefs must be dealt with and do not act through the band council in this matter. The position says that certainty can be achieved most strongly where the deal with the Haisla is collateral to and not outside of the 2007 EPA and/or the Haisla are a party to the 2007 EPA. For remaining purposes we continue simply saying, "position 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BCUC is very accustomed to dealing with differing positions and submissions in the course of fulfilling its duties. Nothing should change just because the positions involve the Haisla. There should be no special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if every court case, commission, hearing, dealing has to be held up to rehash positions, especially in the context of Indigenous nations and nationals and Indian bands and band members, with each trying to get all others to accept their position, the province of British Columbia and Canada as a whole, is going to go no where fast. And ignoring it is not the solution. Today is proof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There should be no power or control or exclusionary struggles. The duties are the same: the best interests and protection of the people -- by the band councils (see my response to Donovan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Company's two submissions, Exhibits C3-6 and C3-7 by separate submission), by the Hereditary/Clan/Elder Indigenous governances, by transitionary and hybrids of the two preceding, by Her Majesty and all her governments and extensions. The object is to work together, in the interest of Peace, Order and Good government. That is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Having looked at this great matter of public interest intensely for a long time, having walked among and knowing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chiefs and councils, Hereditary Chiefs, Elders, Clan mothers, the people, Her Majesty's government officials, as a non-native though carrying symbols of authority from some, I say that "mutual accommodation" will make it happen. Others are completely entitled to disagree with me and present their own solutions and approaches supported by their own efforts, research, analysis, and field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But whether Steve Wilson or the band council say he or they have all the power or whether the Haisla Hereditary Chiefs say they have all the power, or they each or some or all say something in between, it just is not something to be </w:t>
      </w:r>
      <w:r>
        <w:rPr>
          <w:rFonts w:ascii="arial" w:eastAsia="arial" w:hAnsi="arial" w:cs="arial"/>
          <w:i/>
          <w:color w:val="000000"/>
          <w:sz w:val="20"/>
          <w:lang w:val="en-US" w:eastAsia="en-US" w:bidi="ar-SA"/>
        </w:rPr>
        <w:t>decided</w:t>
      </w:r>
      <w:r>
        <w:rPr>
          <w:rFonts w:ascii="arial" w:eastAsia="arial" w:hAnsi="arial" w:cs="arial"/>
          <w:color w:val="000000"/>
          <w:sz w:val="20"/>
          <w:lang w:val="en-US" w:eastAsia="en-US" w:bidi="ar-SA"/>
        </w:rPr>
        <w:t xml:space="preserve"> by the BCUC. The BCUC has no jurisdiction to decide that. And the BCUC doesn't need to in order to fulfill its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 matter of the fact of the intervenors, of the fact of existence of position x and position y and of submissions in support thereof. It is a matter of risk assessment for the BCUC, of assessment of acceptable levels of certainty or uncertainty that will serve the public. It is the task of the BCUC to identify the risks and to determine the impact on the public interest. What is an acceptable level of risk for a publicly traded company may be different for a Crown corporation and may be different for the members of the public who have to purchase electricity and for those who live next door to Indigenous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is the duty of the intervenors to present position x and position y to the best of their abilities and to assist the BCUC by describing all factors that go to the risk assessment. For example, where there is a deal recognized and accepted by the Haisla no matter how it came to be, no matter who or how it was negotiated, with whom, then the matter of whether most Haisla would or do support position x or whether most Haisla would or do support position y, or if that could even influence the </w:t>
      </w:r>
      <w:r>
        <w:rPr>
          <w:rFonts w:ascii="arial" w:eastAsia="arial" w:hAnsi="arial" w:cs="arial"/>
          <w:i/>
          <w:color w:val="000000"/>
          <w:sz w:val="20"/>
          <w:lang w:val="en-US" w:eastAsia="en-US" w:bidi="ar-SA"/>
        </w:rPr>
        <w:t>de jure</w:t>
      </w:r>
      <w:r>
        <w:rPr>
          <w:rFonts w:ascii="arial" w:eastAsia="arial" w:hAnsi="arial" w:cs="arial"/>
          <w:color w:val="000000"/>
          <w:sz w:val="20"/>
          <w:lang w:val="en-US" w:eastAsia="en-US" w:bidi="ar-SA"/>
        </w:rPr>
        <w:t xml:space="preserve"> because there may be "one last Haisla standing," presents little need for the BCUC to assess risk, because all are happy with the outcome. The BCUC could comfortably conclude that certainty has been achieved and thus because all is certain, there is nothing presented regarding the Haisla that needs to be factored into the BCUC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Unfortunately, that is not the case here. Both position x and position y say there is no deal. Thus risk assessment must, I respectfully submit,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instead of getting down to it, there has been effort to remove the intervenors and prevent position y from being heard and forming part of the record of the BCUC in these proceedings. To attempt to decide now before proceeding who of the intervenors ought to be allowed to continue based on their submissions, and whether the BCUC can only hear position x or position y is I submit, nonsensical.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this complication though of the BCUC having been asked. I submit that this is not of my initiation and doing. The effort is to have the BCUC only hear position x by stating that position y is egregiously libelous, vexatious, and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Ironically, synonyms for "egregious" include "extreme" and "violent". My very motivation, as demonstrated through years of publications and acting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far too often on a crisis basis, and the subject submissions go to facilitating Peace, Order and Good government, peaceful relations, my work warns where there are threats to the peace and I have personally achieved peace where tensions have already flared and threaten to escalate. And I have been recognized for my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this is in response to the seeking by the "Kitimaat Village Counsel (sic) Chief Councillor Steve Wilson, Deputy Chief Councillor Margaret Grant, and by Councillors Keith Nyce, Ellis Ross and Kevin Stewart" the removal of Exhibits C12-2, CI2-5, and C12-6 and prevention of "the reception into the Commission's record" of the letter of the Haisla Hereditary Chiefs to the BCUC of October 11, 2007. They seek to not only prevent placement of the subject documents on the BCUC website but also to have those presently there removed from the record of this proceeding thereby in effect seeking removal of intervenors and to fix the record such that said intervenors were not intervenors in the first place and never provided any submissions to the BCUC and thereby as well allowing for the purported letter of October 2. 2007 of the Haisla Hereditary Chiefs that is an alleged fraud upon the BCUC to stand and thereby be effective -- as such, I submit, seeking to have BCUC official(s) be party(ies) to the alleged fraud upon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are eleven on the band council, the "Kitimaat Village Council." There are five council members listed here by Mr. McConchie as his clients in addition to his client the band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Where I see only some of a band council listed individually and not all of them, as is conveyed by Mr. McConchie, it suggests to me that the remaining who are not listed, in this case, six other council members, may not have the same interests as the five council members who are represented by Mr. McConchie individually, suggesting an appearance of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do not see anything in Mr. McConchie's background indicating direct involvement with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band councils: "McConchie Law Corporation is prepared to provide advice and litigation services directly to individuals, corporations, societies and other legal entities ..." He has a very specialized practice. He "established McConchie Law Corporation to provide advice and litigation representation to domestic and international clients in the inter-related areas of defamation, privacy, access to information, media, injurious falsehood, breach of confidence and Internet law." "A primary area of practice is the provision of advice in our preferred areas of law directly to other domestic law firms or to foreign law firms, or to corporate in-house counsel." None of his listed litigation experience references Indian Bands or Indigenous peoples or nations. I would not expect anyone who has not dealt directly with this loaded area of law, of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band councils, to necessarily appreciate the potential difficulties that can arise where different interests may develop or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There is no band council resolution provided by Mr. McConchie evidencing a decision of the band council that would allow for independent determination of whether there was a quorum of the band council present (and what a quorum is), and who made the decision for the band council to retain Mr. McConchie. I remind that we need to rely on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here and there are details provided in my response to Donovan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Company's two submissions, Exhibits C3-6 and C3-7 by separate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above noted are contained the following:</w:t>
      </w:r>
      <w:r>
        <w:rPr>
          <w:rFonts w:ascii="arial" w:eastAsia="arial" w:hAnsi="arial" w:cs="arial"/>
          <w:sz w:val="20"/>
          <w:lang w:val="en-US" w:eastAsia="en-US" w:bidi="ar-SA"/>
        </w:rPr>
        <w:cr/>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that there are "numerous defamatory comments" made by me in my "legal submissions to the BCUC";</w:t>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reference to "the libelous material";</w:t>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that "the third undated letter from Ms. Switlo to the BC Utilities Commission (like her two previous letters to the Commission) contain egregious libels";</w:t>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inference that scandalous and vexatious materials have been filed by me with the BCUC;</w:t>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to "eliminate libel" from the "Commission Hearing Record";</w:t>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in their current form, constitute an abuse of process of the Commission, containing as they do inflammatory, defamatory, and manifestly irrelevant allegations which expose our clients to irrevocable and significant injury to reputation";</w:t>
      </w:r>
    </w:p>
    <w:p>
      <w:pPr>
        <w:numPr>
          <w:numId w:val="1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obvious, however, that the documents contain inflammatory expression which is calculated to expose our clients to hatred, ridicule and contempt, or to cause them to be lowered in the estimation of right-thinking people generally";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5]</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reluctant to be specific in this letter about the literal and innuendo meanings which defame out clients because that would in effect amount to our own re-publication of those libels";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"serious libels are in effect being republished on the Commission's Internet Website";</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of publication on the Commission's website could well confer an authority and credibility on the contents of the publication which they would not enjoy if they were simply posted on Ms. Switlo's website at </w:t>
      </w:r>
      <w:r>
        <w:rPr>
          <w:rFonts w:ascii="arial" w:eastAsia="arial" w:hAnsi="arial" w:cs="arial"/>
          <w:color w:val="000000"/>
          <w:sz w:val="20"/>
          <w:u w:val="single"/>
          <w:lang w:val="en-US" w:eastAsia="en-US" w:bidi="ar-SA"/>
        </w:rPr>
        <w:t>www.switlo.com</w:t>
      </w:r>
      <w:r>
        <w:rPr>
          <w:rFonts w:ascii="arial" w:eastAsia="arial" w:hAnsi="arial" w:cs="arial"/>
          <w:color w:val="000000"/>
          <w:sz w:val="20"/>
          <w:lang w:val="en-US" w:eastAsia="en-US" w:bidi="ar-SA"/>
        </w:rPr>
        <w:t>" thereby inferring and offering the innuendo that what is published by me on my website is not credible;</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"defamatory content of the above-noted Exhibits"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irrelevant allegations"</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other good reasons to expunge the irrelevant allegations";</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inference and innuendo from page 4 of Mr. McConchie's letter that I am threatening the progress of this hearing and encouraging delay through inclusion of irrelevant remarks and that I contribute to the likelihood of "some substantive error being made" (the irony of which will become apparent below) and since I am a lawyer, this infers and is innuendo that I breach my duties thereby or am otherwise incompetent.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While quoting cases, Mr. McConchie does not submit facts as to why a case should apply, for example, his quote of Epson J. in </w:t>
      </w:r>
      <w:r>
        <w:rPr>
          <w:rFonts w:ascii="arial" w:eastAsia="arial" w:hAnsi="arial" w:cs="arial"/>
          <w:i/>
          <w:color w:val="000000"/>
          <w:sz w:val="20"/>
          <w:lang w:val="en-US" w:eastAsia="en-US" w:bidi="ar-SA"/>
        </w:rPr>
        <w:t>George v. Harris</w:t>
      </w:r>
      <w:r>
        <w:rPr>
          <w:rFonts w:ascii="arial" w:eastAsia="arial" w:hAnsi="arial" w:cs="arial"/>
          <w:color w:val="000000"/>
          <w:sz w:val="20"/>
          <w:lang w:val="en-US" w:eastAsia="en-US" w:bidi="ar-SA"/>
        </w:rPr>
        <w:t xml:space="preserve"> (Page 2), and the inferences and innuendo of what I stand accused of are large, including the inference and innuendo that I resort to false delays and false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well there is the matter of that contained in the letter of Steve Wilson from the Office of the Chief Councillor Kitamaat Village Council letterhead Exhibit C3-5 and copied to others who are not known to me to be in this matter, the last three paragraphs of which I allege are libelous, including inferring and innuendo that I am ignorant and incompetent and "irrelevant" and have admitted that I am "irrelevant" and somehow just like to submit information about myself without reason, that all of what has been submitted is irrelevant thereby abusing the processes of the BCUC, and failing in my duties to the BCUC and to the public as if some gratuitous publicity seeker or sad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a "re-publication" and thereby no admission to point out to all concerned at the very least the location of the alleged libel by the simple exercise of reference to document, page, paragraph, line. This has not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the onus is on the defendant to prove that the alleged libel is either not defamatory or that it should be allowed in the public interest or that there is defence to the allegations, the defendant first has to know what the alleged libel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know what it is that they say is libel, what they say is false. I have not been so informed. No demand has been made on me that would allow me to know of what they speak. There has been no demand for retraction by me of anything and no demand for apology from me for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Just because it is an apparent expert in an area of law who writes it does not relieve that expert of identifying it. In fact it may be expected that to ensure no abuse of reputation that the apparent expert would take great care to support his allegations and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often asked to endorse something or someone, including efforts by mere attendance such as trying to have me agree to being broadcast as standing next to someone, as that I understand would carry weight with others who would rely on my opinion and reputation. I take special care to see that no one is mislead by making sure I thoroughly express the basis of my opinion and refrain from simple statement or appearance. People know to ask me for permission to copy me on documents for that very reason and I will not provide that permission without first being thoroughly familiar and supportive of the effort the document serves. I do not just hire out my name. I must agree with what I am seen to support. I will not be an instrument of intimidation. There is enough of that in Indian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only when I received this email on Monday, October 15, 2007 at 11:15 AM that I was even aware of the efforts with the BCUC as contained in the letter to the BCUC from Donovan &amp; Company dated October 12, 2007 as nothing was copied to me, and I thank Mr. Miller for his professionalism and appreciate his service and protection to his client, the BCUC, for asking Mr. Donovan to provide me with a copy and for appreciating the implications that could have resulted had Mr. Miller opted instead to forward the letter to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Switlo - Paul Miller, counsel for the BCUC, has asked that we provide you with a copy of our correspondence to the BCUC dated October 12, 2007. Please find it attached. Allan Donovan"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so to rights and the rule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SIHOTA: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a studied analysis from someone who understands the law on this matter would lead one to want to examine the provisions of our common law. If the Attorney-General, in his capacity as chief of law enforcement of this province, is not aware, the common law has also gone out of its way to provide common-law remedies, process and rights ... - since the Magna Carta, which I'm sure most members in this House understand to be part of this country's founding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the purpose of the Magna Carta was 'to guarantee against the oppressions and usurpations of the royal prerogative.'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1991 [British Columbia] Legislative Session: 4th Session, 34th Parliament, Official Report of DEBATES OF THE LEGISLATIVE ASSEMBLY (Hansard), THURSDAY, MARCH 21, 1991, Morning Sitting, pages 11875 -11876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survey of the early history of England reveals two leading movements; the establishment of a strong Monarchy able to bring order out of anarchy, and the establishment of safeguards to prevent this source of order from degenerating into an unrestrained tyranny, and so crushing out not merely anarchy but legitimate freedom as well. The later movement, in favour of liberty and the Great Charter [Magna Carta], was the natural complement, and, in part, the consequence of the earlier movement in the direction of a strong government able to enforce peace. In historical sequence, order precedes freedom.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two problems, mutually complementary, arise in the history of every nation, and in every age: the problem of order, or how to found a central government strong enough to suppress anarchy, and the problem of freedom, or how to set limits to an autocracy threatening to overshadow individual liberty. Deep political insight may still be acknowledged in Aesop's fable of Jupiter and the frogs. King Log proves as ineffective against foreign invasion as he is void of offence to domestic freedom; King Stork secures the triumph of his subjects in time of war, but devours them in time of peace. All nations in their early efforts to obtain an efficient government have to choose between these two types of ruler--between an executive, harmless but weak; and one powerful to direct the business of government at home and abroad, but ready to use powers entrusted to him for the good of all, for his own selfish aims and the trampling out of his subjects' liberties.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a century of Norman rule, constant warfare was waged between two great principles -- the monarchic, standing on the whole for order, seeking to crush anarchy, and the oligarchic or baronial, standing on the whole for local autonomy, protesting against the tyranny of autocratic power. Sometimes one of these gained the ascendant; sometimes the other. The history of medieval England is the swing of the pendulum between."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William Sharp McKechnie, Magna Carta: A Commentary on the Great Charter of King John, with an Historical Introduction, (Glasgow: Maclehose, 1914), Part I. Events Leading to the Magna Carta.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Magna Carta is said to enunciate the "rule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of these features is the omnipotence or undisputed supremacy throughout the whole country of the central government. This authority of the state or the nation was during the earlier periods of our history represented by the power of the Crown. The King was the source of law and the maintainer of order. The maxim of the Courts, </w:t>
      </w:r>
      <w:r>
        <w:rPr>
          <w:rFonts w:ascii="arial" w:eastAsia="arial" w:hAnsi="arial" w:cs="arial"/>
          <w:i/>
          <w:color w:val="000000"/>
          <w:sz w:val="20"/>
          <w:lang w:val="en-US" w:eastAsia="en-US" w:bidi="ar-SA"/>
        </w:rPr>
        <w:t>'toutfult in luy et vient de lui al commencement,'</w:t>
      </w:r>
      <w:r>
        <w:rPr>
          <w:rFonts w:ascii="arial" w:eastAsia="arial" w:hAnsi="arial" w:cs="arial"/>
          <w:color w:val="000000"/>
          <w:sz w:val="20"/>
          <w:lang w:val="en-US" w:eastAsia="en-US" w:bidi="ar-SA"/>
        </w:rPr>
        <w:t xml:space="preserve"> was originally the expression of an actual and undoubted fact. This royal supremacy has now passed into that sovereignty of Parliament which has formed the main subject of the foregoing chapters.2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of these features, which is closely connected with the first, is the rule or supremacy of law. This peculiarity of our polity is well expressed in the old saw of the Courts, </w:t>
      </w:r>
      <w:r>
        <w:rPr>
          <w:rFonts w:ascii="arial" w:eastAsia="arial" w:hAnsi="arial" w:cs="arial"/>
          <w:i/>
          <w:color w:val="000000"/>
          <w:sz w:val="20"/>
          <w:lang w:val="en-US" w:eastAsia="en-US" w:bidi="ar-SA"/>
        </w:rPr>
        <w:t>'La ley est le plus haute inheritance, cjue le ray ad; car par la ley it meme et toutes ses sujets sont rules, et si la ley nefuit, nul roi, et nuf inheritance sera.'3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supremacy of the law, or the security given under the English constitution to the rights of individuals looked at from various points of view, forms the subject of this part of this treatise.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therefore we are ever to appreciate the full import of the idea denoted by the term 'rule, supremacy, or predominance of law,' we must first determine precisely what we mean by such expressions when we apply them to the British constitution.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we say that the supremacy or the rule of law is a characteristic of the English constitution, we generally include under one expression at least three distinct though kindred conceptions.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We mean, in the first place, that no man is punishable or can be lawfully made to suffer in body or goods except for a distinct breach of law established in the ordinary legal manner before the ordinary Courts of the land. In this sense the rule of law is contrasted with every system of government based on the exercise by persons in authority of wide, arbitrary, or discretionary powers of constraint.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Yet, even if we confine our observation to the existing condition of Europe, we shall soon be convinced that the 'rule of law' even in this narrow sense is peculiar to England, or to those countries which, like the United States of America, have inherited English traditions. In almost every continental community the executive exercises far wider discretionary authority in the matter of arrest, of temporary imprisonment, of expulsion from its territory, and the like, than is either legally claimed or in fact exerted by the government in England; and a study of European politics now and again reminds English readers that </w:t>
      </w:r>
      <w:r>
        <w:rPr>
          <w:rFonts w:ascii="arial" w:eastAsia="arial" w:hAnsi="arial" w:cs="arial"/>
          <w:i/>
          <w:color w:val="000000"/>
          <w:sz w:val="20"/>
          <w:lang w:val="en-US" w:eastAsia="en-US" w:bidi="ar-SA"/>
        </w:rPr>
        <w:t>wherever there is discretion there is room for arbitrariness,</w:t>
      </w:r>
      <w:r>
        <w:rPr>
          <w:rFonts w:ascii="arial" w:eastAsia="arial" w:hAnsi="arial" w:cs="arial"/>
          <w:color w:val="000000"/>
          <w:sz w:val="20"/>
          <w:lang w:val="en-US" w:eastAsia="en-US" w:bidi="ar-SA"/>
        </w:rPr>
        <w:t xml:space="preserve"> and that in a republic no less than under a monarchy </w:t>
      </w:r>
      <w:r>
        <w:rPr>
          <w:rFonts w:ascii="arial" w:eastAsia="arial" w:hAnsi="arial" w:cs="arial"/>
          <w:i/>
          <w:color w:val="000000"/>
          <w:sz w:val="20"/>
          <w:lang w:val="en-US" w:eastAsia="en-US" w:bidi="ar-SA"/>
        </w:rPr>
        <w:t>discretionary authority on the part of the government must mean insecurity for legal freedom on the part of its subjects,"</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 Dicey, Introduction to the Study of the Law of the Constitution, Part II The Rule of Law, Chapter 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Madison, Property, 29 Mar. 1792 Papers 14:266-68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term ["property"] in its particular application means 'that dominion which one man claims and exercises over the external things of the world, in exclusion of every other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its larger and juster meaning, it embraces every thing to which a man may attach a value and have a right; and which leaves to every one else the like advantage.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latter sense, a man has a property in his opinions and the free communication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an equal property in the free use of his faculties and free choice of the objects on which to employ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word, as a man is said to have a right to his property, he may be equally said to have a property in his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excess of power prevails, property of no sort is duly respected. No man is safe in his opinions, his person, his faculties, or his possessions.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Government is instituted to protect property of every sort; as well that which lies in the various rights of individuals, as that which the term particularly expresses. This being the end of government that alone is a just government, which impartially secures to every man, whatever is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this standard of merit, the praise of affording a just securing to property, should be sparingly bestowed on a government which, however scrupulously guarding the possessions of individuals, does not protect them in the enjoyment and communication of their opinions, in which they have an equal, and in the estimation of some, a more valuable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not a just government nor is property secure under it, where arbitrary restrictions, exemptions, and monopolies deny to part of its citizens that free use of their faculties, and free choice of their occupations, which not only constitute their property in the general sense of the word; but are the means of acquiring property strictly so called.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Founders' Constitution, Volume I, Chapter 16, Document 23, The University of Chicago Press, The Papers of James Madison. Edited by William T. Hutchinson et al. Chicago and London: University of Chicago Press, 1962-77 (vols. I -10); Charlottesville; University Press of Virginia, 1977 - (vols. 11 -).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 Blackstone using the common law as authority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man might use what trade he pleased" ([1765] 1979,1:415).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right to earn a living was protected at common law as far back as the Magna Carta:</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Freeman shall be taken or imprisoned, or be disseised of his Freehold, or Liberties, or free Customs, or be outlawed, or exiled, or any other wise destroyed; nor will We not pass upon him, nor condemn him, but by lawful judgment of his Peers, or by the Law of the Land. We will sell to no man, we will not deny or defer to any man either Justice or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Magna Carta (1297) c. 9 25_Edw_l_cc_l_9_29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Lord Coke (Sir Edward Coke (pronounced "cook") February I, 1552 - September 3, 1634) using the Magna Carta as authority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man ought to be put from his livelihood without answer." ([1797] 1986, 3:181),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classic legal definition of libel, dating back to 1840,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publication without justification or lawful excuse which is calculated to injure the reputation of another by exposing him to hatred, contempt or ridicule."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Flintoft v. Quai, </w:t>
      </w:r>
      <w:hyperlink r:id="rId861" w:history="1">
        <w:r>
          <w:rPr>
            <w:rFonts w:ascii="arial" w:eastAsia="arial" w:hAnsi="arial" w:cs="arial"/>
            <w:i/>
            <w:color w:val="0077CC"/>
            <w:sz w:val="20"/>
            <w:u w:val="single"/>
            <w:shd w:val="clear" w:color="auto" w:fill="FFFFFF"/>
            <w:lang w:val="en-US" w:eastAsia="en-US" w:bidi="ar-SA"/>
          </w:rPr>
          <w:t>[2004] O.J. No. 4227</w:t>
        </w:r>
      </w:hyperlink>
      <w:r>
        <w:rPr>
          <w:rFonts w:ascii="arial" w:eastAsia="arial" w:hAnsi="arial" w:cs="arial"/>
          <w:color w:val="000000"/>
          <w:sz w:val="20"/>
          <w:lang w:val="en-US" w:eastAsia="en-US" w:bidi="ar-SA"/>
        </w:rPr>
        <w:t xml:space="preserve"> (Ont. Sup. Ct.), Rady J. states,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classic statement of the law is set out in Downard's text Libel (Toronto: Butterworths, 2003) at p. 5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Words are defamatory if they tend to cause the plaintiff to be regarded by reasonable persons with hatred, contempt, fear or ridicule. More broadly, words are defamatory if they tend to lower the reputation of the individual in light of the court's perception of community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Words alleging conduct that is legal will be regarded as defamatory if they impute moral fault or personal tendencies considered disreputable by society at large.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important as well, to read the entire publication and not the impugned words in isolation.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natural and ordinary meaning in libel means any implied, inferential or indirect meaning that a reasonable reader would draw from the words.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Justification or truth is a complete defence to an action for defamation. The burden is on the defence to plead and prove that the words used were true. Substantial truth is the test.'"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(Sanjh Savera Weekly v. Ajit Newspaper Advertising,</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[2006] O.J. No. 2464</w:t>
        </w:r>
      </w:hyperlink>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2006 CanLII 20852</w:t>
        </w:r>
      </w:hyperlink>
      <w:r>
        <w:rPr>
          <w:rFonts w:ascii="arial" w:eastAsia="arial" w:hAnsi="arial" w:cs="arial"/>
          <w:color w:val="000000"/>
          <w:sz w:val="20"/>
          <w:lang w:val="en-US" w:eastAsia="en-US" w:bidi="ar-SA"/>
        </w:rPr>
        <w:t xml:space="preserve"> (ON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clients represented by Mr. McConchie have full opportunity to reply to potentially defamatory statements through the BCUC process. Steve Wilson has done so though he did not deny (Exhibit C3-5). Donovan &amp; Company has made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right to report on court proceedings extends to pleadings and court documents filed before trial: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152. However, reporting on such documents carries with it the danger of harm to innocent persons who may have no opportunity to reply to potentially defamatory statements."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(Ager v. Canjex Publishing Ltd. dba Canada Stockwatch, John Woods and Brent Mudry,</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2003 BCSC 891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Lawyers are "officers of the court" and pledge to uphold the judicial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"Fraud upon the court" exists where the court or a member is corrupted or influenced or influence is attempted or where the judge has not performed his judicial function, where the impartial functions of the court have been directly corrupted.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"Fraud upon the court" defined by the American 7th Circuit Court of Appeals means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"embrace that species of fraud which does, or attempts to, defile the court itself, or is a fraud perpetrated by officers of the court so that the judicial machinery can not perform in the usual manner its impartial task of adjudging cases that are presented for adjudication."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Kenner v. C.I.R.,</w:t>
      </w:r>
      <w:r>
        <w:rPr>
          <w:rFonts w:ascii="arial" w:eastAsia="arial" w:hAnsi="arial" w:cs="arial"/>
          <w:color w:val="000000"/>
          <w:sz w:val="20"/>
          <w:lang w:val="en-US" w:eastAsia="en-US" w:bidi="ar-SA"/>
        </w:rPr>
        <w:t xml:space="preserve"> 387 F.3d 689 (1968); 7 Moore's Federal Practice, 2d ed., p. 512, 60.23.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7th Circuit also warns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decision produced by fraud upon the court is not in essence a decision at all, and never becomes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 attempt to commit fraud upon the court can vitiate the entire proceeding. For example, under Illinois state and US Federal law, when any officer of the court has committed "fraud upon the court", the orders and judgment of that court are void, of no legal force or effect: The People of the State of Illinois v. Fred E. Sterling, 357 I11, 354; 192 N.E. 229 (1934) ("The maxim that fraud vitiates every transaction into which it enters applies to judgments as well as to contracts and other transactions."); Allen F. Moore v. Stanley F. Sievers, 336 III. 316; 168 N.E. 259 (1929) ("The maxim that fraud vitiates every transaction into which it enters ..."); In re Village of Willowbrook, 37 111.App.2d 393 (1962) ("It is axiomatic that fraud vitiates everything."); Dunham v. Dunham, 57 I11.App. 475 (1894), affirmed 162 I11. 589 (1896); Skelly Oil Co. v. Universal Oil Products Co., 338 111.App. 79, 86 N.E.2d 875, 883-4 (1949); Thomas Stasel v. The American Home Security Corporation, 362 III. 350; 199 N.E. 798 (1935).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submit that any failure by me as a lawyer, still potentially bound as an officer of the court, including where appearing before a quasi-judicial body, notwithstanding not being a practising lawyer, to do all within my power to bring an alleged fraud on the BCUC to the attention of the BCUC including the complete nature of the evidence said to be available to support the allegation would make me party to the alleged fraud upon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law as a profession, the eminent author Mark Orkin, in his book Legal Ethics, quotes the Canons of Legal Ethics approved by the Canadian Bar Association, describing the lawyer 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more than a mere citizen. He is a minister of justice, an officer of the Courts, his client's advocate, and a member of an ancient, honourable and learned profession. In these several capacities it is his duty to promote the interests of the State, serve the cause of justice, maintain the authority and dignity of the Courts, be faithful to his clients, candid and courteous in his intercourse with his fellows and true to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have ministers; the attorneys are its ministers.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the barrister's oath in Ontario partly reads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nor shall you promote suits upon frivolous pretences. You shall not pervert the law to favour or prejudice any man, but in all things shall conduct yourself truly and with integrity. In fine, the Queen's interest and your fellow citizens' you shall uphold and maintain according to the constitution and law of this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Lawyers as ministers of justice and officers of the court hold and enjoy privilege. Privilege includes solicitor-client privileges, judicial privilege, both absolute and qualified, that shield statements made in judicial proceedings and court documents from civil liability. Privileges are precisely that - exemptions from the general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Parliamentary governance has always recognized the need to ensure the proper conduct of lawyers and has always imposed sanctions for improper conduct. About this, Orkin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its beginnings in England the legal profession was faced with the problem of maintaining high standards of moral and ethical conduct on the part of its practitioners. In the face of ... serious abuses the First Statute of Westminster, enacted in 1274, imposed sanctions on lawyers who perpetrated 'any manner of deceit or collusion in the King's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Deceit and fraud upon the court is an old dilemma. It was commonly held that no lawyer was to resort to false delays or false witnesses and was never to allege, prefer, or consent to any corruption, deceit, lie or falsified law. Orkin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only is a lawyer required affirmatively to uphold the law; he is also under a duty not to subvert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5,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Criminal Code, Bill to Amend-Second Reading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Honourable Anne C. Cools, Senator for Toronto-Centre-York moved the second reading of Bill S-13, to amend the Criminal Code of Canada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lawyer must not deceive or knowingly mislead the court and must take appropriate steps to correct any misleading statement made by the lawyer to the court as soon as possible after the lawyer becomes aware that the statement was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a lawyer finds out that a client has lied to the court or has procured another person to lie to the court or has falsified, or procured another person to falsify, a document which has been tendered in evidence in any way, or he becomes aware that the client has otherwise been guilty of fraud upon the court, the lawyer must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Having become aware of the prospect of fraud upon the BCUC, as the result especially of the October 2, 2007 purported letter of the Haisla Hereditary Chiefs faxed to the BCUC and submitted by Donovan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Company as part of their submission of C3-4 also relied upon by lawyers for BC Hydro and Alcan in the procedural conference of October 5, 2007 in their submissions to the BCUC as reflected in the BCUC letter of October 10, 2007 (A-9), and knowledgeable that a fraud upon the court voids all actions by the court and vitiates the entire proceeding, I was compelled so as to preserve the integrity of the BCUC and of the subject BCUC quasi-judicial proceeding and that it not be vitiated thereby to convey the information provided to me, by credible people, "including Haisla Hereditary Chiefs, representative of and the highest rank Haisla Hereditary Chief, including those who allege direct admissions by Steve Wilson to them in the presence of others, credible people who as has been said, if the BCUC require the actual direct evidence during the course of the oral hearing can be so provided but all would need to have their expenses covered so as to be able to attend to do so or alternatively, the BCUC might consider sitting for such purpose in Haisla. But I submit that the letter of the Haisla Hereditary Chiefs of October 11, 2007 to the BCUC serves all necessary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 of the purported October 2, 2007 letter from Haisla Hereditary Chiefs was proven to be a misleading act that prevents parties from presenting all of their case as the BCUC relied upon it to state it would only hear from the band council and the scope of the hearing was limited. See Exhibit A-9 Letter No. L-83-07 dated October 10, 2007 establishing the scope for the proceeding and oral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letter dated October 2, 2007 (Exhibit C12-3), the Hereditary Chiefs withdrew their request for intervenor status, and stated that the Haisla Nation elected government is the one voice that should speak for the Haisla Nation in this proceeding. By letter filed as Exhibit C12-2, further written submissions were made regarding the Haisla Nation. During the procedural conference, a member of the Beaver Clan of the Haisla Nation and the elected Indian Act chief made submissions (T2:222-237), and stated that the Haisla Nation will continue to be involved in the "rest of these hearings" (T2;226).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of the Haisla Nation submits that 'BC and BC Hydro have failed to act on their legal obligation to us.' (T2:228) Given the oral submissions of the Haisla Nation and their stated intention to continue to participate in this proceeding, the Haisla Nation's requests of the Commission are not clear. However, in the circumstances, the Commission concludes that it may rely on the written submissions of the Haisla Nation quoted above regarding the duty of the Crown to consult and, if necessary, accommodate.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Commission will continue to hear from the Haisla Nation during this proceeding, provided that such participation is subject to this decision to limit the scope of the oral hearing to cost-effectiveness."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Though not a "practising lawyer" because I have elected not to pay for membership in the Law Society of British Columbia or to become a member of any other law society in any province in Canada, I am a lawyer and I have set out previously the occasions of my oaths: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I accept that Mr. Cram has had lengthy experience as counsel and was a competent and respected member of the bar for many years before he ceased to practice in 1994. I also accept that, although he apparently did not resume working on litigation matters until about the fall of 2003, </w:t>
      </w:r>
      <w:r>
        <w:rPr>
          <w:rFonts w:ascii="arial" w:eastAsia="arial" w:hAnsi="arial" w:cs="arial"/>
          <w:i/>
          <w:color w:val="000000"/>
          <w:sz w:val="20"/>
          <w:lang w:val="en-US" w:eastAsia="en-US" w:bidi="ar-SA"/>
        </w:rPr>
        <w:t>he continues to possess the skills of a barrister. Mr. Cram is a lawyer, and it would be wrong to refer to him as a layperson."</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YAL et al. v. Minister of Forests et</w:t>
      </w:r>
      <w:r>
        <w:rPr>
          <w:rFonts w:ascii="arial" w:eastAsia="arial" w:hAnsi="arial" w:cs="arial"/>
          <w:color w:val="000000"/>
          <w:sz w:val="20"/>
          <w:lang w:val="en-US" w:eastAsia="en-US" w:bidi="ar-SA"/>
        </w:rPr>
        <w:t xml:space="preserve"> al., </w:t>
      </w:r>
      <w:hyperlink r:id="rId864" w:history="1">
        <w:r>
          <w:rPr>
            <w:rFonts w:ascii="arial" w:eastAsia="arial" w:hAnsi="arial" w:cs="arial"/>
            <w:i/>
            <w:color w:val="0077CC"/>
            <w:sz w:val="20"/>
            <w:u w:val="single"/>
            <w:shd w:val="clear" w:color="auto" w:fill="FFFFFF"/>
            <w:lang w:val="en-US" w:eastAsia="en-US" w:bidi="ar-SA"/>
          </w:rPr>
          <w:t>2004 BCSC 1253</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("YAL also known as Aubrey Jackson, DJOGASLEE also known as Ted Mowatt, LELT also known as Lloyd Ryan, GEEL also known as Walter Harris, WII EELAST also known as Jim Angus, TSABUX also known as Wilmer Johnson, TENIMGYET also known as Art Mathews Jr., and SAKXUM HIGOOKW also known as Vernon Smith, on behalf of themselves and in their capacity as Gitxsan House Chiefs and on behalf of all members of the Gitxsan Houses ... WII GYET (Lloyd Morrison) Hereditary Chief of the WII GYET Gitxsan House of Kispiox, British Columbia, and Others,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right to a fair hearing comprises the right to a hearing before an independent and impartial magistrate who must decide on the facts and the law, the right to know the case put against one, and the right to answer that case, the basic principles of fundamental justice are set out in the unanimous ruling of the Supreme Court of Canada of this year written by Chief Justice C.J. McLachlin in </w:t>
      </w:r>
      <w:r>
        <w:rPr>
          <w:rFonts w:ascii="arial" w:eastAsia="arial" w:hAnsi="arial" w:cs="arial"/>
          <w:i/>
          <w:color w:val="000000"/>
          <w:sz w:val="20"/>
          <w:lang w:val="en-US" w:eastAsia="en-US" w:bidi="ar-SA"/>
        </w:rPr>
        <w:t>Charkaoui v. Canada (Citizenship and Immigration),</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1 S.C.R. 350</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SCC 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we must look at the interests at stake rather than the legal label attached to the impugned legislation. As Professor Hamish Stewart writes: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of the principles of fundamental justice were developed in criminal cases, but their application is not restricted to criminal cases: they apply whenever one of the three protected interests is engaged. Put another way, the principles of fundamental justice apply in criminal proceedings, not because they are criminal proceedings, but because the liberty interest is always engaged in criminal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Section 7 of the Charter requires not a particular type of process, but a fair process having regard to the nature of the proceedings and the interests at stake: United States of America v. Ferras, </w:t>
      </w:r>
      <w:hyperlink r:id="rId338" w:history="1">
        <w:r>
          <w:rPr>
            <w:rFonts w:ascii="arial" w:eastAsia="arial" w:hAnsi="arial" w:cs="arial"/>
            <w:i/>
            <w:color w:val="0077CC"/>
            <w:sz w:val="20"/>
            <w:u w:val="single"/>
            <w:shd w:val="clear" w:color="auto" w:fill="FFFFFF"/>
            <w:lang w:val="en-US" w:eastAsia="en-US" w:bidi="ar-SA"/>
          </w:rPr>
          <w:t>[2006] 2 S.C.R. 77</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2006 SCC 33</w:t>
        </w:r>
      </w:hyperlink>
      <w:r>
        <w:rPr>
          <w:rFonts w:ascii="arial" w:eastAsia="arial" w:hAnsi="arial" w:cs="arial"/>
          <w:color w:val="000000"/>
          <w:sz w:val="20"/>
          <w:lang w:val="en-US" w:eastAsia="en-US" w:bidi="ar-SA"/>
        </w:rPr>
        <w:t xml:space="preserve">, at para. 14; R. v. Rodgers, </w:t>
      </w:r>
      <w:hyperlink r:id="rId865" w:history="1">
        <w:r>
          <w:rPr>
            <w:rFonts w:ascii="arial" w:eastAsia="arial" w:hAnsi="arial" w:cs="arial"/>
            <w:i/>
            <w:color w:val="0077CC"/>
            <w:sz w:val="20"/>
            <w:u w:val="single"/>
            <w:shd w:val="clear" w:color="auto" w:fill="FFFFFF"/>
            <w:lang w:val="en-US" w:eastAsia="en-US" w:bidi="ar-SA"/>
          </w:rPr>
          <w:t>[2006] 1 S.C.R. 554</w:t>
        </w:r>
      </w:hyperlink>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2006 SCC 15</w:t>
        </w:r>
      </w:hyperlink>
      <w:r>
        <w:rPr>
          <w:rFonts w:ascii="arial" w:eastAsia="arial" w:hAnsi="arial" w:cs="arial"/>
          <w:color w:val="000000"/>
          <w:sz w:val="20"/>
          <w:lang w:val="en-US" w:eastAsia="en-US" w:bidi="ar-SA"/>
        </w:rPr>
        <w:t xml:space="preserve">, at para. 47; Idziak v. Canada (Minister of Justice), </w:t>
      </w:r>
      <w:hyperlink r:id="rId866" w:history="1">
        <w:r>
          <w:rPr>
            <w:rFonts w:ascii="arial" w:eastAsia="arial" w:hAnsi="arial" w:cs="arial"/>
            <w:i/>
            <w:color w:val="0077CC"/>
            <w:sz w:val="20"/>
            <w:u w:val="single"/>
            <w:shd w:val="clear" w:color="auto" w:fill="FFFFFF"/>
            <w:lang w:val="en-US" w:eastAsia="en-US" w:bidi="ar-SA"/>
          </w:rPr>
          <w:t>[1992] 3 S.C.R. 631</w:t>
        </w:r>
      </w:hyperlink>
      <w:r>
        <w:rPr>
          <w:rFonts w:ascii="arial" w:eastAsia="arial" w:hAnsi="arial" w:cs="arial"/>
          <w:color w:val="000000"/>
          <w:sz w:val="20"/>
          <w:lang w:val="en-US" w:eastAsia="en-US" w:bidi="ar-SA"/>
        </w:rPr>
        <w:t xml:space="preserve">, at pp. 656-57, The procedures required to meet the demands of fundamental justice depend on the context (see Rodgers; R. v. Lyons, </w:t>
      </w:r>
      <w:hyperlink r:id="rId867" w:history="1">
        <w:r>
          <w:rPr>
            <w:rFonts w:ascii="arial" w:eastAsia="arial" w:hAnsi="arial" w:cs="arial"/>
            <w:i/>
            <w:color w:val="0077CC"/>
            <w:sz w:val="20"/>
            <w:u w:val="single"/>
            <w:shd w:val="clear" w:color="auto" w:fill="FFFFFF"/>
            <w:lang w:val="en-US" w:eastAsia="en-US" w:bidi="ar-SA"/>
          </w:rPr>
          <w:t>[1987] 2 S.C.R. 309</w:t>
        </w:r>
      </w:hyperlink>
      <w:r>
        <w:rPr>
          <w:rFonts w:ascii="arial" w:eastAsia="arial" w:hAnsi="arial" w:cs="arial"/>
          <w:color w:val="000000"/>
          <w:sz w:val="20"/>
          <w:lang w:val="en-US" w:eastAsia="en-US" w:bidi="ar-SA"/>
        </w:rPr>
        <w:t xml:space="preserve">, at p. 361; Chiarelli, at pp. 743-44; Mount Sinai Hospital Center v. Quebec (Minister of Health and Social Services), </w:t>
      </w:r>
      <w:hyperlink r:id="rId868" w:history="1">
        <w:r>
          <w:rPr>
            <w:rFonts w:ascii="arial" w:eastAsia="arial" w:hAnsi="arial" w:cs="arial"/>
            <w:i/>
            <w:color w:val="0077CC"/>
            <w:sz w:val="20"/>
            <w:u w:val="single"/>
            <w:shd w:val="clear" w:color="auto" w:fill="FFFFFF"/>
            <w:lang w:val="en-US" w:eastAsia="en-US" w:bidi="ar-SA"/>
          </w:rPr>
          <w:t>[2001] 2 S.C.R. 281</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2001 SCC 41</w:t>
        </w:r>
      </w:hyperlink>
      <w:r>
        <w:rPr>
          <w:rFonts w:ascii="arial" w:eastAsia="arial" w:hAnsi="arial" w:cs="arial"/>
          <w:color w:val="000000"/>
          <w:sz w:val="20"/>
          <w:lang w:val="en-US" w:eastAsia="en-US" w:bidi="ar-SA"/>
        </w:rPr>
        <w:t xml:space="preserve">, at paras. 20-21). Societal interests may be taken into account in elucidating the applicable principles of fundamental justice: R. v. Malmo-Levine, </w:t>
      </w:r>
      <w:hyperlink r:id="rId869" w:history="1">
        <w:r>
          <w:rPr>
            <w:rFonts w:ascii="arial" w:eastAsia="arial" w:hAnsi="arial" w:cs="arial"/>
            <w:i/>
            <w:color w:val="0077CC"/>
            <w:sz w:val="20"/>
            <w:u w:val="single"/>
            <w:shd w:val="clear" w:color="auto" w:fill="FFFFFF"/>
            <w:lang w:val="en-US" w:eastAsia="en-US" w:bidi="ar-SA"/>
          </w:rPr>
          <w:t>[2003] 3 S.C.R. 571</w:t>
        </w:r>
      </w:hyperlink>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2003 SCC 74</w:t>
        </w:r>
      </w:hyperlink>
      <w:r>
        <w:rPr>
          <w:rFonts w:ascii="arial" w:eastAsia="arial" w:hAnsi="arial" w:cs="arial"/>
          <w:color w:val="000000"/>
          <w:sz w:val="20"/>
          <w:lang w:val="en-US" w:eastAsia="en-US" w:bidi="ar-SA"/>
        </w:rPr>
        <w:t>, at para. 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It follows that while administrative constraints associated with the context of national security may inform the analysis on whether a particular process is fundamentally unfair, </w:t>
      </w:r>
      <w:r>
        <w:rPr>
          <w:rFonts w:ascii="arial" w:eastAsia="arial" w:hAnsi="arial" w:cs="arial"/>
          <w:i/>
          <w:color w:val="000000"/>
          <w:sz w:val="20"/>
          <w:lang w:val="en-US" w:eastAsia="en-US" w:bidi="ar-SA"/>
        </w:rPr>
        <w:t>security concerns cannot be used to excuse procedures that do not conform to fundamental justice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overarching principle of fundamental justice that applies here is this: before the state can detain people for significant periods of time, it must accord them a fair judicial process: New Brunswick (Minister of Health and Community Services) v. G. (J.), </w:t>
      </w:r>
      <w:hyperlink r:id="rId352" w:history="1">
        <w:r>
          <w:rPr>
            <w:rFonts w:ascii="arial" w:eastAsia="arial" w:hAnsi="arial" w:cs="arial"/>
            <w:i/>
            <w:color w:val="0077CC"/>
            <w:sz w:val="20"/>
            <w:u w:val="single"/>
            <w:shd w:val="clear" w:color="auto" w:fill="FFFFFF"/>
            <w:lang w:val="en-US" w:eastAsia="en-US" w:bidi="ar-SA"/>
          </w:rPr>
          <w:t>[1999] 3 S.C.R. 46</w:t>
        </w:r>
      </w:hyperlink>
      <w:r>
        <w:rPr>
          <w:rFonts w:ascii="arial" w:eastAsia="arial" w:hAnsi="arial" w:cs="arial"/>
          <w:color w:val="000000"/>
          <w:sz w:val="20"/>
          <w:lang w:val="en-US" w:eastAsia="en-US" w:bidi="ar-SA"/>
        </w:rPr>
        <w:t>. 'It is an ancient and venerable principle that no person shall lose his or her liberty without due process according to the law, which must involve a meaningful judicial process': Ferras, at para. 19. This principle emerged in the era of feudal monarchy, in the form of the right to be brought before a judge on a motion of habeas corpus. It remains as fundamental to our modem conception of liberty as it was in the days of King John.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This basic principle has a number of facets. It comprises the right to a hearing. It requires that the hearing be before an independent and impartial magistrate. It demands a decision by the magistrate on the facts and the law. </w:t>
      </w:r>
      <w:r>
        <w:rPr>
          <w:rFonts w:ascii="arial" w:eastAsia="arial" w:hAnsi="arial" w:cs="arial"/>
          <w:i/>
          <w:color w:val="000000"/>
          <w:sz w:val="20"/>
          <w:lang w:val="en-US" w:eastAsia="en-US" w:bidi="ar-SA"/>
        </w:rPr>
        <w:t>And it entails the right to know the case put against one, and the right to answer that case.</w:t>
      </w:r>
      <w:r>
        <w:rPr>
          <w:rFonts w:ascii="arial" w:eastAsia="arial" w:hAnsi="arial" w:cs="arial"/>
          <w:color w:val="000000"/>
          <w:sz w:val="20"/>
          <w:lang w:val="en-US" w:eastAsia="en-US" w:bidi="ar-SA"/>
        </w:rPr>
        <w:t xml:space="preserve"> Precisely how these requirements are met will vary with the context"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suspended the full legal effect of the ruling for one year, giving legislators time to rewrite the law and comply with constitutional principles that guarantee fundamental justice and prohibit arbitrary detention and in the recent throne speech the Conservative minority government vowed to respond to this decision on security certificates through new legislation that would also add new measures to the Anti-Terrorism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security concerns in this age of the "war against terrorism" cannot be used to excuse procedures that do not conform to fundamental justice, I submit that statements that I am guilty of libel by Mr. McConchie and Mr. Donovan to which this replies most certainly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I submit that any risk of the setting of a libel chill on the proceedings of the BCUC or of gagging the BCUC is not in the public interest -- not in these proceedings nor in the precedent what is sought here would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submit that this process is an ongoing BCUC hearing, started as of the Order of the BCUC that issued September 27, 2007. As such, it is important to consider the application of privilege. I submit we are in a hearing and there is provision of evidence. All of the submissions are Exhibits in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"Order and Notice of Public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decision has been made to hold an oral public hearing the Commission issues an Order and Notice of Public Hearing which is published in local newspapers in the service area of the utility.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Order starts the oral public hearing process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BCUC Public Hearing Process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Privilege recognizes that individuals should be free to speak their minds (and others to report what they say) without fear of being sued even if they get their facts wrong. It allows people to speak freely in judicial proceedings and debates in Parliament, and allows for such proceedings to be reported, so long as the reports are both fair and accurate. I submit there is privilege in the proceedings of the BCUC.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submit that making submission to the BCUC is not publishing.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(and we) do not waive fundamental justice, do not attorn to or accept the jurisdiction of BCUC as proposed by Mr. McConchie to conduct an "oral application." For any hearing of issues of libel -- there will be no waiver of a trial by jury of peers. Besides, do I understand that proposal to mean that so instead of setting out in writing the allegations, Mr. McConchie wants to say it in the public forum of the BCUC -- wouldn't that then to be consistent with his letter create a slander? (Which is not hereby admitted and is specifically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certainly not appropriate, I submit, a complete denial of fundamental justice, for me to find out in person during an oral application before the BCUC what is alleged against me and be expected to immediately respond. And I do not agree to nor can I attend any oral applications for the same reason as my inability to attend the procedural conferences: finances, of which is known. I would thus not only be unable to hear the case against me but also would be unable to defend against it, and it is presumed that for the same reasons that Mr. McConchie refuses to set out particulars and specifics in writing now, he would seek to preclude a transcript of any oral hearing being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there is a reasonable, supportable basis for keeping a document confidential, and it is specifically denied that any such reasonable supportable basis has been shown and this is no admission thereof, there is provision for that in the workings of the BCUC. It's existence could still be noted on the website, complete with title and Exhibit label but without access to the document (unless presumably by order of an appropriate jurisdiction). But fundamentally the BCUC is a public process, necessarily open and available to the public. How else is the public to know if the interests of the public are being protected and well served? I caution the BCUC not to tread on a slippery slope of keeping from the public that to which they are entitled just because someone makes a bare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it is not the purpose of the BCUC to replace the courts and to become the determiners of what is or is not libel and whether or not defence(s) exist to the libel should it exist. The BCUC does not have the jurisdiction nor with respect the expertise or the ability to ensure fundamental justice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None of the above is to be construed in any way as an admission to any allegation by me or by the Haisla Hereditary Chiefs as asserted against any or some or all of us or as against any whom either or some or all of us represent, past, present, and/or future. None of the above is to be construed as an waiver of the fundamental rights and natural justice accorded each and all of us including,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to know the case against any or some or all of us and to have any issue of libel or any other actionable issue decided as guaranteed by and/or </w:t>
      </w:r>
      <w:r>
        <w:rPr>
          <w:rFonts w:ascii="arial" w:eastAsia="arial" w:hAnsi="arial" w:cs="arial"/>
          <w:b/>
          <w:color w:val="000000"/>
          <w:sz w:val="20"/>
          <w:lang w:val="en-US" w:eastAsia="en-US" w:bidi="ar-SA"/>
        </w:rPr>
        <w:t>[Page 16]</w:t>
      </w:r>
      <w:r>
        <w:rPr>
          <w:rFonts w:ascii="arial" w:eastAsia="arial" w:hAnsi="arial" w:cs="arial"/>
          <w:color w:val="000000"/>
          <w:sz w:val="20"/>
          <w:lang w:val="en-US" w:eastAsia="en-US" w:bidi="ar-SA"/>
        </w:rPr>
        <w:t xml:space="preserve"> governed by Haisla Indigenous law, Canadian domestic law, and/or international law, whether oral, written, constitutional, convention, custom, or natural, as may apply in the past, present, and/or future, and specifically there is no attornment hereby to the BCUC as decider of allegations of libel. Of course the BCUC should avail itself of legal advice so as to determine its course of action given the demand made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deny that I (and we) threaten the hearing or am trying to bring it outside the prescribed timeframes.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obviously, as also demanded by the Haisla Hereditary Chiefs in their letter to the BCUC of October 11, 2007, seek redress of the conclusions of the BCUC as expressed in Exhibit A-9 and the removal of the purported letter of the Haisla Hereditary Chiefs both as attached as contained in C3-4 as well as in the body of C3-4's letter by Donovan &amp; Company, as well retraction to all references of said purported letter wherever it presently appears.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provided herewith is the copy of the December 11, 2006 corporate search for 0728078 B.C. Ltd, having its registered and records offices at the same address as the address of Donovan &amp; Company and showing Steve Wilson as one of two directors and one of two officers and the copy of the water licences report for Europa Creek showing licensee being 0728078 B.C. Ltd., received on October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that despite the long ago passing of the 4-hour posting commitment of the BCUC and no objection to the document, the October 12, 2007 Evidence of Haisla Hereditary Chiefs and Janice G.A.E. Switlo (C12-8) is not posted on the BCUC website and trust this will be also be attended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Internet is the single most important reason for the increase in the number of libel lawsuits in this country,' says Roger McConchie, a Vancouver-based Internet and libel lawyer. Libel is defined as an unjustified statement that damages someone's reputation by exposing them to hatred, contempt or ridicule. ... </w:t>
      </w:r>
      <w:r>
        <w:rPr>
          <w:rFonts w:ascii="arial" w:eastAsia="arial" w:hAnsi="arial" w:cs="arial"/>
          <w:i/>
          <w:color w:val="000000"/>
          <w:sz w:val="20"/>
          <w:lang w:val="en-US" w:eastAsia="en-US" w:bidi="ar-SA"/>
        </w:rPr>
        <w:t>McConchie says the real victory of a verdict is getting an injunction that forces the poster to remove the offending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was the situation in a case decided by the British Columbia Supreme Court in January. The court awarded $676,000 in total damages to 11 plaintiffs who were defamed by a series of online attacks from Susan Halstead, a parent in the school system. She made unfounded allegations of drug and alcohol abuse, incompetent teaching and serious behaviour breaches, as well as creating a 'Least Wanted Educators' website."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Shannon Proudfoot "Unruly world of Internet leads to rise in libel cases,"(CanWest News Service) The Star Phoenix, March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victory at what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that is all I have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(Original signed and to be delivered)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Janice G.A.E. Switlo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cc.</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Haisla Hereditary Chiefs via email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Paul Miller, Boughton Law Corp via email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Roger McConchie, McConchie Law Corporation via email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registered mail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Alton Donovan and Laurie Bonacci, Donovan </w:t>
            </w:r>
            <w:r>
              <w:rPr>
                <w:rFonts w:ascii="arial" w:eastAsia="arial" w:hAnsi="arial" w:cs="arial"/>
                <w:i/>
                <w:color w:val="000000"/>
                <w:sz w:val="18"/>
                <w:lang w:val="en-US" w:eastAsia="en-US" w:bidi="ar-SA"/>
              </w:rPr>
              <w:t>&amp;</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Company via email and registered mail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G - Letter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December 10,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(International Human Rights Day 2007 marks the start of a year-long commemoration of the 60th anniversary of the Universal Declaration of Human Rights (1948): </w:t>
      </w:r>
      <w:r>
        <w:rPr>
          <w:rFonts w:ascii="arial" w:eastAsia="arial" w:hAnsi="arial" w:cs="arial"/>
          <w:color w:val="000000"/>
          <w:sz w:val="20"/>
          <w:u w:val="single"/>
          <w:lang w:val="en-US" w:eastAsia="en-US" w:bidi="ar-SA"/>
        </w:rPr>
        <w:t>http://www.un.org/events/humanrights/2007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Utilities Commission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Howe Street, Box 250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Sixth Floor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2N3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Via email: Commission Secretary BCUC; EX [Commission.Secretary@bcuc.com]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Sirs/Mesdames: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Utilities Commission in the Matter of the Utilities Commission Act,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And A Filing by British Columbia Hydro and Power Authority of the 2007 Electricity Purchase Agreement with Alcan Inc. as an Energy Supply Contract Pursuant to Section 71 (the "2007 EPA")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Final Argument of Switlo -- Haisla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the following is respectfully submitted by the writer in personal capacity and on behalf of the Haisla Hereditary Chiefs and thus the Haisla (Exhibit C12-2; 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use of authorities and cases to support argument remain proper to provide to the Commission Panel in both the Carrier Sekani Tribal Council ("CSTC") motion and in argument on the whole, as well as the provision of context of environment, including the "Indigenous environment," within which the 2007 EPA is made (including Exhibit CI2-21 and the submissions/argument provided on the CSTC motion), and also goes to ensuring the intentions as expressed by the Parties are accurately captured by the 2007 EPA: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The historical context surrounding the 1950 Agreement, including its commercial and public purposes, can assist in discerning the parties' intentions.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Sigurdson J. of this Court discussed the admissibility of contextual evidence of this kind recently, in </w:t>
      </w:r>
      <w:r>
        <w:rPr>
          <w:rFonts w:ascii="arial" w:eastAsia="arial" w:hAnsi="arial" w:cs="arial"/>
          <w:b/>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2006 BCSC 141</w:t>
        </w:r>
      </w:hyperlink>
      <w:r>
        <w:rPr>
          <w:rFonts w:ascii="arial" w:eastAsia="arial" w:hAnsi="arial" w:cs="arial"/>
          <w:color w:val="000000"/>
          <w:sz w:val="20"/>
          <w:lang w:val="en-US" w:eastAsia="en-US" w:bidi="ar-SA"/>
        </w:rPr>
        <w:t xml:space="preserve">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interpret and consider die formation of a contract on its factual matrix. In </w:t>
      </w:r>
      <w:r>
        <w:rPr>
          <w:rFonts w:ascii="arial" w:eastAsia="arial" w:hAnsi="arial" w:cs="arial"/>
          <w:i/>
          <w:color w:val="000000"/>
          <w:sz w:val="20"/>
          <w:lang w:val="en-US" w:eastAsia="en-US" w:bidi="ar-SA"/>
        </w:rPr>
        <w:t>Chilly on Contracts,</w:t>
      </w:r>
      <w:r>
        <w:rPr>
          <w:rFonts w:ascii="arial" w:eastAsia="arial" w:hAnsi="arial" w:cs="arial"/>
          <w:color w:val="000000"/>
          <w:sz w:val="20"/>
          <w:lang w:val="en-US" w:eastAsia="en-US" w:bidi="ar-SA"/>
        </w:rPr>
        <w:t xml:space="preserve"> 29th ed. (London: Sweet &amp; Maxwell, 2004) at p. 764-765, the learned authors suggest the modern law allows the court a broad scope of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purpose of the inquiry is to ascertain the meaning which the words would convey to a reasonable man against the background or the transaction in question, the court is free (subject to certain exceptions) to look to all the relevant circumstances surrounding the transaction. not merely in order to choose between the possible meanings of words that are ambiguous but even to conclude that the parties must, for whatever reason, have used the wrong words or syntax ... The court must place itself in the same "factual matrix" as that in which the parties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authors then quote Lord Wilberforce's decision in </w:t>
      </w:r>
      <w:r>
        <w:rPr>
          <w:rFonts w:ascii="arial" w:eastAsia="arial" w:hAnsi="arial" w:cs="arial"/>
          <w:b/>
          <w:i/>
          <w:color w:val="000000"/>
          <w:sz w:val="20"/>
          <w:lang w:val="en-US" w:eastAsia="en-US" w:bidi="ar-SA"/>
        </w:rPr>
        <w:t>Reardon Smith Line Ltd. v. Yngvar Hamen-Tangen,</w:t>
      </w:r>
      <w:r>
        <w:rPr>
          <w:rFonts w:ascii="arial" w:eastAsia="arial" w:hAnsi="arial" w:cs="arial"/>
          <w:color w:val="000000"/>
          <w:sz w:val="20"/>
          <w:lang w:val="en-US" w:eastAsia="en-US" w:bidi="ar-SA"/>
        </w:rPr>
        <w:t xml:space="preserve"> [1976] 1 W.L.R. 989 (H.L.) at 995-996: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contracts are made in a vacuum; there is always a setting in which they have to be placed. The nature of what is legitimate to have regard to is usually described as the 'surrounding circumstances' but this phrase is imprecise; it can be illustrated but hardly defined. In a commercial contract is it certainly right that </w:t>
      </w:r>
      <w:r>
        <w:rPr>
          <w:rFonts w:ascii="arial" w:eastAsia="arial" w:hAnsi="arial" w:cs="arial"/>
          <w:color w:val="000000"/>
          <w:sz w:val="20"/>
          <w:u w:val="single"/>
          <w:lang w:val="en-US" w:eastAsia="en-US" w:bidi="ar-SA"/>
        </w:rPr>
        <w:t>the court should know the commercial purpose of the contract and this in turn presupposed knowledge of the genesis of the transaction, the background, the context, the market in which the parties are operating.</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District of Kitimat and Wozney v. Minister of Energy and Mines et al.</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2007 BCSC 429</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DOK Case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same can be said for full and proper exercise of duties of the Commission Panel in the matter of this 2007 EPA, particularly in regards to section 71 (2)(e):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commission may make an order under subsection (3) if the commission, after a hearing, finds that a contract to which subsection (1) applies is not in the public interest by reason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or</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that the commission considers relevant to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Commission Panel may also use this opportunity to set standards and/or issue practice directives: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After a hearing held on the commission's own motion or on complaint, the commission may do one or more of the following:</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and set just and reasonable standards, classifications, rules, practices or service to be used by a public utility;"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Missing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great majority of non-Indians we spoke with had only the vaguest sense of Indians' legal status both as members of a 'sovereign nation' and as American citizens. ... Some were unclear about when Indians are bound by American law. ... We should note, however, that given the myriad variables at work here, including laws that are continually changing, state-to-state legal differences and distinctions between federal and state laws, it should not be surprising that so many were confused about this issue. It is also worth noting that most Americans are not well-informed about the intricacies of complex issues [pertaining to American Indians], especially legal ones," (page 18-19)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"Walking a Mile: A First Step Toward Mutual Understanding; A Qualitative Study Exploring How Indians and Non-Indians Think About Each Other," A Report from Public Agenda by John Doble and Andrew L. Yarrow with Amber N. Ott and Jonathan Rochkind, research by Ana Maria Arumi and John Immerwahr, 2007, www.publieagenda.org.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Appendix I Definitions of the 2007 EPA,</w:t>
      </w:r>
      <w:r>
        <w:rPr>
          <w:rFonts w:ascii="arial" w:eastAsia="arial" w:hAnsi="arial" w:cs="arial"/>
          <w:sz w:val="20"/>
          <w:lang w:val="en-US" w:eastAsia="en-US" w:bidi="ar-SA"/>
        </w:rPr>
        <w:cr/>
      </w:r>
    </w:p>
    <w:p>
      <w:pPr>
        <w:numPr>
          <w:numId w:val="1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Agreements' means: ... (e) any other agreement entered into by Alcan from time to time with regulators or First "Nations,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Nations" is capitalized indicating a definition should be found but there is no definition of "First Nations" in the 2007 EPA. A definition is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cannot recommend that the term "First Nations" be used as the defined term because of potential baggage, though it may. (Exhibit CI2-2 and Submissions/Argument on Motion by CSTC, especially in reference to the BC Treaty Commission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Including reference in the definition to a geographical area can assist if there is a desire to so limit. There is the debate between inclusive and specific definition. I do not purport to know the full intentions of the Parties so as to be able to recommend a definition herein but do know from the evidence that the definition at the very least is to work so as to incorporate the Haisla. But there is no legal entity "Haisla First Nation" recall (Exhibit C12-2). It may be prudent to include the "Carrier-Sekani" and the Cheslatta as well. I am available to assist the Parties in structuring or by reviewing a draft(s) definition for the 2007 EPA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 serious problem with the 2007 EPA.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on the Kemano side, there's a protocol worked out with the Haisla First Nation." (T8: Page 1429, Lines 16-18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such legal entity (Exhibit CI2-2) and the fact of what is being referred to here need not be adhered to under the 2007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I asked Alcan's witness Mr. Henning about the intentions surrounding the oolichan protocol he confirmed the intention to comply with it and Mr. Bursey, legal counsel for Alcan, assisted by saying that the 2007 EPA covers that and protects the oolichan protocol in the definitions of "Applicable Agreements" and is "referenced in the contract as part of the regulations and operational constraints." (T6 Page 1150. Line 19 to Page 1153, Line 8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Appendix 1 Definitions of the 2007 EPA,</w:t>
      </w:r>
      <w:r>
        <w:rPr>
          <w:rFonts w:ascii="arial" w:eastAsia="arial" w:hAnsi="arial" w:cs="arial"/>
          <w:sz w:val="20"/>
          <w:lang w:val="en-US" w:eastAsia="en-US" w:bidi="ar-SA"/>
        </w:rPr>
        <w:cr/>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Constraints' means Alcan's obligations under this EPA, (including the obligation to operate in accordance with Good Utility Practice), Applicable Agreements, applicable Laws, and Plant Permits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Mr. Bursey, with the greatest of respect, is incorrect. The 2007 EPA does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cover that because of the missing definition as aforesaid in the 2007 EPA. The Haisla are not a "First Nation" (Exhibit CI2-2). And this affects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Standard of Operation - Alcan shall cause Kemano to be operated and maintained and interconnected to the Transmission System in compliance with: (i) Operating Constraints; (ii) Good Utility Practice; (iii) the Code of Conduct Guidelines Applicable to Bc Hydro Contracts in effect as of the Effective Dale; arid (iv) the terms and conditions of this EPA and the Interconnection Agreement. Without limiting the foregoing, all equipment installed in Kemano shall conform to the codes, standards and rules applicable to power plants in British Columbia and Alcan shall ensure that Kemano is maintained to operate in accordance with the requirements of this EPA for the full Term.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Nations" is generally used as euphemism, an attempt at political correctness for many (to avoid use of the term "Indian") though very offensive in its usage to many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(Interesting regarding the legal term "Indian" -- definition contained in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is that much like certain slang or long-held insult for ethnic minorities, it is used by insiders but can elicit strong reaction if used by outsiders. In the United States, "American Indian" does not attract the same reaction that "Indian" can in Canada. There are times in Canada though when it is absolutely necessary to use the term given it is a legal term. I always encourage avoidance of general terms where possible and use of actual name, for example, the Haisla, the Haida, as best to not try to characterize but rather just identify.)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case of the British Columbia Treaty Commission Agreement "First Nation" is a defined term for purposes of that agreement only and all that relates thereto, an agreement given effect by passage into law by the province of British Columbia and by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Nation'" means an aboriginal governing body, however organized and established by aboriginal people within their traditional territory in British Columbia, which has been mandated by its constituents to enter into treaty negotiations on their behalf with Canada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Note that the definition the requires "mandated by its constituents" (See below; "</w:t>
      </w:r>
      <w:r>
        <w:rPr>
          <w:rFonts w:ascii="arial" w:eastAsia="arial" w:hAnsi="arial" w:cs="arial"/>
          <w:color w:val="000000"/>
          <w:sz w:val="20"/>
          <w:u w:val="single"/>
          <w:lang w:val="en-US" w:eastAsia="en-US" w:bidi="ar-SA"/>
        </w:rPr>
        <w:t>Standing and Weight of Evidence and Argument of CSTC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"First Nation" can be found defined in other legislation, for example the </w:t>
      </w:r>
      <w:r>
        <w:rPr>
          <w:rFonts w:ascii="arial" w:eastAsia="arial" w:hAnsi="arial" w:cs="arial"/>
          <w:i/>
          <w:color w:val="000000"/>
          <w:sz w:val="20"/>
          <w:lang w:val="en-US" w:eastAsia="en-US" w:bidi="ar-SA"/>
        </w:rPr>
        <w:t>Westbank First Nation Self-Government Act.</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S.C. 2004, c. 17</w:t>
        </w:r>
      </w:hyperlink>
      <w:r>
        <w:rPr>
          <w:rFonts w:ascii="arial" w:eastAsia="arial" w:hAnsi="arial" w:cs="arial"/>
          <w:color w:val="000000"/>
          <w:sz w:val="20"/>
          <w:lang w:val="en-US" w:eastAsia="en-US" w:bidi="ar-SA"/>
        </w:rPr>
        <w:t xml:space="preserve"> "An Act to give effect to the Westbank First Nation Self-Government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this Act, 'Agreement' means the Westbank First Nation Self-Government Agreement signed on behalf of the Westbank First Nation and Her Majesty in right of Canada on October 2003 and laid before the Senate and the House of Commons on November 5, 2003, and includes any amendments made to it from time to time in accordance with its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Expressions used in Agreement</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 the expressions 'council', 'member'. '</w:t>
      </w:r>
      <w:r>
        <w:rPr>
          <w:rFonts w:ascii="arial" w:eastAsia="arial" w:hAnsi="arial" w:cs="arial"/>
          <w:i/>
          <w:color w:val="000000"/>
          <w:sz w:val="20"/>
          <w:lang w:val="en-US" w:eastAsia="en-US" w:bidi="ar-SA"/>
        </w:rPr>
        <w:t>Westbank First Nation',</w:t>
      </w:r>
      <w:r>
        <w:rPr>
          <w:rFonts w:ascii="arial" w:eastAsia="arial" w:hAnsi="arial" w:cs="arial"/>
          <w:color w:val="000000"/>
          <w:sz w:val="20"/>
          <w:lang w:val="en-US" w:eastAsia="en-US" w:bidi="ar-SA"/>
        </w:rPr>
        <w:t xml:space="preserve"> 'Westbank lands' and 'Westbank law' have the same meaning as in the Agreement"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All terms defined in an agreement that needed to be expressly passed into law as legal definition through Parliament. Very common; the previous federal governments were very fond of use of the term in proposed or enacted legislation, again, specific to as defined therein. "First Nations" in that regard has been part of an effort to move Indian bands to being </w:t>
      </w:r>
      <w:r>
        <w:rPr>
          <w:rFonts w:ascii="arial" w:eastAsia="arial" w:hAnsi="arial" w:cs="arial"/>
          <w:i/>
          <w:color w:val="000000"/>
          <w:sz w:val="20"/>
          <w:lang w:val="en-US" w:eastAsia="en-US" w:bidi="ar-SA"/>
        </w:rPr>
        <w:t>"post-Indian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"Domestic ethnic minorities who will now progress into </w:t>
      </w:r>
      <w:r>
        <w:rPr>
          <w:rFonts w:ascii="arial" w:eastAsia="arial" w:hAnsi="arial" w:cs="arial"/>
          <w:i/>
          <w:color w:val="000000"/>
          <w:sz w:val="20"/>
          <w:lang w:val="en-US" w:eastAsia="en-US" w:bidi="ar-SA"/>
        </w:rPr>
        <w:t>post-Indian Act</w:t>
      </w:r>
      <w:r>
        <w:rPr>
          <w:rFonts w:ascii="arial" w:eastAsia="arial" w:hAnsi="arial" w:cs="arial"/>
          <w:color w:val="000000"/>
          <w:sz w:val="20"/>
          <w:lang w:val="en-US" w:eastAsia="en-US" w:bidi="ar-SA"/>
        </w:rPr>
        <w:t xml:space="preserve"> federal legislation as described by ... above because they have advanced enough in accordance with the original intentions set out more clearly in </w:t>
      </w:r>
      <w:r>
        <w:rPr>
          <w:rFonts w:ascii="arial" w:eastAsia="arial" w:hAnsi="arial" w:cs="arial"/>
          <w:i/>
          <w:color w:val="000000"/>
          <w:sz w:val="20"/>
          <w:lang w:val="en-US" w:eastAsia="en-US" w:bidi="ar-SA"/>
        </w:rPr>
        <w:t>The Indian Advancement Act, 1884</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Act conferring certain privileges on the more advanced Bands of the Indians of Canada, with the view of training them for the exercise of municipal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Preamble thereto elaborates: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'WHEREAS it is </w:t>
      </w:r>
      <w:r>
        <w:rPr>
          <w:rFonts w:ascii="arial" w:eastAsia="arial" w:hAnsi="arial" w:cs="arial"/>
          <w:i/>
          <w:color w:val="000000"/>
          <w:sz w:val="20"/>
          <w:lang w:val="en-US" w:eastAsia="en-US" w:bidi="ar-SA"/>
        </w:rPr>
        <w:t>expedient</w:t>
      </w:r>
      <w:r>
        <w:rPr>
          <w:rFonts w:ascii="arial" w:eastAsia="arial" w:hAnsi="arial" w:cs="arial"/>
          <w:color w:val="000000"/>
          <w:sz w:val="20"/>
          <w:lang w:val="en-US" w:eastAsia="en-US" w:bidi="ar-SA"/>
        </w:rPr>
        <w:t xml:space="preserve"> to provide means by which Indians on reserves in diverse parts of the Dominion, may be trained for the future exercise of municipal privileges and powers:'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future is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Switlo, "Spirit of Peace: The Interior South: Indigenous peoples of the North," June 27.2005, www.switlo.com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see Switlo, "Slave trade: Enfranchisement in the 21st Century," December 31, 2006, www.switlo.com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"First Nation" can also be contained in the name of a lobby group, for example, the "Assembly of First Nations,"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band councils often tack "First Nation" onto the lawful name of the Indian band. Kitimaat Indian Band chief councillor Steve Wilson for example uses the terminology (T2, Page 236, Line 4-5) and of course there are many forms of "also known as" that are in 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Sto:Io Tribal Council is made up of leadership of eight Sto:Io bands as well as some off-reserve natives, and is a distinct organization from the Sto:lo Nation who is made up of 11 Sto:lo bands."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J. Henderson, "Landmark issues on the agenda for Sto:lo Tribal: Grand Chief says decision means 'it's time to get serious,'" The (Chilliwack) Times, December 07,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 exactly who would be referred to by just saying, "Sto:lo" or saying, "Sto;lo First Nation" or "Sto:Io Nation"? The "Sto:lo" are also in the BC Treaty Process, at least some of them, and so there is also definition thereunder, which if the filed Statement of Intent is looked at on the BC Treaty Commission website (http://www.bctreaty,net/soi/soistoIo.php), reveals a circular result by saying the First Nation is comprised of "9 First Nations." And I know Sto:lo who are firmly Indigenous nationals and do not accept any suggestion of having been terminated as at the time of assertion of ownership by the Crown and still insist they own. We have been relatively fortunate in this Hearing regarding the Haisla.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"'Title means that they really have to deal with us in a better manner than they have done in the past,' [Sto:lo Tribal Council Grand Chief Clarence] Pennier told the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time to get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So how is "title" to be interpreted? "Aboriginal title" as in the doctrine of aboriginal rights? "Aboriginal title" as in "aboriginal allodial title"? Or Indigenous title? And I could go on. And what is expected and meant by, "deal with us in a better manner?" How? As a domestic ethnic minority comprised of remnants of former Indigenous nations now "Aboriginal Canadians" of Indigenous descent? As nationals of Indigenous nations retaining,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economic sovereignty and ownership only subject to any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relations with the Crown or agreements entered into evidencing the contrary or limiting in favour of third parties use of that which is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due diligence could be extremely time consuming. But is that always necessary for parties to fully engage for an agreement such as the 2007 EPA? No. But the point is that references in agreements must be specific, clear, complete, and as inclusive as is possible depending on the need, and the reference in the 2007 EPA is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"Amused, the Russian president raised an eyebrow. 'Faith?' His lips twitched upward in a brief, icy half-smile. 'My dear Alexie, you should know me better than that. I am no true believer -- in anything or anyone. Faith is for fools and simpletons. The wise man knows that facts and force are what truly govern the world."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Fictional Russian president Viktor Dudarevm in Robert Ludlum's </w:t>
      </w:r>
      <w:r>
        <w:rPr>
          <w:rFonts w:ascii="arial" w:eastAsia="arial" w:hAnsi="arial" w:cs="arial"/>
          <w:i/>
          <w:color w:val="000000"/>
          <w:sz w:val="20"/>
          <w:lang w:val="en-US" w:eastAsia="en-US" w:bidi="ar-SA"/>
        </w:rPr>
        <w:t>The Moscow Vector,</w:t>
      </w:r>
      <w:r>
        <w:rPr>
          <w:rFonts w:ascii="arial" w:eastAsia="arial" w:hAnsi="arial" w:cs="arial"/>
          <w:color w:val="000000"/>
          <w:sz w:val="20"/>
          <w:lang w:val="en-US" w:eastAsia="en-US" w:bidi="ar-SA"/>
        </w:rPr>
        <w:t xml:space="preserve"> page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Certainly, facts and enforcement govern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Lawyers often make representations in court using "First Nation" and courts rely on them, as is presumed occurred in the </w:t>
      </w:r>
      <w:r>
        <w:rPr>
          <w:rFonts w:ascii="arial" w:eastAsia="arial" w:hAnsi="arial" w:cs="arial"/>
          <w:i/>
          <w:color w:val="000000"/>
          <w:sz w:val="20"/>
          <w:lang w:val="en-US" w:eastAsia="en-US" w:bidi="ar-SA"/>
        </w:rPr>
        <w:t>DOK Case, supra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Intervenor, Haisla Nation: A. Donovan, and B. Rogachevsky"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Haisla Nation is a </w:t>
      </w:r>
      <w:r>
        <w:rPr>
          <w:rFonts w:ascii="arial" w:eastAsia="arial" w:hAnsi="arial" w:cs="arial"/>
          <w:i/>
          <w:color w:val="000000"/>
          <w:sz w:val="20"/>
          <w:lang w:val="en-US" w:eastAsia="en-US" w:bidi="ar-SA"/>
        </w:rPr>
        <w:t>First Nation</w:t>
      </w:r>
      <w:r>
        <w:rPr>
          <w:rFonts w:ascii="arial" w:eastAsia="arial" w:hAnsi="arial" w:cs="arial"/>
          <w:color w:val="000000"/>
          <w:sz w:val="20"/>
          <w:lang w:val="en-US" w:eastAsia="en-US" w:bidi="ar-SA"/>
        </w:rPr>
        <w:t xml:space="preserve"> in the vicinity of Kitimat with certain </w:t>
      </w:r>
      <w:r>
        <w:rPr>
          <w:rFonts w:ascii="arial" w:eastAsia="arial" w:hAnsi="arial" w:cs="arial"/>
          <w:i/>
          <w:color w:val="000000"/>
          <w:sz w:val="20"/>
          <w:lang w:val="en-US" w:eastAsia="en-US" w:bidi="ar-SA"/>
        </w:rPr>
        <w:t>land claims</w:t>
      </w:r>
      <w:r>
        <w:rPr>
          <w:rFonts w:ascii="arial" w:eastAsia="arial" w:hAnsi="arial" w:cs="arial"/>
          <w:color w:val="000000"/>
          <w:sz w:val="20"/>
          <w:lang w:val="en-US" w:eastAsia="en-US" w:bidi="ar-SA"/>
        </w:rPr>
        <w:t xml:space="preserve"> in the area. The Haisla Nation was granted intervenor status and supports the position of the two respondents on this application."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Haisla Hereditary Chiefs were not part of the </w:t>
      </w:r>
      <w:r>
        <w:rPr>
          <w:rFonts w:ascii="arial" w:eastAsia="arial" w:hAnsi="arial" w:cs="arial"/>
          <w:i/>
          <w:color w:val="000000"/>
          <w:sz w:val="20"/>
          <w:lang w:val="en-US" w:eastAsia="en-US" w:bidi="ar-SA"/>
        </w:rPr>
        <w:t>DOK Case, supra.</w:t>
      </w:r>
      <w:r>
        <w:rPr>
          <w:rFonts w:ascii="arial" w:eastAsia="arial" w:hAnsi="arial" w:cs="arial"/>
          <w:color w:val="000000"/>
          <w:sz w:val="20"/>
          <w:lang w:val="en-US" w:eastAsia="en-US" w:bidi="ar-SA"/>
        </w:rPr>
        <w:t xml:space="preserve"> "First Nation" and "land claims" is specifically denied by them (Exhibit C12-2). The fact of the Intervenor described above was not raised during the Hearing but the Commission Panel ought to aware of this in the </w:t>
      </w:r>
      <w:r>
        <w:rPr>
          <w:rFonts w:ascii="arial" w:eastAsia="arial" w:hAnsi="arial" w:cs="arial"/>
          <w:i/>
          <w:color w:val="000000"/>
          <w:sz w:val="20"/>
          <w:lang w:val="en-US" w:eastAsia="en-US" w:bidi="ar-SA"/>
        </w:rPr>
        <w:t>DOK Case, supra,</w:t>
      </w:r>
      <w:r>
        <w:rPr>
          <w:rFonts w:ascii="arial" w:eastAsia="arial" w:hAnsi="arial" w:cs="arial"/>
          <w:color w:val="000000"/>
          <w:sz w:val="20"/>
          <w:lang w:val="en-US" w:eastAsia="en-US" w:bidi="ar-SA"/>
        </w:rPr>
        <w:t xml:space="preserve"> found at Appendix D of Exhibit BI-2-1. I did not review the </w:t>
      </w:r>
      <w:r>
        <w:rPr>
          <w:rFonts w:ascii="arial" w:eastAsia="arial" w:hAnsi="arial" w:cs="arial"/>
          <w:i/>
          <w:color w:val="000000"/>
          <w:sz w:val="20"/>
          <w:lang w:val="en-US" w:eastAsia="en-US" w:bidi="ar-SA"/>
        </w:rPr>
        <w:t>DOK Case, supra</w:t>
      </w:r>
      <w:r>
        <w:rPr>
          <w:rFonts w:ascii="arial" w:eastAsia="arial" w:hAnsi="arial" w:cs="arial"/>
          <w:color w:val="000000"/>
          <w:sz w:val="20"/>
          <w:lang w:val="en-US" w:eastAsia="en-US" w:bidi="ar-SA"/>
        </w:rPr>
        <w:t xml:space="preserve"> until preparing for final argument after the Oral Hearing in an effort to be thorough. There may be other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statement in paragraph 11, of the </w:t>
      </w:r>
      <w:r>
        <w:rPr>
          <w:rFonts w:ascii="arial" w:eastAsia="arial" w:hAnsi="arial" w:cs="arial"/>
          <w:i/>
          <w:color w:val="000000"/>
          <w:sz w:val="20"/>
          <w:lang w:val="en-US" w:eastAsia="en-US" w:bidi="ar-SA"/>
        </w:rPr>
        <w:t>DOK Case, supra</w:t>
      </w:r>
      <w:r>
        <w:rPr>
          <w:rFonts w:ascii="arial" w:eastAsia="arial" w:hAnsi="arial" w:cs="arial"/>
          <w:color w:val="000000"/>
          <w:sz w:val="20"/>
          <w:lang w:val="en-US" w:eastAsia="en-US" w:bidi="ar-SA"/>
        </w:rPr>
        <w:t xml:space="preserve"> and should it exist in other decisions, presently denied as aforesaid, cannot be relied upon as determinative of any issues inherently raised thereby its existence. The </w:t>
      </w:r>
      <w:r>
        <w:rPr>
          <w:rFonts w:ascii="arial" w:eastAsia="arial" w:hAnsi="arial" w:cs="arial"/>
          <w:i/>
          <w:color w:val="000000"/>
          <w:sz w:val="20"/>
          <w:lang w:val="en-US" w:eastAsia="en-US" w:bidi="ar-SA"/>
        </w:rPr>
        <w:t>DOK Case, supra</w:t>
      </w:r>
      <w:r>
        <w:rPr>
          <w:rFonts w:ascii="arial" w:eastAsia="arial" w:hAnsi="arial" w:cs="arial"/>
          <w:color w:val="000000"/>
          <w:sz w:val="20"/>
          <w:lang w:val="en-US" w:eastAsia="en-US" w:bidi="ar-SA"/>
        </w:rPr>
        <w:t xml:space="preserve"> is limited in application to the </w:t>
      </w:r>
      <w:r>
        <w:rPr>
          <w:rFonts w:ascii="arial" w:eastAsia="arial" w:hAnsi="arial" w:cs="arial"/>
          <w:i/>
          <w:color w:val="000000"/>
          <w:sz w:val="20"/>
          <w:lang w:val="en-US" w:eastAsia="en-US" w:bidi="ar-SA"/>
        </w:rPr>
        <w:t>ratio decendi</w:t>
      </w:r>
      <w:r>
        <w:rPr>
          <w:rFonts w:ascii="arial" w:eastAsia="arial" w:hAnsi="arial" w:cs="arial"/>
          <w:color w:val="000000"/>
          <w:sz w:val="20"/>
          <w:lang w:val="en-US" w:eastAsia="en-US" w:bidi="ar-SA"/>
        </w:rPr>
        <w:t xml:space="preserve"> for that put to the court, which did not require a finding in regards to the Haisla (which would not have been justiciable in any event (CI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substantive issue in this case is whether the 1997 Order-in-Council and the 2002 Order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to the extent that they permit or otherwise authorize power sales by Alcan which are contrary to the applicable legislative authority pursuant to which they were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This requires an analysis of the following questions: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limitations are imposed by the IDA, the 1950 Agreement and other related agreements and instruments on the sale of Kemano power by Alcan?</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obligation is there on Alcan to use Kemano power to develop its smelting operations?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does the 1997 Order-in-Council contravene these limitations or permit Alcan to circumvent its obligations?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does the 2002 Order do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decision being,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"[137] I conclude that neither the </w:t>
      </w:r>
      <w:r>
        <w:rPr>
          <w:rFonts w:ascii="arial" w:eastAsia="arial" w:hAnsi="arial" w:cs="arial"/>
          <w:i/>
          <w:color w:val="000000"/>
          <w:sz w:val="20"/>
          <w:lang w:val="en-US" w:eastAsia="en-US" w:bidi="ar-SA"/>
        </w:rPr>
        <w:t>Industrial Development Act</w:t>
      </w:r>
      <w:r>
        <w:rPr>
          <w:rFonts w:ascii="arial" w:eastAsia="arial" w:hAnsi="arial" w:cs="arial"/>
          <w:color w:val="000000"/>
          <w:sz w:val="20"/>
          <w:lang w:val="en-US" w:eastAsia="en-US" w:bidi="ar-SA"/>
        </w:rPr>
        <w:t xml:space="preserve"> nor the 1950 Agreement contain language that would restrict Alcan in the decisions it chooses to make with respect to the sale of hydro-electric power generated at Kemano. Specifically, there is nothing in either instrument that would require Alcan to maintain any specific production level at the Kitimat smelter. Alcan is not restricted by either instrument from selling its Kemano power or using it for the Kitimat smelter as it considers appropriate. It follows that I do not consider either impugned Order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in their effect. This proceeding will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Bursey, a most capable and experienced lawyer, is not alone is the casual use of the term "First Nation" and expecting more from it than is possible.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asked what non-Indians should learn about Indians, one Indian, in a particularly poignant moment, said to the moderator,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'Maybe you should just tell them that we still exist,' "(page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"Walking a Mile: A First Step Toward Mutual Understanding: A Qualitative Study Exploring How Indians and Non-Indians Think About Each Other," A Report from Public Agenda by John Doble and Andrew L. Yarrow with Amber N. Ott and Jonathan Rochkind, research by Ana Maria Arumi and John Immerwahr, 2007, www.publicagenda.org.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since they exist, they need to be carefully and correctly referred to in any legal documents, especially in those entered into by a public utility in British Columbia, and the 200? EPA fails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Simple reference to "First Nation" in section 5 of Appendix I Definitions of the 2007 EPA allows for such imprecision that the oolichan protocol could legally be ignored by Alcan under the 2007 EPA. Any agreement reached with the CSTC on anything could also be ignored by Alcan under the 2007 EPA. It captures nothing and protects nothing and </w:t>
      </w:r>
      <w:r>
        <w:rPr>
          <w:rFonts w:ascii="arial" w:eastAsia="arial" w:hAnsi="arial" w:cs="arial"/>
          <w:i/>
          <w:color w:val="000000"/>
          <w:sz w:val="20"/>
          <w:lang w:val="en-US" w:eastAsia="en-US" w:bidi="ar-SA"/>
        </w:rPr>
        <w:t>therefore must be read as if not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reminds me of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common tactic found in far too many proposed agreements in Indian Country where language is used and designed to give the warm and fuzzies to Indigenous people not skilled in law and agreements -- and sadly, it works on their lawyers too. It sounds good but means nothing in law. They either got negligent or poor legal advice or the band council worked it the way they wanted it to get it past the people. (Deals need approval by the people, often done through ratification votes but more effectively done through a stepped mandate/approval process through the course of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Based on the evidence of Alcan in the Oral Hearing (T6 Page 1150, Line 19 to Page 1153, Line 8 inclusive) it is safe to say that what has been clearly capable of supporting an inference of being the intent for Canadian governments at times, can definitely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be inferred here, certainly as pertains to the Haisla. Clearly, Alcan's evidence is to respect and be bound by such formal or informal agreements as the oolichan protocol under the 2007 EPA, whether presently in effect or to come into effect during the term of the 2007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legal drafting however is insufficient to give legal effect to that intent. As said, this is a serious problem that plagues Canadian society and is not one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of individual lawyers' competencies and therefore must not be construed as a reflection on the Parties' legal counsel. It is one of the reasons I am in this Hearing, providing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Band Council is Federal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Appendix I Definitions of the 2007 EPA,</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'Laws' means any and all statutes, laws (including common law), ordinances, rules, regulations, codes, orders, bylaws, policies, directions, standards, guidelines, protocols and other lawful requirements of any Governmental Authority.</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'Governmental Authorities' means any Canadian federal, provincial or local government or any of their boards or agencies,- or any Canadian regulatory authority, or any court of competent jurisdiction other than BC Hydro and Alcan and entities controlled by BC Hydro or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a quick note on the inconsistencies in the 2007 EPA regarding use of "Governmental Authority" and "Governmental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"Governmental Authority" is found in section 4.2 (a) and in Appendix 1 Definitions 51, and 53, of the 2007 EPA but has no definition itself in Appendix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"Governmental Authorities" is found in section 36(d) and as a definition in Appendix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corrected by tweaking the definition of "Government Authorities" such that it be a definition for "Government Authority" instead and adding "and 'Governmental Authorities' means the plural."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 the main point, the courts have determined that an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band council is a Canadian federal board: </w:t>
      </w:r>
      <w:r>
        <w:rPr>
          <w:rFonts w:ascii="arial" w:eastAsia="arial" w:hAnsi="arial" w:cs="arial"/>
          <w:i/>
          <w:color w:val="000000"/>
          <w:sz w:val="20"/>
          <w:lang w:val="en-US" w:eastAsia="en-US" w:bidi="ar-SA"/>
        </w:rPr>
        <w:t>Gabriel v. Carnatouquin,</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[1980] 2 F.C. 792</w:t>
        </w:r>
      </w:hyperlink>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[1981] 4 C.N.L.R. 61</w:t>
        </w:r>
      </w:hyperlink>
      <w:r>
        <w:rPr>
          <w:rFonts w:ascii="arial" w:eastAsia="arial" w:hAnsi="arial" w:cs="arial"/>
          <w:color w:val="000000"/>
          <w:sz w:val="20"/>
          <w:lang w:val="en-US" w:eastAsia="en-US" w:bidi="ar-SA"/>
        </w:rPr>
        <w:t xml:space="preserve"> (Fed. C.A.); </w:t>
      </w:r>
      <w:r>
        <w:rPr>
          <w:rFonts w:ascii="arial" w:eastAsia="arial" w:hAnsi="arial" w:cs="arial"/>
          <w:i/>
          <w:color w:val="000000"/>
          <w:sz w:val="20"/>
          <w:lang w:val="en-US" w:eastAsia="en-US" w:bidi="ar-SA"/>
        </w:rPr>
        <w:t>Shield v. Siksika Nation Indian Band Council No. 430,</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[1992] A.J. No. 1214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Repap Manitoba inc. v. Mathias Colomb Indian Band</w:t>
      </w:r>
      <w:r>
        <w:rPr>
          <w:rFonts w:ascii="arial" w:eastAsia="arial" w:hAnsi="arial" w:cs="arial"/>
          <w:color w:val="000000"/>
          <w:sz w:val="20"/>
          <w:lang w:val="en-US" w:eastAsia="en-US" w:bidi="ar-SA"/>
        </w:rPr>
        <w:t xml:space="preserve"> (1996), </w:t>
      </w:r>
      <w:hyperlink r:id="rId801" w:history="1">
        <w:r>
          <w:rPr>
            <w:rFonts w:ascii="arial" w:eastAsia="arial" w:hAnsi="arial" w:cs="arial"/>
            <w:i/>
            <w:color w:val="0077CC"/>
            <w:sz w:val="20"/>
            <w:u w:val="single"/>
            <w:shd w:val="clear" w:color="auto" w:fill="FFFFFF"/>
            <w:lang w:val="en-US" w:eastAsia="en-US" w:bidi="ar-SA"/>
          </w:rPr>
          <w:t>[1997] 1 C.N.L.R. 176</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47 C.P.C. (3d) 118</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110 Man.R. (2d) 125</w:t>
        </w:r>
      </w:hyperlink>
      <w:r>
        <w:rPr>
          <w:rFonts w:ascii="arial" w:eastAsia="arial" w:hAnsi="arial" w:cs="arial"/>
          <w:color w:val="000000"/>
          <w:sz w:val="20"/>
          <w:lang w:val="en-US" w:eastAsia="en-US" w:bidi="ar-SA"/>
        </w:rPr>
        <w:t>, 118 W.A.C. 125 (There are more cases, it is settled law.) (Exhibit C12-15)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need to reconsider the definitions of "Laws" and "Governmental Authority" (assuming the correction). I am not convinced it is their intention to inadvertently contract so as to allow for potential or alleged application of band council by-laws to Kemano or any aspect of the 2007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 example, section 81 (f)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"81.(1) The council of a band may make by-laws not inconsistent with this Act or with any regulation made by the Governor in Council or the Minister, for any or all of the following purposes, namely,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and maintenance of watercourses, roads, bridges, ditches, fences and other local works;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and regulation of the use of public wells, cisterns, reservoirs and other water supplies;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any matter arising out of or ancillary to the exercise of powers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Note, those sub-sections are not restricted to "on reserve" as is seen in other sub-sections of section 81(1), for example,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 the preservation, protection and management of fur-bearing animals, fish and other game on the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Recall, Kemano is a public utility but exempted from regulation by the BCUC. But that does not protect against potential actual or alleged regulation by a band council. There are no definitions in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to help. And there is nothing in section 81(1) limiting by-laws to being not inconsistent with provincial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All of British Columbia except land that is the subject of final land claim settlement agreements may be lands subject to section 109 such as to support potential application of section 81(1)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Typically the look has been at how provincial laws of general application apply on reserve as the result of section 88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None (but me) have considered how laws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might potentially apply in British Columbia outside boundaries of Indian reserves where there are no treaties (or final land claim settlement agreements not to be construed as suggesting the same legal thing as treaties). To explain all that would take much effort and is not attempted here. Suffice to say that someone who is expert in the field has considered it sufficiently viable as to be necessary to raise it herein and be addressed in the 2007 EPA.</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Lands, Mines, Minerals, and Royalties belonging to the several Provinces of Canada, Nova Scotia, and New Brunswick at the Union, and all Sums then due or payable for such Lands, Mines. Minerals, or Royalties, shall belong to the several Provinces of Ontario, Quebec, Nova Scotia, and New Brunswick in which the same are situate or arise, </w:t>
      </w:r>
      <w:r>
        <w:rPr>
          <w:rFonts w:ascii="arial" w:eastAsia="arial" w:hAnsi="arial" w:cs="arial"/>
          <w:i/>
          <w:color w:val="000000"/>
          <w:sz w:val="20"/>
          <w:lang w:val="en-US" w:eastAsia="en-US" w:bidi="ar-SA"/>
        </w:rPr>
        <w:t>subject to any Trusts existing in respect thereof, and to any Interest other than that of the Province in the same."</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Constitution Act, 1867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[Page10]</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the 'British North America Act, 1867" shall (except those parts thereof which are in terms made, or by reasonable intendment may be held to be specially applicable to and only affect one and not the whole of the Provinces now comprising the Dominion, and except so far as the same may be varied by this Minute) be applicable to British Columbia in the same way and to the like extent as they apply to the other Provinces of the Dominion, and as if the colony of British Columbia had been one of the Provinces originally united by the said Act."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British Columbia Terms of Union</w:t>
      </w:r>
      <w:r>
        <w:rPr>
          <w:rFonts w:ascii="arial" w:eastAsia="arial" w:hAnsi="arial" w:cs="arial"/>
          <w:color w:val="000000"/>
          <w:sz w:val="20"/>
          <w:lang w:val="en-US" w:eastAsia="en-US" w:bidi="ar-SA"/>
        </w:rPr>
        <w:t xml:space="preserve"> (1871)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implications of the definition of "Governmental Authority" (assuming the correction) being inclusive of an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band council as it is a federal board is felt,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in the following:</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Prevention' of a project means: (i) any failure of Alcan to obtain any Permit, or an exemption from any requirement to obtain any Permit, or any Permit being cancelled or revoked or otherwise of no force and effect, in each case on terms normally applicable to any such Permit or exemption or otherwise acceptable to Alcan, acting reasonably, as required by applicable Laws for the lawful commencement or substantial completion of the project; or (ii) any order of a Governmental Authority or a court of competent jurisdiction binding upon Alcan and having the effect of preventing Alcan from lawfully commencing or substantially completing the project, provided that Alcan shall have used without success all commercially reasonable efforts to obtain and maintain any such Permit or exemption."</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'Permits' means permits, certificates, licences, and other approvals."</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Plant Permits' means all of the following if and as required for Kemano:</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assessment certificate;</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air emissions permit;</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Permits required with respect to the discharge of any type of waste liquids;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licence;</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zoning;</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subdivision approvals required to create the site on which Kemano is located as, a separate legal parcel;</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Permits required with respect to the storage of water at Kemano; and</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lease, license or occupation or similar agreement required with respect to Kemano including all access roads to Kemano,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terms and conditions that permit Alcan to comply with its obligations under this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band council by-laws could try to capture that, at the very least, an ambitious lawyer could take a lengthy run guaranteed to make it to the Supreme Court of Canada. That would not be me as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interferes with Indigenous governance and I do not recommend anything presently unconstitutional be propped up and accepted as lawful to serve as foundation. Nothing good can come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in the public interest for BC Hydro to be exposed to any risk of that, especially when it can be easily eliminated in the 2007 EPA by including an exclusion in the definition of "Governmental Authority" (assuming the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Consider also,</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Constraints' means Alcan's obligations under this EPA, (including the obligation to operate in accordance with Good Utility Practice), Applicable Agreements, applicable Laws, and Plant Permits (but excluding any amendments to Plant Permits after the Effective Date, which are not required by applicable Laws and that could reasonably be expected to have a material adverse effect on Alcan's ability to comply with its obligations under sections 5.1 and 5.2 or on BC Hydro's scheduling rights under section 6.1 and the Scheduling Guidelines, unless BC Hydro has consented to those amendments, such consent not to be unreasonably withheld, delayed or conditioned), if and to the extent such obligations constrain the availability of Kemano to generate Electricity."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Force Majeure and Backdoor re: 1950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Invoking Force Majeure and Notice</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Party will be in breach or default as to any obligation under this EPA if that Party is unable to perform that obligation due to an event or circumstance of Force Majeure,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Appendix I Definitions the definition of "Force Majeure" reads,</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'Force Majeure' means, subject to the exclusions in section 10.2, any event or circumstance not within the control of the Party claiming Force Majeure ...</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epidemics, </w:t>
      </w:r>
      <w:r>
        <w:rPr>
          <w:rFonts w:ascii="arial" w:eastAsia="arial" w:hAnsi="arial" w:cs="arial"/>
          <w:i/>
          <w:color w:val="000000"/>
          <w:sz w:val="20"/>
          <w:lang w:val="en-US" w:eastAsia="en-US" w:bidi="ar-SA"/>
        </w:rPr>
        <w:t>war (whether or not declared), blockades,</w:t>
      </w:r>
      <w:r>
        <w:rPr>
          <w:rFonts w:ascii="arial" w:eastAsia="arial" w:hAnsi="arial" w:cs="arial"/>
          <w:color w:val="000000"/>
          <w:sz w:val="20"/>
          <w:lang w:val="en-US" w:eastAsia="en-US" w:bidi="ar-SA"/>
        </w:rPr>
        <w:t xml:space="preserve"> acts of public enemies, terrorism, acts of sabotage, civil insurrection, riots and </w:t>
      </w:r>
      <w:r>
        <w:rPr>
          <w:rFonts w:ascii="arial" w:eastAsia="arial" w:hAnsi="arial" w:cs="arial"/>
          <w:i/>
          <w:color w:val="000000"/>
          <w:sz w:val="20"/>
          <w:lang w:val="en-US" w:eastAsia="en-US" w:bidi="ar-SA"/>
        </w:rPr>
        <w:t>civil disobedience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normal course, this is boilerplate. But in most of British Columbia, it is not the normal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14. of the 2007 EPA dealing with Termination involves Force Majeure (section 14.1). Force Majeure must continue unresolved for 365 or 730 days depending as set out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could be said that the 2007 EPA is entered into where a state of war presently exists and is unlikely to be resolved within two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"'We've been the only people that have had war declared upon us continually,' a Yakama man said. 'Even in modern-day society, we're still faced with annihilation." An Albuquerque Indian said, 'I'm still living in the Holocaust. As a native people, [we] are still having one,' "(page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"Walking a Mile: A First Step Toward Mutual Understanding: A Qualitative Study Exploring How Indians and Non-Indians Think About Each Other," A Report from Public Agenda by John Doble and Andrew L. Yarrow with Amber N. Ott and Jonathan Rochkind, research by Ana Maria Arumi and John Immerwahr, 2007, www.publicagenda.org.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it can be pretty easy to get a blockade or civil disobedience going whether for legitimate concerns or for staged action that could allow a Party to exit the 2007 EPA for a better deal elsewhere. The Six Nations/Caledonia action is going strong well into its second year, even though typically only a handful may be manning it at any given time but flares as has recently occurred. It's the sort of thing that in saying herein can make people react strongly but it is the reality and cannot be ignored. Spending as much time as I have in Indian Country would help to understand why it is necessary for this to be raised. And I make reference to the area below found under heading, "</w:t>
      </w:r>
      <w:r>
        <w:rPr>
          <w:rFonts w:ascii="arial" w:eastAsia="arial" w:hAnsi="arial" w:cs="arial"/>
          <w:color w:val="000000"/>
          <w:sz w:val="20"/>
          <w:u w:val="single"/>
          <w:lang w:val="en-US" w:eastAsia="en-US" w:bidi="ar-SA"/>
        </w:rPr>
        <w:t>Starting Presumptions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Exclusivity - Alcan shall not at any time during the Term commit, sell or deliver any Electricity to any Person, other than BC Hydro under this EPA except:</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serve the Smelter Load;</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any period in which BC Hydro is in breach of its obligations under subsection 5.3(ii);</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during any period in which BC Hydro is not accepting deliveries of Eligible Electricity from Alcan due to Force Majeure invoked by BC Hydro;</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Electricity, if any, in excess of the Delivery Limit;</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provision of backup, standby and emergency services to the Transmission Authority;</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permitted under section 5.14; and</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as BC Hydro may otherwise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sales of Electricity to third Persons permitted by this section shall be made in a manner that is consistent with Alcan's obligations and BC Hydro's rights under this EPA,"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Section 58(g) is too broad.</w:t>
      </w:r>
      <w:r>
        <w:rPr>
          <w:rFonts w:ascii="arial" w:eastAsia="arial" w:hAnsi="arial" w:cs="arial"/>
          <w:color w:val="000000"/>
          <w:sz w:val="20"/>
          <w:lang w:val="en-US" w:eastAsia="en-US" w:bidi="ar-SA"/>
        </w:rPr>
        <w:t xml:space="preserve"> BC Hydro presented itself during the Hearing as acting as a commercial enterprise. That implies that it is not unreasonable to suggest the possibility of BC Hydro agreeing with Alcan to forego energy purchase/sales between in favour of sales to third parties, for which BC Hydro would be expected to profit share through the negotiations to provide consent. This is not in the public interest, </w:t>
      </w:r>
      <w:r>
        <w:rPr>
          <w:rFonts w:ascii="arial" w:eastAsia="arial" w:hAnsi="arial" w:cs="arial"/>
          <w:i/>
          <w:color w:val="000000"/>
          <w:sz w:val="20"/>
          <w:lang w:val="en-US" w:eastAsia="en-US" w:bidi="ar-SA"/>
        </w:rPr>
        <w:t>It could avoid having to have the terms of sales of power to third parties reviewed by the BCUC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 only provision of the 1950 Agreement that speaks to power sales is clause 9. It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Sale of Power by Alcan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that the promotion and development of the district and of other industries in the vicinity of the Works may be encouraged, ALCAN may sell to others electric energy generated at the WORKS and shall not by reason of such sales be deemed a public utility within the meaning of the "Public Utilities Act", </w:t>
      </w:r>
      <w:r>
        <w:rPr>
          <w:rFonts w:ascii="arial" w:eastAsia="arial" w:hAnsi="arial" w:cs="arial"/>
          <w:i/>
          <w:color w:val="000000"/>
          <w:sz w:val="20"/>
          <w:lang w:val="en-US" w:eastAsia="en-US" w:bidi="ar-SA"/>
        </w:rPr>
        <w:t>However, the terms of sales to persons other than ALCAN'S own subsidiaries, employees and tenants shall be subject to the jurisdiction of the Public Utilities Commission,</w:t>
      </w:r>
      <w:r>
        <w:rPr>
          <w:rFonts w:ascii="arial" w:eastAsia="arial" w:hAnsi="arial" w:cs="arial"/>
          <w:color w:val="000000"/>
          <w:sz w:val="20"/>
          <w:lang w:val="en-US" w:eastAsia="en-US" w:bidi="ar-SA"/>
        </w:rPr>
        <w:t xml:space="preserve"> but said Commission shall have no authority to require ALCAN to furnish service other than retail distribution and small power service to any one in the absence of an undertaking so to do on the part of ALCAN or to require ALCAN to extend any service that it shall have undertaken to furnish.'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In my view, clause 9, properly interpreted, does not purport to confer (or restrain) Alcan's right to sell Kemano power, and therefore it cannot support the restriction on Alcan's right to sell Kemano power that the petitioners allege." [emphasis added]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DOK Case,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Section 5.8(g) serves as a backdoor</w:t>
      </w:r>
      <w:r>
        <w:rPr>
          <w:rFonts w:ascii="arial" w:eastAsia="arial" w:hAnsi="arial" w:cs="arial"/>
          <w:color w:val="000000"/>
          <w:sz w:val="20"/>
          <w:lang w:val="en-US" w:eastAsia="en-US" w:bidi="ar-SA"/>
        </w:rPr>
        <w:t xml:space="preserve"> to removing the impediment contained in section 9 of the 1950 Agreement such that if the 2007 EPA is accepted as filed, Alcan need only get BC Hydro's agreement to power sales to third parties with the 2007 EPA remaining in full force, thus avoiding the terms of sale being subject to the jurisdiction of the BCUC. Taking action to remove the need to have terms of sales removed would not offend against the following, as that would not be steps taken to change exempt status: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Exemption from Utility Regulation - Alcan shall not take any action that would cause Alcan to cease to be exempt, or omit to take any action necessary for Alcan to continue to be exempt, from regulation as a 'public utility", as defined in the UCA, with respect to Kemano. the sale of Electricity and the performance by Alcan of its obligations under this EPA where such designation as a 'public utility' could reasonably be expected to have an adverse effect on the benefit to BC Hydro of this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Force Majeure is "invoked" by the mere sending of a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Termination by Alcan - Alcan may terminate this EPA by notice to BC Hydro if:</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Alcan has received a notice from BC Hydro </w:t>
      </w:r>
      <w:r>
        <w:rPr>
          <w:rFonts w:ascii="arial" w:eastAsia="arial" w:hAnsi="arial" w:cs="arial"/>
          <w:i/>
          <w:color w:val="000000"/>
          <w:sz w:val="20"/>
          <w:lang w:val="en-US" w:eastAsia="en-US" w:bidi="ar-SA"/>
        </w:rPr>
        <w:t>invoking</w:t>
      </w:r>
      <w:r>
        <w:rPr>
          <w:rFonts w:ascii="arial" w:eastAsia="arial" w:hAnsi="arial" w:cs="arial"/>
          <w:color w:val="000000"/>
          <w:sz w:val="20"/>
          <w:lang w:val="en-US" w:eastAsia="en-US" w:bidi="ar-SA"/>
        </w:rPr>
        <w:t xml:space="preserve"> Force Majeure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waiting period is only for termination as set out in section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no assistance from the Parties as to their intentions during the Hearing as they refused to answer out questions as set out in information requests, and there is no specific limitation to the Kemano site and ancillary (BC Hydro has other "heritage sites" and may be moving on Site C) for example, regarding blockades and civil disobedience. There is also no exclusion from Force Majeure as set out in section 10.2 of the 2007 EPA that assists to make sure there is no abuse: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Exclusions from Force Majeure - A Party may not invoke Force Majeure:</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economic hardship, or for lack of money, credit or markets; or</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prevention of its performance is caused by a breach by that Party of a Permit or of any applicable Laws; or</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 a mechanical breakdown, unless the Party seeking to invoke Force Majeure can demonstrate that the mechanical breakdown was caused by a latent defect in the design or manufacture of the equipment which could not reasonably have been identified by normal inspection or testing of the equipment; or</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Force Majeure was caused by a breach of, or default under, this EPA or a willful or negligent act or omission by the Party seeking to Invoke Force Majeure;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14]</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acts or omissions of: (i) any Affiliate, employee, director, officer, agent or other representative of that Party; or (ii) any vendor, supplier, contractor, subcontractor, consultant or customer of or to that Party; or (iii) any other Person for whom that Party is responsible at law, unless such acts or omissions are themselves excused by reason of Force Majeure as defined in this EPA: or</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disconnection of Kemano from the Transmission System, or any Outage, suspension, constraint or curtailment in the operation of the Transmission System for which relief is provided under subsection 5,4(a)(ii); or</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cost or unavailability of water for any reason, including natural causes, unless Alcan can demonstrate that the unavailability of the water is caused by a significant landslide, earthquake, avalanche, volcanic eruption or collapse of the tunnel forming part of Kemano resulting in a significant reduction in the flow of water to Kemano, as a result of which Alcan is unable to perform an obligation under this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Appreciate the affects of the following (and Exhibit C12-2 and C12-21) on risk in 2007 EPA and on the potential to trigger Force Majeure. (Exhibit C12-21):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Indian woman in Albuquerque added, 'There was a song ... [that] said: "The only safe place to live is on an Indian reservation." ... [But] nowadays, even on the reservation, they have to board their windows.' A Yakama man said, 'Anger is like a cancer on this reservation.'" (page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consider how perplexed many white were to the reactions of so many African-Americans to the Rodney King trial. Many whites, who saw the trial in an historical context, could not understand the depth of skepticism African-Americans feel toward the police and the criminal justice system. Blacks' reactions to the trail jarred many whites to rethink their views, almost as if a door opened on another people's souls and whites could sec for the first time just how intensely black people felt.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might imagine a similar incident involving Indians in which non-Indians would be shocked to learn the depth of Indians' anguish about the past and its impact on the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Indians we spoke with felt that Indians are entitled to whatever they receive from the government -- and more -- because the United States is their land. Since Indians were here first, they suggested, this land has always belonged to them and they have the right to use it as they see fit." (page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"Walking a Mile: A First Step Toward Mutual Understanding: A Qualitative Study Exploring How Indians and Non-Indians Think About Each Other," A Report from Public Agenda by John Doble and Andrew L. Yarrow with Amber N. Ott and Jonathan Rochkind, research by Ana Maria Arumi and John Immerwahr. 2007, www.publicagenda.org.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should be sufficient protection through a check and balance that allows for reasonable application of Force Majeure while preventing potential for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Representations and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17.1(c) and section 17.2(c) recommend deletion of "or threatened." Until such time as there are releases and/or permissions from Indigenous nations in place or there is an act of abandonment, must assume always threatened. That is the reality in this part of the world. Perhaps could consider as well in the alternative to full deletion, "imminently threatened." But first suggestion is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17.1 (d) and section 17.2 (d) reference Force Majeure as do sections 17.1 (e) and 17.2(e)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17.1(d) and section 17.2 (d) specifically represent no change to permit structures by virtue of signing the 2007 EPA, with which the evidence is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"11.6 Consequential Damages - Neither Party shall be liable to the other Party for any special, incidental, exemplary, punitive, indirect or consequential damages arising out of a Party's performance or non-performance under this EPA, whether based on, or claimed under, contract, tort, strict liability or any other theory at law or in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Since the evidence is Alcan owns and operates Kemano, then reasonable to add into section 18.1 (c) to deal with torts etc. any litigation etc. brought regarding impacts to and/or ownership of water pertaining to Kemano.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know that there is no liability formed by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"19.2 Independence. The Parties are independent contractors and nothing in this EPA or its performance creates a partnership, joint venture or agency relationship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"S.I0 Custody, Control and Risk of Electricity -- Custody, control, risk of, and title to all Electricity old by Alcan to BC Hydro under this EPA passes from Alcan to BC Hydro at the POI. Alcan shall ensure that all Electricity delivered to BC Hydro under this EPA is free and clear of all liens, claims, charges and encumbrances, Alcan shall be responsible for all transmission losses and costs, if any, relating to the transmission of Electricity from Kemano to the POI."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Risk passes to BC Hydro at the POI, including with respect to "</w:t>
      </w:r>
      <w:r>
        <w:rPr>
          <w:rFonts w:ascii="arial" w:eastAsia="arial" w:hAnsi="arial" w:cs="arial"/>
          <w:color w:val="000000"/>
          <w:sz w:val="20"/>
          <w:u w:val="single"/>
          <w:lang w:val="en-US" w:eastAsia="en-US" w:bidi="ar-SA"/>
        </w:rPr>
        <w:t>Contingent Liabilities</w:t>
      </w:r>
      <w:r>
        <w:rPr>
          <w:rFonts w:ascii="arial" w:eastAsia="arial" w:hAnsi="arial" w:cs="arial"/>
          <w:color w:val="000000"/>
          <w:sz w:val="20"/>
          <w:lang w:val="en-US" w:eastAsia="en-US" w:bidi="ar-SA"/>
        </w:rPr>
        <w:t>" below, There is no indemnity by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Green Attributes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"5.12 Green Attributes -- BC Hydro acknowledges that Alcan retains title and all right, benefit and interest in, to and arising from the Green Attributes."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it be better to apportion between BC Hydro and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BC Hydro did not properly and fully turn their mind to the issue, indeed even know or appreciate what "Green Attributes" are or reasonably should include and thus the potential benefits therefrom for BC Hydro, and the evidence is wholly insufficient to satisfy the concern (T7: Page 1407, Line 25 to Page 1408, Line 11 inclusive). BC Hydro witness, chief negotiator of the 2007 EPA (Hemmingsen) (T5: Page 812, Line 14 to Page 814, Line 25, especially at Page 813, Lines 8-10):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HEMMINGSEN: A: Well, I think my response is, we haven't acquired the green attributes, </w:t>
      </w:r>
      <w:r>
        <w:rPr>
          <w:rFonts w:ascii="arial" w:eastAsia="arial" w:hAnsi="arial" w:cs="arial"/>
          <w:i/>
          <w:color w:val="000000"/>
          <w:sz w:val="20"/>
          <w:lang w:val="en-US" w:eastAsia="en-US" w:bidi="ar-SA"/>
        </w:rPr>
        <w:t>whatever they are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MILLER: Q: What was the rationale for agreeing to Alcan retaining the green attributes and not sharing them or transferring them to B.C. Hydro?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HEMMINGSEN: A: It was part of the negotiation. As I said in my opening statement, there's some 'gives to gets' and some "gets to give'. And this one was viewed as not a very important aspect for B.C. Hydro at this point in time. </w:t>
      </w:r>
      <w:r>
        <w:rPr>
          <w:rFonts w:ascii="arial" w:eastAsia="arial" w:hAnsi="arial" w:cs="arial"/>
          <w:i/>
          <w:color w:val="000000"/>
          <w:sz w:val="20"/>
          <w:lang w:val="en-US" w:eastAsia="en-US" w:bidi="ar-SA"/>
        </w:rPr>
        <w:t>It doesn't preclude us in the future from going back in a separate negotiation to secure those if they subsequently prove to be valuable for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time to secure any Green Attributes is now, and the time to ensure that the definition of "Green Attributes" is sufficient is now, Hemmingsen's evidence therein raises uncertainty as to the whole of the approach to negotiation of the 2007 EPA. Hemmingsen defers that she is not a lawyer but a negotiator must understand the subject of the negotiations to be effective and competent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BC Hydro explains only </w:t>
      </w:r>
      <w:r>
        <w:rPr>
          <w:rFonts w:ascii="arial" w:eastAsia="arial" w:hAnsi="arial" w:cs="arial"/>
          <w:i/>
          <w:color w:val="000000"/>
          <w:sz w:val="20"/>
          <w:lang w:val="en-US" w:eastAsia="en-US" w:bidi="ar-SA"/>
        </w:rPr>
        <w:t>what</w:t>
      </w:r>
      <w:r>
        <w:rPr>
          <w:rFonts w:ascii="arial" w:eastAsia="arial" w:hAnsi="arial" w:cs="arial"/>
          <w:color w:val="000000"/>
          <w:sz w:val="20"/>
          <w:lang w:val="en-US" w:eastAsia="en-US" w:bidi="ar-SA"/>
        </w:rPr>
        <w:t xml:space="preserve"> is in the 2007 EPA and not </w:t>
      </w:r>
      <w:r>
        <w:rPr>
          <w:rFonts w:ascii="arial" w:eastAsia="arial" w:hAnsi="arial" w:cs="arial"/>
          <w:i/>
          <w:color w:val="000000"/>
          <w:sz w:val="20"/>
          <w:lang w:val="en-US" w:eastAsia="en-US" w:bidi="ar-SA"/>
        </w:rPr>
        <w:t>why</w:t>
      </w:r>
      <w:r>
        <w:rPr>
          <w:rFonts w:ascii="arial" w:eastAsia="arial" w:hAnsi="arial" w:cs="arial"/>
          <w:color w:val="000000"/>
          <w:sz w:val="20"/>
          <w:lang w:val="en-US" w:eastAsia="en-US" w:bidi="ar-SA"/>
        </w:rPr>
        <w:t xml:space="preserve"> (Spafford at T5; Page 4-9 inclusive). Commission Counsel sought response to "why." Mr. Miller stated in the responses at that time as follows, "That's satisfactory just now," BC Hydro fails to fully satisfy (T7: Page 1407, Line 25 to Page 1408, Line 11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Ownership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Owner and Operator -- Alcan, or its permitted assigns, shall own Kemano. Alcan shall ensure that Kemano is operated and maintained using qualified and experienced individuals."</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'Kemano' means the facilities described in Appendix, 5 and all facilities and equipment required to operate and maintain the plant described in, Appendix 5 and includes the Interconnection, all as modified from time to time as permitted under this EPA"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"Own" is not a defined term in the 2007 EPA and can mean just control and use and does not mean underlying title in the water being used or in the land where Kemano and other Alcan facilities are located such that would challenge Haisla ownership. That does not however relieve Alcan from that raised in Exhibit C12-2.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Commercial Title Insurance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Insurance Alcan shall obtain, maintain and pay for policies of commercial general liability insurance applicable to the activities at, or related to, Kemano and property insurance covering Kemano, in each case with limits of liability and deductibles consistent with those that a prudent owner of a facility similar to Kemano would maintain. Alcan shall promptly on request from BC Hydro provide BC Hydro with a copy of an insurance certificate(s) for the insurance required to be maintained by Alcan under this section. Alcan shall be responsible for the full amount of all deductibles under all insurance policies required to be maintained by Alcan under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about commercial title insurance? "There are areas where lawyers/ notaries cannot provide a legal opinion. Title insurance offers protection against many unexpected matters."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"Covered Title Risks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Then, after the words in the Coverage Statement 'loss caused by', you come to the heart of the policy - the Covered Title Risks. There are four basic owner's coverages:</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Title being held other than as stated in the policy;</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defect in, charge, lien or encumbrance on the title;</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Unmarketability of the title; and</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a right of access.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is a simple, but pretty complete, title statement - "you own the property, free and clear, you can get to it and you can sell it". Title insurance coverage in an owner's policy lasts as long as that party owns the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Duty to Defend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Another clear advantage of title insurance (and potentially a very useful tool for your client) follows the list of specific coverages and uses words like; "the company will also pay the costs, legal fees and the expenses incurred in defence of the title as insured." This is the third component - the "Duty to Defend", However, as an indemnity insurance policy, even without this statement there is a common law obligation on the insurer to defend what is insured - the title - against claims and to protect that title against acts inconsistent with the title insured.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current time, in addition to property-specific exceptions like registered mortgages or known survey defects, the following items are often standard exceptions in the various policies.</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reservations and restrictions in original crown patent;</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mining claims:</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native land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18]</w:t>
      </w:r>
      <w:r>
        <w:rPr>
          <w:rFonts w:ascii="arial" w:eastAsia="arial" w:hAnsi="arial" w:cs="arial"/>
          <w:sz w:val="20"/>
          <w:lang w:val="en-US" w:eastAsia="en-US" w:bidi="ar-SA"/>
        </w:rPr>
        <w:cr/>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taxes or assessments not shown as existing liens:</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unregistered casements or rights of way which would have been disclosed by an up-todate survey;</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that could be ascertained by an inspection or survey; and</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survey defects."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Bruce A. McKenna "Understanding available (and necessary endorsements in commercial title insurance policies," (C) 2005 Lang Michener LLP, www.langmichener.ca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we are not talking about "native land claims." We are talking about title. There is a difference but however the exemptions are worded may capture the differences, they would need to be carefully reviewed and is beyond the ability of the writer to do. They would clearly apply in the approach taken by CSTC, for example, but may not in terms of the approach taken by the Haisla Hereditary Chiefs, by Indigenous nations. Notwithstanding, terms loopholes may well be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Starting Presumptions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"Questioning band council use of band assets will bump up against lack of funds for professional assistance to pursue civil actions, absence of lawyers willing to act because instructions are not from chief and council or because of lack of experience or conflicts. Few lawyers want to run the risk of being seen to challenge band councils as they are, as said, the ones with the money to spend on lawyers. Too often the Crown fails in the Duty to Protect. There is no effective infrastructure to respond to allegations through investigation and meeting of a civil standard of proof instead of the criminal standard. Criminal investigations are lengthy and resources and experience are seriously lacking. So tension builds." (Exhibit CI2-21)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Attached hereto and forming part hereof is the analysis and argument of the writer of July 29, 1998 that still 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grease produced by the participants from this camp should prove to be of the healthy, oolichan kind, not like the grease of corruption: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proposition that bribery can grease the machinery of commerce is often heard, and hence deserves a careful look at the evidence. And the evidence clearly rejects this hypothesis. ... (page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paper reviews recent studies on the consequences of corruption on economic development. ... (page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paper focuses on corruption in the economic sphere involving government officials. Corruption here is defined as government officials abusing their power to extract/accept bribes from the private sector for personal benefits. This is to be distinguished from political corruption (e.g., vote-buying in an election, legal or illegal campaign contributions by the wealthy and other special interest groups to influence laws and regulations), and bribes among private sector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very nature of corruption (secrecy, illegality, variations across different economic activities), it is impossible to obtain precise information on the extent of corruption in a country, unlike, for instance, measuring inflation. This difficulty also precludes a precise grading of countries according to their relative degree of corruption.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said, one can still get useful information on the seriousness of corruption in a country by surveying experts or firms in that country. Like pornography, corruption is difficult to quantify. but you know it when you see it. (page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worthwhile to emphasize again that these indices reflect people's self-reported perception, as opposed to objective measures of corruption. Perception can be different from reality. (page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poverty can be made worse and more persistent by corruption. In fact, one can expect that corruption would make poverty worse in cities as well as in rural areas, as poor people have less means to bribe officials and less political power in general. Rose-Ackerman (1997) listed several channels through which poor people are hurt by corruption. (A) The poor will receive a lower level of social services. (B) Infrastructure investment will be biased against projects that aid the poor. (C) The poor may face higher tax or fewer services. (D) The poor are disadvantaged in selling their agricultural produce. And (E) their ability to escape poverty using indigenous, small scale enterprise is diminished.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cross-country regressions over the period 1980-97, Gupta, Davoodi, and Alonso-Terme (1998) show that high and rising corruption, as measured by the CRG index, increases income inequality and poverty. Several channels have been identified in the paper through which corruption worsens the (relative and sometimes absolute) poverty: corruption lowers economic growth, biases the tax system to favor the rich and well-connected, reduces the effectiveness of targeting of social programs, biases government policies towards favoring inequality in asset ownership, lowers social spending, reduces access to education by the poor, and increases the risk of investment by the poor. (page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ways to fight corruption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corruption is a crime in most countries' penal codes, it is common to emphasize the role of law enforcement in the fight against corruption. While there is no question that law and law enforcement are important, we should note that it is at least as important to look into the root causes of corruption, the institutional environment and the incentive structure under which corruption thrives.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Opportunities induced by Government's Role in the Economy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we want to recruit ethical individuals to become government officials, economists are never tired of pointing out the importance of minimizing the institutionalized opportunity for officials to take bribes. The more discretion government officials have over the operation of business or lives of citizenry, the more likely corruption would occur and flourish, other things being equal. ... (page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Civil servant recruitment and promotion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moral character and quality of government officials are certainly another very important determinant of the extent of corruption in a country. The quality of the bureaucrats, in turn, is highly related to how they are recruited, paid, and promoted. In a country where nepotism and patronage are rampant, or government posts are sold explicitly or implicitly, bureaucrats will be less competent and less well-motivated because success depends on advantages gained by connection or bribing superiors rather than merit, and will be very vulnerable to corruption. The German sociologist Max Weber (1947) made this point amply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Rauch and Evans (1997) composed indices of degree of meritocratic recruitment and promotion for civil servants in 35 countries (as well as their average wages relative to private sector alternatives). They then show that the cross-country ratings such as the International Country Risk Guide are statistically significantly related to the way civil servants are recruited and promoted. Meritocratic recruitment is most important for reducing corruption, followed by meritocratic promotion and security of employment. (page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several channels through which detection and punishment capacity is realized. Let me mention seven of them here: (A) An independent and impartial judicial system, (B) an official anticorruption agency such as Hong Kong's Independent Commission Against Corruption (ICAC), 11 (C) existence of grassroots "watchdog" organizations, (D) a telephone "hot line" as those in the United Kingdom and Mexico that allow citizens to complain directly to the government, (E) public opinion surveys such as those carried out by Public Affairs Center in Banglore, India or by the World Bank's Economic Development Institute in other countries that register the public's attitude, particularly those of the poor, towards corruption, (F) freedom of the press to bring to light any official corruption, and finally (G) democracy that serves the dual purpose of throwing corrupt officials out of power by the populace and protecting those individuals and organizations that dare to expose corrupt officials. All of these channels are potentially important. (page 21-22)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domestic efforts and domestic institutions ultimately determine the success in reducing corruption.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while the international pressure is useful and should be applied whenever and wherever possible, it should be regarded as supplemental to other domestically-based reforms. (page 23-24)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 14 Britain has a 1906 (?) law that can be interpreted as prohibiting its firms from bribing foreign officials. But it is effectively unenforced. [Footnote] 15 Hines (1995) found that the U.S. firms do invest less in more corrupt countries. Wei (1997a) found that U.S. firms are not very different from those from other OECD source countries in this regard, and hence, U.S. firms' behavior may not be attributable to the FCPA. A Wall Street Journal article (September 29, 1995), "Greasing Wheels: How U.S. Concerns Compete in Countries where Bribes Flourish?' suggests that some firms may indeed evade the requirement of law. (page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21]</w:t>
      </w:r>
      <w:r>
        <w:rPr>
          <w:rFonts w:ascii="arial" w:eastAsia="arial" w:hAnsi="arial" w:cs="arial"/>
          <w:sz w:val="20"/>
          <w:lang w:val="en-US" w:eastAsia="en-US" w:bidi="ar-SA"/>
        </w:rPr>
        <w:cr/>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Concluding remarks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one may think of examples in which some firms/people are made better off either by paying a bribe or the opportunity to pay a bribe, the overall effect of corruption on economic development is negative. This is just as true in Asia as elsewhere. Systematic research conducted recently by a number of authors find that the more corrupt a country, the slower it grows. There are several channels through which corruption hinders economic development. They include reduced domestic investment, reduced foreign direct investment, overblown government expenditure, distorted composition of government expenditure away from education, health, and the maintenance of infrastructure, towards less efficient public projects that have more scope for manipulation and bribe-taking opportunities.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culture plays a role in determining what is considered a bribe versus a gift, the culture-induced difference seems small. There is no evidence to support the notion that corruption in Asia, East Asia included, is any less harmful than corruption elsewhere.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fight against corruption has to be multi-fronted. While laws and law enforcement are indispensable, countries serious about fighting corruption should also pay attention to reforming the role of government in the economy, particularly those areas that give officials discretionary power which are hot beds for corruption. Recruiting and promoting civil servants on a merit basis, and paying them a salary competitive to private sector alternatives help to attract high quality, moral civil servants. International pressure on corrupt countries, including criminalizing bribing foreign officials by multinational firms, is useful. But the success of any anti-corruption campaign ultimately depends on the reform of domestic institutions in currently corrupt countries. (page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Shang-Jin Wei, Corruption in Economic Development: Beneficial Grease, Minor Annoyance, or Major Obstacle? Harvard University and National Bureau of Economic Research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 is Associate Professor of Public Policy at Harvard University's Kennedy School of Government, Faculty Research Fellow of the (U.S.) National Bureau of Economic Research, Research Associate at the Harvard Institute for International Development, and Research Associate of the Center for Pacific Basin Monetary and Economic Studies of the Federal Reserve Bank of San Francisco.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paper was supported by the World Bank's Development Research Group and the International Monetary Fund's Fiscal Affairs Department. It was presented at the Workshop on Integrity in Governance in Asia, organized by the United Nations Development Program (Kristinn Helgason and Pauline Tamesis) and the Transparency International Thailand Chapter, held in Bangkok, June 29-July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is considered a country having low corruption (see page 7 of Wei). It is also a country that has a very high rank for standard of living -- that is until you look specifically at the Indigenous people, where it falls to compare to that of third countries. Same for poverty and lifespan -- indeed for all the measures -- when you look at the Indigenous population, the results are significantly different from the results for the whole of Canada. This is in the public domain. The same can be said for the subject of corruption.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why this is important, and is relevant to this exercise, what exactly are appropriate starting presumptions when it comes to that part of the public that is Indigenous. When someone thinks it looks bad, before, Indigenous people could be expected to give up if ignored long enough. Not so today. They will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are empowered to act and know who to call to get help to act, The Haisla Hereditary Chiefs acted. They intervened, Certainly Exhibit CI2-24 may have something to do with that, plus other public announcements in the area heard first in that way and not from the KVC (band council) such as the "partnership" (T7: Page 1391, Line 18 10 Page 1392 Line 8 inclusive) but whatever caused them to be triggered to act, a matter of their law, they sought the writer's help and intervened. There will not always be such opportunities. And there should be less need for them if lessons are learned herein this Hearing, especially from our intervention. But even though it may be a matter of internal, Indigenous law, it must always be appreciated that the starting presumptions as to the nature of protections taken for granted by Canadians generally, do not apply in Indian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Unfortunately the starting presumptions presently in Indian country are not as they should be. There can be a high likelihood of corruption influencing until proven not to be the case, given the legislative, economic, and social environment. It is a presumption to be rebutted and industry needs to be aware of that because there will be someone who will raise the question. Industry, especially through its lawyers, needs to protect itself and do its due diligence and not merely accept as represented to it. In the northwest and west central British Columbia, there are very complex dynamics in play in Indian Country, Those in this Hearing have had but a mild taste. The writer has been studying and experiencing it for almost 18 years, at ground level. Just like a correspondent on the front lines, reading about it and being there as it happens is a very different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one channel in being diligence is to ensure it is very clear, in law, who is appearing and for whom and to insist upon demonstration by evidence and not rely on mere assertion. This is before the Commission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Standing and Weight of Evidence an Argument; CSTC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(Some of this part is repealed in response to the motion brought by the Carrier Sekani Tribal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BCUC is quasi-judicial. Learned counsel agrees with me (Exhibit C1-22 and T4: Page 554, Lines 19-22, Page 575, Lines 13-14. Page 576, Lines 6-7, Page 577, Lines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Societies are acceptable under the BC Treaty Process to negotiate under the land claims policy and mere assertion of aboriginal title is sufficient to commence negotiations but which negotiations are not about aboriginal title but about terms of land claim settlement agreements. But a society's standing in court can be challenged, as it must be and is hereby. There should be zero weight given to any argument made by the CSTC in this Hearing as the CSTC has no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McDade for the CSTC stated that he was there for only one reason (T4: Page 589. Lines 2-11), reflected in his motions. He (CSTC) cannot then be there at all "as an incorporated society, [CSTC] lacked capacity or standing as a representative of aboriginal people to advance a claim for aboriginal rights or title":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Wilson et al. v. British Columbia &amp; Canada (Attorney General of),</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2006 BCSC 228</w:t>
        </w:r>
      </w:hyperlink>
      <w:r>
        <w:rPr>
          <w:rFonts w:ascii="arial" w:eastAsia="arial" w:hAnsi="arial" w:cs="arial"/>
          <w:color w:val="000000"/>
          <w:sz w:val="20"/>
          <w:lang w:val="en-US" w:eastAsia="en-US" w:bidi="ar-SA"/>
        </w:rPr>
        <w:t xml:space="preserve"> the court had to dance around the fact that an incorporated society cannot bind an Indigenous nation. With the cooperation of the parties the problem was avoided by allowing the society standing in the proceedings only for issues that do not require the society to try to put the assets and sovereignty of an Indigenous nation on the 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applicant, the Kaska Dena Council ("the KDC"), a society incorporated under the Society Act, </w:t>
      </w:r>
      <w:hyperlink r:id="rId756"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applies pursuant to Rule 15(5)(a)(iii) of the Rules of Court to be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When the application was heard on November 3, 2005, counsel for both the plaintiffs and the Attorney General of Canada took the position that the KDC as an incorporated society, lacked capacity or standing as a representative of aboriginal people to advance a claim for aboriginal rights or title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Her Majesty the Queen in Right of British Columbia ("British Columbia") takes no position on the KDC's application to be added as a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Counsel for Canada no longer opposes the KDC's application, </w:t>
      </w:r>
      <w:r>
        <w:rPr>
          <w:rFonts w:ascii="arial" w:eastAsia="arial" w:hAnsi="arial" w:cs="arial"/>
          <w:i/>
          <w:color w:val="000000"/>
          <w:sz w:val="20"/>
          <w:lang w:val="en-US" w:eastAsia="en-US" w:bidi="ar-SA"/>
        </w:rPr>
        <w:t>subject to one condition intended to ensure the action is not transformed into an aboriginal title or rights claim on behalf of those represented by the KDC.</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Appointment of a case management judge </w:t>
      </w:r>
      <w:r>
        <w:rPr>
          <w:rFonts w:ascii="arial" w:eastAsia="arial" w:hAnsi="arial" w:cs="arial"/>
          <w:i/>
          <w:color w:val="000000"/>
          <w:sz w:val="20"/>
          <w:lang w:val="en-US" w:eastAsia="en-US" w:bidi="ar-SA"/>
        </w:rPr>
        <w:t>will serve to ensure that the parties (including the KDC) adhere to their unanimous resolve not to extend the scope of this case into the question of proof of aboriginal rights and title.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that the Kaska Dene appear to be represented in terms of being an ethnic minority through participation in land claims negotiations and otherwise and therefore it is questionable that that nation remains in existence. I have not met any Kaska Dene and I have not heard any contrary positions that suggest continuing nationhood. But I had the same opinion of the Gitxsan until I met and spent time observing and speaking with them and realized the contrary was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 surprise here that the province of British Columbia decided to take no position regarding societies and Indigenous nations. The province is trying to cut a lot of deals through a lot of societies. It could not mislead the court by insisting societies do represent the Indigenous nations and of course could offer nothing in support of such argument. Nor could the province side (sic) with Canada and thereby admit it does not have what it represents it has and thereby undermine its marketing efforts to convince industry there is 'certainty.'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the difference that perhaps explains why land claims negotiations in which the government of Canada is a party are well funded and underway with societies incorporated under the laws of British Columbia but the Attorney General of Canada will not accept a British Columbia society speaking to such things in Her Majesty's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have standing in court you must be the person affected - it must be your assets, not those of your neighbours that the dispute must be about. You cannot simply access the courts to ask the court to protect or decide on something that is not yours or that you are not directly involved in or will not be impacted on by the decision. There must be an actual case before the court, with actual affected parties and between only those parties. It cannot be speculative or 'moot.'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domestic courts, if the Indigenous nation presents itself as such, the issues raised are not justiciable, as the court was clear to point out in the first instance in the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case, and Justice Ian Binnie of the Supreme Court of Canada issued warning about. The only way the domestic court can proceed is for the Indigenous nation to directly represent itself and submit to the court by accepting domestic ethnic minority status thereby directly abandoning sovereignty and accepting the mere bare assertion of Her Majesty's sovereignty. This means accepting the doctrine of discovery as good and applicable law. Such a representation cannot be made by a society incorporated under the laws of British Columbia. Anything the society does is obviously not binding on the Indigenous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lawyer speaking for the Indigenous nation would tend to be accepted and relied upon by the court, as occurred in the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case. But the question then becomes whether that lawyer was carrying into that courtroom the symbols of authority that serve to actually bind the Indigenous nation(s) to the lawyer's representations. If the lawyers are not so properly authorized by the applicable Indigenous law, as in the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case, the court has been seriously mislead by the lawyers. The court should be able to rely upon the representations of the lawyers that they have full authority to act and that the representations are binding on the client. That is part of the lawyers' duty to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for example, while the courts may have thought it enough to have the lawyers appear it was not enough to actually bind the Gitxsan to the representations made in those courts by those lawyers. Getting instructions in such cases is not merely to appease the governing body of the lawyers, it must support and evidence binding representation, and all Indigenous nations have extremely well developed laws in that respect that continue in effect and have not been abandoned. They are most visible to outsiders on occasions such as namings and funerals.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cannot simply call for a meeting and take a show of hands of those who show up, as the </w:t>
      </w:r>
      <w:r>
        <w:rPr>
          <w:rFonts w:ascii="arial" w:eastAsia="arial" w:hAnsi="arial" w:cs="arial"/>
          <w:i/>
          <w:color w:val="000000"/>
          <w:sz w:val="20"/>
          <w:lang w:val="en-US" w:eastAsia="en-US" w:bidi="ar-SA"/>
        </w:rPr>
        <w:t>'Delgamu'ukw lawyers'</w:t>
      </w:r>
      <w:r>
        <w:rPr>
          <w:rFonts w:ascii="arial" w:eastAsia="arial" w:hAnsi="arial" w:cs="arial"/>
          <w:color w:val="000000"/>
          <w:sz w:val="20"/>
          <w:lang w:val="en-US" w:eastAsia="en-US" w:bidi="ar-SA"/>
        </w:rPr>
        <w:t xml:space="preserve"> did, and say you have the authority to speak for the nation and have your words bind the nation. All governing bodies have symbols of authority, be it the Pope's ring, or the display and presence of those during the elaborate rituals of opening of parliaments, The authority rests with the Indigenous Nation and a person can only be authorized to represent or more accurately 'help' the nation in accordance with that nation's 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if someone comes forward in the context of land claims negotiations and says there is no Indigenous nation in existence who continues to demand a treaty with Her Majesty but only remnants now comprising a domestic ethnic minority who wish to pursue a land claim settlement agreement, and there is nothing said by the Indigenous nation (because a corpse cannot speak), and sufficient time passes to enable a reasonable conclusion that indeed it is a corpse and not simply comatose with the possibility of wakening, then abandonment has occurred and the very point of absence of a voice to contradict what the society represents seals the deal.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none of this is comprehensible to most Indigenous people because it is all legalese. They usually have no idea what these well paid society directors and officers who control their own remuneration and often that of their close relatives are doing. But the Indigenous people rest comfortably knowing that they never borrowed the money and that these society directors and officers do not carry the symbols of authority of their nation and therefore cannot bind them."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Switlo, "For what it's worth: The Tahltan play, a last hurrah?", April 09, 2006, www.switlo.com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should never have been any attempt by a society to turn this Hearing into and to extend the scope of this case into the question of proof of aboriginal rights and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McDade admits that the CSTC does not have "aboriginal title"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CSTC bands have aboriginal title over the lands covered by the northern part of the Nechako reservoir and the Nechako river watershed, and the Nechako River itself," (T3: Page 296, Lines 10-14)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 says the CSTC </w:t>
      </w:r>
      <w:r>
        <w:rPr>
          <w:rFonts w:ascii="arial" w:eastAsia="arial" w:hAnsi="arial" w:cs="arial"/>
          <w:i/>
          <w:color w:val="000000"/>
          <w:sz w:val="20"/>
          <w:lang w:val="en-US" w:eastAsia="en-US" w:bidi="ar-SA"/>
        </w:rPr>
        <w:t>bands</w:t>
      </w:r>
      <w:r>
        <w:rPr>
          <w:rFonts w:ascii="arial" w:eastAsia="arial" w:hAnsi="arial" w:cs="arial"/>
          <w:color w:val="000000"/>
          <w:sz w:val="20"/>
          <w:lang w:val="en-US" w:eastAsia="en-US" w:bidi="ar-SA"/>
        </w:rPr>
        <w:t xml:space="preserve"> have it. The society, CSTC, is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the bands.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Statement of Intent submitted by the CSTC to the BC Treaty Commission has been in public domain for years on the BC Treaty Commission website: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"Statement of intent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First Nation Called?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Carrier Sekani Tribal Council</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is the First Nation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Describe: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Carrier Sekani Tribal Council is registered as a non-profit society under the Provincial Societies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http://www.bctreaty.net/soi/soicarrier.php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Carrier Sekani Tribal Council (CSTC) was incorporated under the British Columbia Society Act in 1979,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organization, located in Prince George, BC has built a reputation for delivering an array of services to our member First Nations. ... Over the years, the number of Carrier Sekani First Nations who are member to the Carrier Sekani Tribal Council has changed."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Carrier Sekani Tribal Council, A CSTC Background, February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McDade is not here for the bands. He is here for the society: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CSTC is appearing</w:t>
      </w:r>
      <w:r>
        <w:rPr>
          <w:rFonts w:ascii="arial" w:eastAsia="arial" w:hAnsi="arial" w:cs="arial"/>
          <w:color w:val="000000"/>
          <w:sz w:val="20"/>
          <w:lang w:val="en-US" w:eastAsia="en-US" w:bidi="ar-SA"/>
        </w:rPr>
        <w:t xml:space="preserve"> to register its opposition to this application at this time." (T3: Page 296, Lines 15-16)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society is not mandated. To allow the CSTC standing on the sole issue it raises herein would be to endorse an even lesser standard as is acceptable for the BC Treaty Commission, and the BCUC cannot do so. As a quasi-judicial body it can accept evidence of a more flexible nature that may not otherwise be accept in a court but it cannot, I submit, change the rules for standing and allow a party to adjudicate that which the party could never do in court. The BCUC has a specific regulatory purpose and cannot step outside that jurisdiction. It is never anticipated that its jurisdiction would be expanded into a court of determination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One letter signed by one chief who did not present himself for cross-examination is not evidence. (Exhibit C21-I), Mr. McDade appears as legal counsel only, and not as expert providing evidence and his submissions and assertions in written motion are not evidence and are not supported by any evidence. I repeat that said on November 27, 2007 (T8: Pages 1454 - 1472 inclusive). I direct also to that said by learned friends (T8; Pages 1473 - 1487, especially Pages 1479-1482).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evidence before the Commission Panel for the CSTC but if the Commission Panel determines there is by virtue of the exhibits, then zero weight is to be given it. (T4: Page 511, Line 20 -- Page 524, Line 16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Grounds to support the adverse inferences that apply here were abundantly raised throughout by us (see especially (T4; Page 515, Line 6 to Page 516, Line 19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adverse inferences terminally apply to the CSTC.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were submissions previously before the BCUC may contain a reference to cases decided by Mr. Justice Burnyeat in turn quoting Wigmore on Evidence, 3rd Edition, regarding adverse inference, available at the BCUC resource library: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Wigmore on Evidence, the 3rd Edition: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 The failure to bring before the tribunal some circumstance, document or witness, when either the party himself or his opponent claims that the facts would thereby be elucidated, serves to indicate it as the most natural inference that the party fears to do so, and this fear is some evidence that the circumstance or document or witness, if brought, would have exposed facts unfavourable to the party. These inferences, to be sure, cannot fairly be made except upon certain conditions, and they are also open always to explanation by circumstances, which makes some other hypothesis a more natural one than the party's fear of exposure. But the propriety of such an inference in general is not doubted.'"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G-70-05 - BCTC VITR Application May 31, 2006 - Volume 42 Proceedings at Hearing BCTC-VITR/Sea Breeze - VIC May 31, 2006 Volume 42 Page; 7843 Line 1 - Page: 7844 Line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should never be such another attempt. It falls to the Commission Panel to ensure its processes prevent same so as to prevent abuse of processes. (T4: Page 494, 500) (T3:296, 297, 303, 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Contingent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writer has proven credible and professional in the subjects addressed herein (Exhibit CI2-19) and throughout the Hearing and enhanced the process through participation by significantly addressing matters of significant importance. The Commission Panel should reject the submissions made at (T2: Page 222, Line 22-25 inclusive), (T2: Page 223, Lines 2-4 inclusive, and Lines 6-9 inclusive as pertains to Switlo), and (T2: Page 227, Lines 4-5) and accept the evidence of the Haisla Hereditary Chiefs and the writer giving it full weight and due consideration, the Haisla Hereditary Chiefs and the writer being properly before the Commission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Subject to all of the above, if the 2007 EPA is otherwise in the best interests of the public, and I acknowledge that some participants would have liked things done differently but it cannot be ignored exactly what this deal is, the 2007 EPA, and how it comes before the Commission Panel, as a matter of law, this is the fundamental questions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 the 2007 EPA survive the impacts on the 2007 EPA that exist or may arise or arising from all that submitted herein this Hearing?" (especially Exhibit CI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not, who is liable?' "Who will bear the ultimate cost of contingent liabilities?" BC Hydro would be expected to say based on its evidence that Alcan as the owner/operator but that would be a matter for the courts. There in nothing in the 2007 EPA that pertains. There was no turning of the minds to the issues during negotiations, there was no attempt to try and make an assessment of those uncertainties and never had been pertaining to Kemano (T3: Page 470, Line 12 to Page 471, Line 19 inclusive). There ought to have been (T5: Page 877, Line 6 to Page 879, Line 8 inclusive, especially,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BRANDER: A: Well, there is always uncertainty. </w:t>
      </w:r>
      <w:r>
        <w:rPr>
          <w:rFonts w:ascii="arial" w:eastAsia="arial" w:hAnsi="arial" w:cs="arial"/>
          <w:i/>
          <w:color w:val="000000"/>
          <w:sz w:val="20"/>
          <w:lang w:val="en-US" w:eastAsia="en-US" w:bidi="ar-SA"/>
        </w:rPr>
        <w:t>But of course, in a particular context, it's appropriate to try and maim an assessment of those uncertainties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But if that is so for a direct legal action on causes of action including,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tort and/or waiver of tort, what happens if a Party invokes Force Majeure?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as we at the council have negotiated with Alcan, with West Fraser, with all the companies that we're working with right now, we have established a model where our rights and title interest are actually reconciled with their interest." (T2: Page 231, Lines 19-23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not evidence. The evidence of the Haisla Hereditary Chiefs is to the contrary. The Parties have refused to respond to all relevant questions on that (Exhibit CI2-6; T6: Page 1147, Lines 1 - 6; T3: Page 475, Line 15 to Page 476, Line 14) and an adverse inference the grounds for which are so raised succeeds. There is thus no ability to state with any certainty that risk of the above staled is low and of such insufficient concern such that the Parties need not have addressed the issue in the 2007 EPA (still should have turned their minds to it) so as not to attract the duty of the Commission. There are no releases in place nor were minds turned to obtaining releases or to the implications of there being no releases (T3: Page 473, Lines 9 - 20). Indeed, BC Hydro's chief negotiator did not inform herself as to the background to Kemano giving rise to a substantial aspect of contingent liabilities nor her flippant answer suggests, did she consider it at any time prudent to do so (T3: Page 474, Line 15-20 inclusive). There was no appreciation for the appearance this gives (T3: Page 474, Line 21 to Page 475, Line 14 inclusive). This is a serious issue to be addressed by the Commission Panel.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I take from this language that the principal aim or object of the IDA was to encourage the establishment and development of new industries, and particularly the aluminum industry, within the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The means by which this was to be achieved is found within the provisions of the IDA itself. At the time of its original enactment, the relevant portions of s. 3 of the IDA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Notwithstanding any law to the contrary, the Lieutenant-Governor in Council may do any of the following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28]</w:t>
      </w:r>
      <w:r>
        <w:rPr>
          <w:rFonts w:ascii="arial" w:eastAsia="arial" w:hAnsi="arial" w:cs="arial"/>
          <w:sz w:val="20"/>
          <w:lang w:val="en-US" w:eastAsia="en-US" w:bidi="ar-SA"/>
        </w:rPr>
        <w:cr/>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Sell or lease on such terms and for such price or rental as he deems advisable to any person who proposes to establish or expand an aluminum industry in the Province any Crown land or interest therein, and also on such terms and for such price or rental as he deems advisable grant a licence to any such person to store or use any unrecorded water in the Province;</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such other arrangements regarding the future operations of such industry as he may deem to be in the best interest of the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 the Minister to execute any agreement for the above purposes,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Section 3 is the empowering section of the IDA. It confers a broad power and discretion on the Executive to enter into agreements with a "person who proposes to establish or expand an aluminum industry in British Columbia". The power in s, 3 is conferred on the government or, more accurately, the Lieutenant Governor-in-Council ("LGIC")."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I interpret clause 9 [1950 Agreement] as intending to confer on Alcan an exemption from utilities regulation. What is seen in clause 9 is an exercise of the authority given to the Lieutenant Governor in Council by the IDA to exempt a "person who proposes to establish or expand an aluminum industry" from otherwise applicable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DOK Case,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Crown can only give what the Crown has to give. The Crown has to do more than merely assert ownership to prove it has the whole to give. Just like in other parts of Canada, She needs to prove She has the permissions, or where ownership by Indigenous nation is abandoned to Her or the Indigenous nation is extinct, prove those as matters of facts, not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2004 decision of the Supreme Court of Canada per McLachlin C.J. at paras 52 to 56 in </w:t>
      </w:r>
      <w:r>
        <w:rPr>
          <w:rFonts w:ascii="arial" w:eastAsia="arial" w:hAnsi="arial" w:cs="arial"/>
          <w:i/>
          <w:color w:val="000000"/>
          <w:sz w:val="20"/>
          <w:lang w:val="en-US" w:eastAsia="en-US" w:bidi="ar-SA"/>
        </w:rPr>
        <w:t>Haida Nation v. British Columbia</w:t>
      </w:r>
      <w:r>
        <w:rPr>
          <w:rFonts w:ascii="arial" w:eastAsia="arial" w:hAnsi="arial" w:cs="arial"/>
          <w:color w:val="000000"/>
          <w:sz w:val="20"/>
          <w:lang w:val="en-US" w:eastAsia="en-US" w:bidi="ar-SA"/>
        </w:rPr>
        <w:t xml:space="preserv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has made it clear that third parties to Aboriginal treaty claims have no duty to consult or accommodate the group that is making the claim. Further, third parties are not subject to any duty or are required to make any accommodation to enable the Province to obtain a remedy to an Aboriginal claim. It is up to the Province to find mat remedy without affecting or compromising third party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Alcan reminds that anything it does pertaining to "First Nations" is voluntary and not mandatory. But that is not what we are saying in this Hearing. Risk reduction demands dealings. It is not a matter of the doctrine of aboriginal rights, of consultation and accommodation. It is of mutual accommodation in the interests of minimizing risk that should motivate Alcan and others. (Exhibit C12-2) No company can be forced to engage in prudent risk assessment and action but fiduciary duties to shareholders and meeting their level of risk aversion does.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"Governments and Tsilhqot'in people must find an accommodation that reconciles the historical Tsilhqot'in place in Canada with the place of their neighbours who come from all comers of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hear again, after another case involving hundreds of days in trial and some $30 million dollars in public funds just to pay the lawyers (the vast majority for the lawyers for the chief). And until that docs or if it ever happens, mutual accommodation allows us to carry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can be no realistic reliance on the BC Treaty Process in its present form or as to be amended to provide the certainty needed in the subject area of northwest and west central British Columbia, certainly not within the timeframes competing demands suggest. There should be no benefits to the few with the public having to carry the rest in terms of poverty, dysfunction, anger, and racism. Now is the time to get it right. The BCUC can help get it started. That is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who say they rely on the doctrine of aboriginal rights will speak of aboriginal title and consultation and accommodation. They will wield that like a stick, thinking it big and powerful but all it at most can really do is delay and because of the threat to delay, can sometimes encourage a deal but it will not be respected and that will continue to impact the Indigenous people. In Six Nations institutional efforts though otherwise supportable have been conveyed inappropriately and perhaps insensitively to a Canadian public uneducated on the issues and met with cries of extortion. That does nothing for the children, to be likened to mobsters, or indeed be seen internally as such. Lawyers can be very profitable in that doctrinal approach. It requires hundreds of days of evidence and then more kick at the can as the result can be a "go negotiate" or go back and start again, as has been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better way, recognizing doing a good deal requires more than being a good corporate citizen in the normal sense in this environment, means covering off the uncertainty, and it means ensuring that benefits intended to be made to the benefit of the people stand a good chance of actually getting to the people. Perhaps the federal government's proposed policy work recently announced will assist, it is certainly hoped that it will, because it is a difficult burden for industry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Certainly Alcan for example in this Hearing had two surprises - first the Haisla Hereditary Chiefs - Indigenous nations entering the arena, the other a tribal council, a society incorporated under British Columbia. That can be hard to plan for such surprises, just as it can be hard to know where the next eruption will arise. These are national (indeed global) issues that the work here in this Hearing touches and serves as precedent and encouragement.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should not have to be so much procedure - it should be more time getting the deal done and implemented well, in the best interests of all competing interests - the fiduciary duty to make profit for shareholders, the quasi-regulated provision of power and profit-making of a BC Hydro, the Crown duty to protect, the Crown duty of fairness, basic human rights, the regulatory checks and balances. The pieces to great nation-building that is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Alcan has outstanding matters with the owners. The province says it owns, others will agree, and Alcan may face rising water rental rates. Haisla and other Indigenous nations say and have always said, they own. Alcan is faced with that uncertainty. Those low water rentals may well be merely deferred rental cost. But that is between Alcan and the Indigenous nations. And Alcan needs to be extremely cautious in how they approach the situation, in how they work an equitable deal, and if Alcan, or BC Hydro gets a deal, the 2007 EPA must respect that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a real risk of things getting taken off track here find that we have been instrumental in helping to prevent that. It may well have been feared that our being here would somehow risk derailment but we have proven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[Page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Making sure the 2007 EPA is as tight as possible and does not allow for a backdoor or for easy exit creates the most certainly for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2007 EPA contains provisions that allow for amendment to accommodate decision of the Commission Panel: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Notice Re BCUC Conditions - If the BCUC. after a hearing, issues an order on or before the Condition Expiry Date to the effect described in subsection 2.1(c), each Party must provide notice to the other within 15 days after the later of the BCUC order or the public release of Reasons for Decision relating thereto, indicating whether the conditions are acceptable to it. A Party failing to deliver such notice in accordance with this provision will be deemed irrevocably to have accepted that the EPA shall be amended to comply with the conditions indicated by the BCUC in its order. A Party receiving a notice from the other Party under this provision will have 15 days from receipt of the notice to notify the Party sending the notice of any dispute relating to the notice, failing which the Party receiving the notice will be deemed irrevocably to have accepted the notice and its contents."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Condition Subsequent - This EPA will terminate pursuant to section 2.3 unless, on or before the Condition Expiry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(c)  </w:t>
      </w:r>
      <w:r>
        <w:rPr>
          <w:rFonts w:ascii="arial" w:eastAsia="arial" w:hAnsi="arial" w:cs="arial"/>
          <w:color w:val="000000"/>
          <w:sz w:val="20"/>
          <w:lang w:val="en-US" w:eastAsia="en-US" w:bidi="ar-SA"/>
        </w:rPr>
        <w:t>the BCDC, after a hearing, has issued an order indicating' that this EPA is not accepted for filing under section 71 of the UCA unless, or is accepted for filing only if, the Parties comply with conditions specified by the BCUC. and those conditions are acceptable to each Party, acting reasonably, as confirmed, or deemed to have been confirmed, by each Party under section 2.2;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say, (T2: Page 223, Lines 16-18 inclusive) is patently untrue, and we thank the BCUC for having provided this opportunity to be heard on these important issues so raised, and pray for the Commission Panel's good deliberations and decisions, in the best interests of all relations. Our very best for the holiday season to all who are involved here. It is our honour to be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personally the writer's pleasure during the course of the Hearing to meet distinguished and professional lawyers and individuals, either elected or in other representative capacity, truly respectful of their duties and passionately protecting those whose duly it is they are to protect. It was a refreshing reminder, as too often and for far too long the writer has had only exposure to the actions of others that require a concerted raking through the muck. It is the writer's sincere hope that Indigenous nation and non-Indigenous nation have been brought a little closer together for our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that is all I have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Janice G.A.E. Switlo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JANICE G.A.E. SWITLO1, B.Com., LL.B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July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been contacted by numerous people, particularly Indian Band members, expressing serious concerns over actions of elected Indian Chiefs and Councils. Some are very disappointed: after presenting to their local RCMP detachments allegations they believe are supported by evidence, the response received has been that there is nothing the RCMP can do to assist them. Letter to the Minister of Indian Affairs and the Minister's officers setting out the allegations and supporting evidence are met with the response, "Well, you elected them, if you don't like them, don't vote them in next time". Some express frustration and understand the urgings of other Aboriginal people across Canada to "take care of your Chief" to literally mean take the Chief out back and "put an end to it once and for all". Yet, they ask, surely there is some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These Aboriginal people do not have access to the courts for the simple reason that they do not have the funds to run contentious, procedure-laden civil proceedings in local or federal courts against sometimes less-than-wholly-ethical senior litigation lawyers often well-funded, ironically enough, with the Indian Band's own funds. Concerned persons such as myself can only do so much </w:t>
      </w:r>
      <w:r>
        <w:rPr>
          <w:rFonts w:ascii="arial" w:eastAsia="arial" w:hAnsi="arial" w:cs="arial"/>
          <w:i/>
          <w:color w:val="000000"/>
          <w:sz w:val="20"/>
          <w:lang w:val="en-US" w:eastAsia="en-US" w:bidi="ar-SA"/>
        </w:rPr>
        <w:t>pro bono2</w:t>
      </w:r>
      <w:r>
        <w:rPr>
          <w:rFonts w:ascii="arial" w:eastAsia="arial" w:hAnsi="arial" w:cs="arial"/>
          <w:color w:val="000000"/>
          <w:sz w:val="20"/>
          <w:lang w:val="en-US" w:eastAsia="en-US" w:bidi="ar-SA"/>
        </w:rPr>
        <w:t xml:space="preserve"> work. The Indian Band members resort to efforts to bring the media on side and consider forms of civil disobedience in an effort to gain access to the courts through criminal proceedings against them. Some I fear, are beginning to seriously consider an "ultimate solution" of, in essence, the military-type coup by physical elimination of the perceived offending Chief and Council. Of course there is no due process and fundamental natural justice during coups; allegations do not get tested in the courts before action or punishment is meted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who believe that Aboriginal people can be made to tolerate further oppression, now at the hands of Chief and Council encouraged by the lack of simple federal government action to prevent the abuse, are sadly misguided. Those who believe Canada and Canadians-at-large will not be affected are fools.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provisions of the Criminal Code dealing with abuse of office by public officials, ss. 118 -1253 inclusive, must be amended and expanded </w:t>
      </w:r>
      <w:r>
        <w:rPr>
          <w:rFonts w:ascii="arial" w:eastAsia="arial" w:hAnsi="arial" w:cs="arial"/>
          <w:i/>
          <w:color w:val="000000"/>
          <w:sz w:val="20"/>
          <w:lang w:val="en-US" w:eastAsia="en-US" w:bidi="ar-SA"/>
        </w:rPr>
        <w:t>immediately</w:t>
      </w:r>
      <w:r>
        <w:rPr>
          <w:rFonts w:ascii="arial" w:eastAsia="arial" w:hAnsi="arial" w:cs="arial"/>
          <w:color w:val="000000"/>
          <w:sz w:val="20"/>
          <w:lang w:val="en-US" w:eastAsia="en-US" w:bidi="ar-SA"/>
        </w:rPr>
        <w:t xml:space="preserve"> to include Indian Chiefs and Councillors. This must occur </w:t>
      </w:r>
      <w:r>
        <w:rPr>
          <w:rFonts w:ascii="arial" w:eastAsia="arial" w:hAnsi="arial" w:cs="arial"/>
          <w:i/>
          <w:color w:val="000000"/>
          <w:sz w:val="20"/>
          <w:lang w:val="en-US" w:eastAsia="en-US" w:bidi="ar-SA"/>
        </w:rPr>
        <w:t>prior</w:t>
      </w:r>
      <w:r>
        <w:rPr>
          <w:rFonts w:ascii="arial" w:eastAsia="arial" w:hAnsi="arial" w:cs="arial"/>
          <w:color w:val="000000"/>
          <w:sz w:val="20"/>
          <w:lang w:val="en-US" w:eastAsia="en-US" w:bidi="ar-SA"/>
        </w:rPr>
        <w:t xml:space="preserve"> to bringing into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Janice G.A.E. Switlo is a consultant and strategist. Although she practised law in British Columbia for ten years, primarily constitutional, Aboriginal and human rights law, Ms. Switlo is currently not a member of the Law Society of British Columbia. Ms. Switlo remains a member of the International Bar Association. Her professional profile is available on request, This brief is intended to provide information and personal opinion; it does not constitute a general legal opinion rendered on the points of law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Without fee for services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Part IV - Offences Against the Administration of Law and Justice</w:t>
      </w:r>
      <w:r>
        <w:rPr>
          <w:rFonts w:ascii="arial" w:eastAsia="arial" w:hAnsi="arial" w:cs="arial"/>
          <w:sz w:val="20"/>
          <w:lang w:val="en-US" w:eastAsia="en-US" w:bidi="ar-SA"/>
        </w:rPr>
        <w:cr/>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1)  </w:t>
      </w:r>
      <w:r>
        <w:rPr>
          <w:rFonts w:ascii="arial" w:eastAsia="arial" w:hAnsi="arial" w:cs="arial"/>
          <w:color w:val="000000"/>
          <w:sz w:val="20"/>
          <w:lang w:val="en-US" w:eastAsia="en-US" w:bidi="ar-SA"/>
        </w:rPr>
        <w:t>any legislation extending taxation through Band Council by-law powers such as being implemented for the Kamloops Indian Band and the "'Westbank First Nation";</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2)  </w:t>
      </w:r>
      <w:r>
        <w:rPr>
          <w:rFonts w:ascii="arial" w:eastAsia="arial" w:hAnsi="arial" w:cs="arial"/>
          <w:color w:val="000000"/>
          <w:sz w:val="20"/>
          <w:lang w:val="en-US" w:eastAsia="en-US" w:bidi="ar-SA"/>
        </w:rPr>
        <w:t>any Indian band self-government agreements-in-principle and final agreements such as being contemplated for the "Westbank First Nation"; and</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3)  </w:t>
      </w:r>
      <w:r>
        <w:rPr>
          <w:rFonts w:ascii="arial" w:eastAsia="arial" w:hAnsi="arial" w:cs="arial"/>
          <w:color w:val="000000"/>
          <w:sz w:val="20"/>
          <w:lang w:val="en-US" w:eastAsia="en-US" w:bidi="ar-SA"/>
        </w:rPr>
        <w:t>the Nisga-a "treaty" and any land claims agreements pursuant to the BC Treaty'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which to my knowledge fail to address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Aboriginal people are entitled to full </w:t>
      </w:r>
      <w:r>
        <w:rPr>
          <w:rFonts w:ascii="arial" w:eastAsia="arial" w:hAnsi="arial" w:cs="arial"/>
          <w:i/>
          <w:color w:val="000000"/>
          <w:sz w:val="20"/>
          <w:lang w:val="en-US" w:eastAsia="en-US" w:bidi="ar-SA"/>
        </w:rPr>
        <w:t>protection</w:t>
      </w:r>
      <w:r>
        <w:rPr>
          <w:rFonts w:ascii="arial" w:eastAsia="arial" w:hAnsi="arial" w:cs="arial"/>
          <w:color w:val="000000"/>
          <w:sz w:val="20"/>
          <w:lang w:val="en-US" w:eastAsia="en-US" w:bidi="ar-SA"/>
        </w:rPr>
        <w:t xml:space="preserve"> of the laws in Canada, specifically the Criminal Code, not just to having their conduct be subject to the Criminal Code for the protection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federal government is busy off-loading responsibility to Indian Band Chiefs and Councils, secretly negotiating constitutionally-offending self-government agreements and legislation for increased band council taxation by-law powers, providing broader monetary discretion and paying little heed to accountability issues raised by Indian Band members, media and the courts, all the while ignoring the critical step necessary to prevent banana-republic dictatorships from further developing and in doing so, failing to equally apply the law to all persons and giving a raised middle finger to Canada's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Chiefs and Councils and their senior administrative officers are immune from prosecution under the Criminal Code unlike any other elected regime in Canada. Chiefs and Council proudly reference their "diplomatic immunity" to Indian band members4. One Chief has made some interesting comments5;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"Chief C. T. (Manny) Jules - let's have a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Connie Leonard-I just have one more thing. Dolly has a motion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?-No mic was used and somebody said we'll do it after the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Connie Leonard - okay, then we have to deal with Dolly's motion when we come back. It hasn't been seconded or passed or voted on. There is a motion on the floor and you can't do that Manny. It's called dictatorship.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4 The issue of application of the Criminal Code to Indian Tribes is complex and covered in detail in my book, </w:t>
      </w:r>
      <w:r>
        <w:rPr>
          <w:rFonts w:ascii="arial" w:eastAsia="arial" w:hAnsi="arial" w:cs="arial"/>
          <w:i/>
          <w:color w:val="000000"/>
          <w:sz w:val="20"/>
          <w:lang w:val="en-US" w:eastAsia="en-US" w:bidi="ar-SA"/>
        </w:rPr>
        <w:t>Gustafsen Lake: Under Siege.</w:t>
      </w:r>
      <w:r>
        <w:rPr>
          <w:rFonts w:ascii="arial" w:eastAsia="arial" w:hAnsi="arial" w:cs="arial"/>
          <w:color w:val="000000"/>
          <w:sz w:val="20"/>
          <w:lang w:val="en-US" w:eastAsia="en-US" w:bidi="ar-SA"/>
        </w:rPr>
        <w:t xml:space="preserve"> Regardless of position taken in this legal issue, consent can be given to be bound by the Criminal Code. Certainly I would expect the federal government to be seeking this in the context of the agreements referred to in items 1 - 3 above as a minimum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Chief Manny Jules of the Kamloops Indian Band as reported in unsigned minutes of a general band meeting stated to have been held February 17, 1998 that have been publicly circulated by members of the Kamloops Indian Band, page 40 of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Connie Leonard - okay, then we have to deal with Dolly's motion when we come back. It hasn't been seconded or passed or voted on. There is a motion on the floor and you can't do that Manny. It's called dictatorship.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Chief C.T. (Manny) Jules - that's what lam, a dictator.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Chief C.T. (Manny) Jutes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 I get everybody to come back Can we get everybody to come back in. I'll call the meeting back to order. Just to let those</w:t>
      </w:r>
      <w:r>
        <w:rPr>
          <w:rFonts w:ascii="arial" w:eastAsia="arial" w:hAnsi="arial" w:cs="arial"/>
          <w:color w:val="000000"/>
          <w:sz w:val="20"/>
          <w:lang w:val="en-US" w:eastAsia="en-US" w:bidi="ar-SA"/>
        </w:rPr>
        <w:t xml:space="preserve"> [know] </w:t>
      </w:r>
      <w:r>
        <w:rPr>
          <w:rFonts w:ascii="arial" w:eastAsia="arial" w:hAnsi="arial" w:cs="arial"/>
          <w:i/>
          <w:color w:val="000000"/>
          <w:sz w:val="20"/>
          <w:lang w:val="en-US" w:eastAsia="en-US" w:bidi="ar-SA"/>
        </w:rPr>
        <w:t>that are a bit perturbed with me. The tabling did come about as a result of an agreement with Dolly. I know some of you are a little bit upset with my dictatorial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that is the subject of this brief is not new; it is well understood by the federal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"In his submission to me, counsel for the Department of Indian Affairs asked that I recommend that the provisions of the Criminal Code dealing with abuse of office by public officials be amended to include band chiefs and councillors. Section 1116 of the Criminal Code deals with the offence of breach of trust of office. It reads as follows: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'111 Every official who, in connection with the duties of his office, commits fraud or a breach of trust is guilty of an indictable offence and is liable to imprisonment for five years, whether or not the fraud or breach of trust would be an offence if it were committed in relation to a private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Band members should be afforded the same protection against breach of trust by public officials as is afforded other electors by the Criminal Code. As I have previously noted in my recommendations regarding disclosure, adequate publicity should provide a powerful check on any potential abuse of official power. However, should an abuse of power occur, there should be in place the necessary sanctions. This would provide a mechanism for investigation of allegations of wrongdoing and an avenue for dealing with misbehaviour of office.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"As counsel for the Department</w:t>
      </w:r>
      <w:r>
        <w:rPr>
          <w:rFonts w:ascii="arial" w:eastAsia="arial" w:hAnsi="arial" w:cs="arial"/>
          <w:color w:val="000000"/>
          <w:sz w:val="20"/>
          <w:lang w:val="en-US" w:eastAsia="en-US" w:bidi="ar-SA"/>
        </w:rPr>
        <w:t xml:space="preserve"> [of Indian Affairs and Northern Development] </w:t>
      </w:r>
      <w:r>
        <w:rPr>
          <w:rFonts w:ascii="arial" w:eastAsia="arial" w:hAnsi="arial" w:cs="arial"/>
          <w:i/>
          <w:color w:val="000000"/>
          <w:sz w:val="20"/>
          <w:lang w:val="en-US" w:eastAsia="en-US" w:bidi="ar-SA"/>
        </w:rPr>
        <w:t>said, we need a less cumbersome process than a Royal Commission to address problems of conflict of interest or abuse of office. There must be available a simple mechanism to address such problems, which may be expected to arise more frequently with the increasing economic activity of Indian bands.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It was argued for the Crown that the question was not one of financial damages, but rather misbehaviour in office to the detriment of the public. It was said that if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 The Criminal Code has since been amended thus this section is now section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 John E. Hall, Commissioner appointed by Her Excellency the Governor General, P.C. 1986-1816, The Report of the Commission of Inquiry Concerning Certain Matters Associated with the Westbank Indian Band, 1988, p 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 Ibid., p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was an injury which would be a breach of trust or an injury of a private nature, such matters would not be criminal, but, if it concerned the public and was an evil example to the public, it would be criminal.</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'The defendant was tempted to do what he did by the prospect of gain, he profited by his own dereliction of duty, and to accomplish his purpose it was necessary to conceal the actual transaction. This was misbehaviour in office, which is an indictable offence at common law.</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The gravity of the matter is not so much in its merely profitable aspect as in the misuse of power entrusted to the defendant for the public benefit, for the furtherance of personal ends. Public example requires the infliction of punishment when public confidence has thus been abused, and my judgement is, that conviction should be sustained.'</w:t>
      </w:r>
      <w:r>
        <w:rPr>
          <w:rFonts w:ascii="arial" w:eastAsia="arial" w:hAnsi="arial" w:cs="arial"/>
          <w:color w:val="000000"/>
          <w:sz w:val="20"/>
          <w:lang w:val="en-US" w:eastAsia="en-US" w:bidi="ar-SA"/>
        </w:rPr>
        <w:t>"9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1988, the report of the Royal Commission by Commissioner Hall strongly recommended that the definition of "official" in the Criminal Code be amended to be inclusive of Indian Band Chief and Councillor.10 This has not been done. Therefore it falls on the shoulders of band members to act. As is described in the BACKGROUND above, they have limited means and may feel forced to desperate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federal and provincial parties to land claims negotiations pursuant to the BC Treaty Process and the Nisga'a deal purport to make any agreements reached subject to the Criminal Code and the Charter of Rights and Freedoms11. Judicial systems internal to the Aboriginal "First Nation" are envisioned as part of the package. The potential abusers, elected officials under a land claims agreement or a self-government agreement may well be the appointers of the judges for those systems. Police forces may also form part of the deals with police chiefs again potentially being appointed by the elected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Criminal Code discriminates against Aboriginal peoples because their elected officials and senior administrative officers pursuant to whatever authority,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self-government agreement or land claims agreement, are not subject to any provisions to serve as a check and balance such as exists for all other elected government officials in Canada, and as such, offends the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Implementing land claims agreements, the Nisga'a "treaty" and self-government agreements does not provide new accountability that before did not exist, a common marketing sound bite provided to Indian Band members and others. Rather, same Constitutionally entrenches an exemption from equal application of the Criminal Code. This causes an interesting result. Since the Chief and Council are not subject to the Criminal Code, the sovereignty of the Chief and Council vis-a-vis their criminal activities in capacity of offices is recognized above that of the Crown, while through the agreements referenced in items 1 - 3 above, sovereignty is purportedly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_______________________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9 Commissioner Hall quoting Chancellor Boyd on </w:t>
      </w:r>
      <w:r>
        <w:rPr>
          <w:rFonts w:ascii="arial" w:eastAsia="arial" w:hAnsi="arial" w:cs="arial"/>
          <w:i/>
          <w:color w:val="000000"/>
          <w:sz w:val="20"/>
          <w:lang w:val="en-US" w:eastAsia="en-US" w:bidi="ar-SA"/>
        </w:rPr>
        <w:t>The Queen v. Arnoldi</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(1893), 23 O.R. 201</w:t>
        </w:r>
      </w:hyperlink>
      <w:r>
        <w:rPr>
          <w:rFonts w:ascii="arial" w:eastAsia="arial" w:hAnsi="arial" w:cs="arial"/>
          <w:color w:val="000000"/>
          <w:sz w:val="20"/>
          <w:lang w:val="en-US" w:eastAsia="en-US" w:bidi="ar-SA"/>
        </w:rPr>
        <w:t>. John E. Hall, Commissioner appointed by Her Excellency the Governor General, P.C. 1986-1816, The Report of the Commission of Inquiry Concerning Certain Matters Associated with the Westbank Indian Band, 1988, p. 310 - 311.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 I would extend this to senior administrative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11 </w:t>
      </w:r>
      <w:r>
        <w:rPr>
          <w:rFonts w:ascii="arial" w:eastAsia="arial" w:hAnsi="arial" w:cs="arial"/>
          <w:i/>
          <w:color w:val="000000"/>
          <w:sz w:val="20"/>
          <w:lang w:val="en-US" w:eastAsia="en-US" w:bidi="ar-SA"/>
        </w:rPr>
        <w:t>The Constitution Act,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abandoned. The Aboriginal peoples' position is that sovereignty rests with the peoples as a whole. Yet agreements are entered into without their consent, on the weight of only a Band Council Resolution. Messy constitutionally, but great prospecting for lawyers. </w:t>
      </w:r>
      <w:r>
        <w:rPr>
          <w:rFonts w:ascii="arial" w:eastAsia="arial" w:hAnsi="arial" w:cs="arial"/>
          <w:i/>
          <w:color w:val="000000"/>
          <w:sz w:val="20"/>
          <w:lang w:val="en-US" w:eastAsia="en-US" w:bidi="ar-SA"/>
        </w:rPr>
        <w:t>Omni pro lucas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pre-cursor to the Westbank First Nation Self-Government Agreement in principal, the Westbank First Nation Election Code12, goes further in providing immunity to the Chief and Council. Section 95 thereof reads as follows; </w:t>
      </w:r>
      <w:r>
        <w:rPr>
          <w:rFonts w:ascii="arial" w:eastAsia="arial" w:hAnsi="arial" w:cs="arial"/>
          <w:i/>
          <w:color w:val="000000"/>
          <w:sz w:val="20"/>
          <w:lang w:val="en-US" w:eastAsia="en-US" w:bidi="ar-SA"/>
        </w:rPr>
        <w:t>"Upon ratification of this Agreement by the members of Westbank First Nation and the issuance of an Order by the Minister of Indian and Northern Affairs, sections 74 to 80 of the Indian Act ... and the Indian Band Council Procedure Regulation C.R.C. 1978, c. 950, as amended, shall no longer apply to Westbank First Nation</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8013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was the basis for the breach of fiduciary duty and conflict of interest civil cases brought in </w:t>
      </w:r>
      <w:r>
        <w:rPr>
          <w:rFonts w:ascii="arial" w:eastAsia="arial" w:hAnsi="arial" w:cs="arial"/>
          <w:i/>
          <w:color w:val="000000"/>
          <w:sz w:val="20"/>
          <w:lang w:val="en-US" w:eastAsia="en-US" w:bidi="ar-SA"/>
        </w:rPr>
        <w:t>Gilberts v. Abbey,</w:t>
      </w:r>
      <w:r>
        <w:rPr>
          <w:rFonts w:ascii="arial" w:eastAsia="arial" w:hAnsi="arial" w:cs="arial"/>
          <w:color w:val="000000"/>
          <w:sz w:val="20"/>
          <w:lang w:val="en-US" w:eastAsia="en-US" w:bidi="ar-SA"/>
        </w:rPr>
        <w:t xml:space="preserve"> 14 and </w:t>
      </w:r>
      <w:r>
        <w:rPr>
          <w:rFonts w:ascii="arial" w:eastAsia="arial" w:hAnsi="arial" w:cs="arial"/>
          <w:i/>
          <w:color w:val="000000"/>
          <w:sz w:val="20"/>
          <w:lang w:val="en-US" w:eastAsia="en-US" w:bidi="ar-SA"/>
        </w:rPr>
        <w:t>Leonard v. Gottfriedson</w:t>
      </w:r>
      <w:r>
        <w:rPr>
          <w:rFonts w:ascii="arial" w:eastAsia="arial" w:hAnsi="arial" w:cs="arial"/>
          <w:color w:val="000000"/>
          <w:sz w:val="20"/>
          <w:lang w:val="en-US" w:eastAsia="en-US" w:bidi="ar-SA"/>
        </w:rPr>
        <w:t xml:space="preserve"> 15. It is trite to state that the election process is very different from how The pre-cursor to the Westbank First Nation Self-Government Agreement in Principal, the Westbank First Nation the Chief and Council are to conduct themselves once elected. The Election Code purports to concern itself with election processes but goes much further without any attention to this being drawn to the members of the Westbank Indian Band. I would expect to see such matters addressed in the self-government agreement clearly setting out fiduciary duties to band members, and conceivably non-natives residing on reserve since taxes are being collected. Arguably should the Minister comply with the Election Code, it is an attempt to remove the civil basis for conflict of interest Note that according to the courts, it is not even necessary to obtain a majority vote at a referendum of Band members to have the Election Code rendered effective by action of the Minister16.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recent article in the Vancouver Sun explained, "One does not have to look far back into the history of Western Europe and North America to discover that our market economy is founded on exactly the same kind of criminal activity now prevalent in Russia."17 Could the absence of criminal and arguably civil accountability of Indian leaders and their administrative officers be the result of application of a misguided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To be put to referendum July 31,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The authority for the band council procedure regulations referred to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14 </w:t>
      </w:r>
      <w:hyperlink r:id="rId874" w:history="1">
        <w:r>
          <w:rPr>
            <w:rFonts w:ascii="arial" w:eastAsia="arial" w:hAnsi="arial" w:cs="arial"/>
            <w:i/>
            <w:color w:val="0077CC"/>
            <w:sz w:val="20"/>
            <w:u w:val="single"/>
            <w:shd w:val="clear" w:color="auto" w:fill="FFFFFF"/>
            <w:lang w:val="en-US" w:eastAsia="en-US" w:bidi="ar-SA"/>
          </w:rPr>
          <w:t>[1992] 4 C.N.L.R. 21</w:t>
        </w:r>
      </w:hyperlink>
      <w:r>
        <w:rPr>
          <w:rFonts w:ascii="arial" w:eastAsia="arial" w:hAnsi="arial" w:cs="arial"/>
          <w:color w:val="000000"/>
          <w:sz w:val="20"/>
          <w:lang w:val="en-US" w:eastAsia="en-US" w:bidi="ar-SA"/>
        </w:rPr>
        <w:t xml:space="preserve"> (B.C.J.C.) - Williams Lake Indian Band civil action against a former chief where court ordered repayment of student loans and tuition for her daughter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15 </w:t>
      </w:r>
      <w:hyperlink r:id="rId875" w:history="1">
        <w:r>
          <w:rPr>
            <w:rFonts w:ascii="arial" w:eastAsia="arial" w:hAnsi="arial" w:cs="arial"/>
            <w:i/>
            <w:color w:val="0077CC"/>
            <w:sz w:val="20"/>
            <w:u w:val="single"/>
            <w:shd w:val="clear" w:color="auto" w:fill="FFFFFF"/>
            <w:lang w:val="en-US" w:eastAsia="en-US" w:bidi="ar-SA"/>
          </w:rPr>
          <w:t>(1981), 21 B.C.L.R. 326</w:t>
        </w:r>
      </w:hyperlink>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[1982] 1 C.N.L.R. 60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16 See </w:t>
      </w:r>
      <w:r>
        <w:rPr>
          <w:rFonts w:ascii="arial" w:eastAsia="arial" w:hAnsi="arial" w:cs="arial"/>
          <w:i/>
          <w:color w:val="000000"/>
          <w:sz w:val="20"/>
          <w:lang w:val="en-US" w:eastAsia="en-US" w:bidi="ar-SA"/>
        </w:rPr>
        <w:t>Bone v. Sioux Valley Indian Band No. 290</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(1996), 107 F.T.R. 133</w:t>
        </w:r>
      </w:hyperlink>
      <w:r>
        <w:rPr>
          <w:rFonts w:ascii="arial" w:eastAsia="arial" w:hAnsi="arial" w:cs="arial"/>
          <w:color w:val="000000"/>
          <w:sz w:val="20"/>
          <w:lang w:val="en-US" w:eastAsia="en-US" w:bidi="ar-SA"/>
        </w:rPr>
        <w:t xml:space="preserve"> at 141 (T.D.); </w:t>
      </w:r>
      <w:r>
        <w:rPr>
          <w:rFonts w:ascii="arial" w:eastAsia="arial" w:hAnsi="arial" w:cs="arial"/>
          <w:i/>
          <w:color w:val="000000"/>
          <w:sz w:val="20"/>
          <w:lang w:val="en-US" w:eastAsia="en-US" w:bidi="ar-SA"/>
        </w:rPr>
        <w:t>Badger v. Canada,</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[1991] 1 F.C. 191</w:t>
        </w:r>
      </w:hyperlink>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[1991] 2 C.N.L.R. 17</w:t>
        </w:r>
      </w:hyperlink>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38 F.T.R. 43</w:t>
        </w:r>
      </w:hyperlink>
      <w:r>
        <w:rPr>
          <w:rFonts w:ascii="arial" w:eastAsia="arial" w:hAnsi="arial" w:cs="arial"/>
          <w:color w:val="000000"/>
          <w:sz w:val="20"/>
          <w:lang w:val="en-US" w:eastAsia="en-US" w:bidi="ar-SA"/>
        </w:rPr>
        <w:t>, affirmed (1992), 57 F.T.R. 31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17 "Russian Mafia cause for optimism", Jonathan Manthorpe, The Vancouver Sun, July 27, 1998, A9. This reminded me of having been discretely approached in 1993 by a New York lawyer on behalf of his German client who,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operates casinos in Russia, with the offer of remuneration for introducing the client's representatives to Indian Bands suitable for gaming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theory that in order to create a self-sustaining market economy for Aboriginal peoples it is first necessary to facilitate an Indian Mafia? Canada already has a serious problem given its reputation as a money laundering and organized crime haven. Rumours abound in "Indian Country" and the RCMP note the increase in Indian gang-like activity. In the absence of the recommended changes to the Criminal Code, those activities promise to be concentrated in enclaves of jurisdiction pursuant to land claims and self-government agreements. No Canadian can reasonably be expected to sit idly by and permit their children to be subject to such neighbourhood activities. But then again, maybe now all Indians are good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Though I vehemently oppose the forced assimilation of a peoples, same having at least a semblance of democracy would be far more humane than any regime immune from criminal and civil prosecution. "If this deception is allowed to continue and large numbers of Aboriginal people one day realize the fraud, not only will the Honour of the Crown18 be brought into disrepute, but there will likely be extreme, even violent, reaction. This will in turn prompt harsh response inviting government and judicial abuse of fundamental freedoms and human rights, which will set a dangerous precedent for us all."19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SWITLO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Janice G.A.E Switlo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18 See chapter "The Honour of the Crown", </w:t>
      </w:r>
      <w:r>
        <w:rPr>
          <w:rFonts w:ascii="arial" w:eastAsia="arial" w:hAnsi="arial" w:cs="arial"/>
          <w:i/>
          <w:color w:val="000000"/>
          <w:sz w:val="20"/>
          <w:lang w:val="en-US" w:eastAsia="en-US" w:bidi="ar-SA"/>
        </w:rPr>
        <w:t>Gustafsen Lake: Under Siege,</w:t>
      </w:r>
      <w:r>
        <w:rPr>
          <w:rFonts w:ascii="arial" w:eastAsia="arial" w:hAnsi="arial" w:cs="arial"/>
          <w:color w:val="000000"/>
          <w:sz w:val="20"/>
          <w:lang w:val="en-US" w:eastAsia="en-US" w:bidi="ar-SA"/>
        </w:rPr>
        <w:t xml:space="preserve"> Janice G.A.E. Switlo,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19 </w:t>
      </w:r>
      <w:r>
        <w:rPr>
          <w:rFonts w:ascii="arial" w:eastAsia="arial" w:hAnsi="arial" w:cs="arial"/>
          <w:i/>
          <w:color w:val="000000"/>
          <w:sz w:val="20"/>
          <w:lang w:val="en-US" w:eastAsia="en-US" w:bidi="ar-SA"/>
        </w:rPr>
        <w:t>Gustafsen Lake: Under Siege,</w:t>
      </w:r>
      <w:r>
        <w:rPr>
          <w:rFonts w:ascii="arial" w:eastAsia="arial" w:hAnsi="arial" w:cs="arial"/>
          <w:color w:val="000000"/>
          <w:sz w:val="20"/>
          <w:lang w:val="en-US" w:eastAsia="en-US" w:bidi="ar-SA"/>
        </w:rPr>
        <w:t xml:space="preserve"> Janice G.A.E. Switlo, 1997.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H - 5 Page Document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5" type="#_x0000_t75" style="width:100.5pt;height:150.75pt">
            <v:imagedata r:id="rId880"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TRADITIONAL SOVEREIGN TRIBAL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THE HAISLA HEMAAS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 the matter of an act of treason perpetrated by Steve Wilson, Margaret Grant, Jonah (Keith) Nyce, also known as Joey Nyce, Ellis Ross, Kevin Stewart, Rod Bolton, Ken Hall, Alex Grant Sr., Godfrey Grant Jr., Henry Amos Sr. and Kitamaat Village Council, contrary to the provisions of the Haisla Traditional Native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HEREBY COMMANDED TO APPEAR in the Traditional Sovereign Tribal Court of the Haisla Hereditary Chiefs, located at Haisla United Church, Kitamaat Village, BC, on Friday the 28th day of November, 2008 at 10:00 a.m. to answer the following charges, and make the necessary submissions constituting your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may bring witnesses and supporting documentation to enter your defence </w:t>
      </w:r>
      <w:r>
        <w:rPr>
          <w:rFonts w:ascii="arial" w:eastAsia="arial" w:hAnsi="arial" w:cs="arial"/>
          <w:color w:val="000000"/>
          <w:sz w:val="20"/>
          <w:u w:val="single"/>
          <w:lang w:val="en-US" w:eastAsia="en-US" w:bidi="ar-SA"/>
        </w:rPr>
        <w:t>specifically</w:t>
      </w:r>
      <w:r>
        <w:rPr>
          <w:rFonts w:ascii="arial" w:eastAsia="arial" w:hAnsi="arial" w:cs="arial"/>
          <w:color w:val="000000"/>
          <w:sz w:val="20"/>
          <w:lang w:val="en-US" w:eastAsia="en-US" w:bidi="ar-SA"/>
        </w:rPr>
        <w:t xml:space="preserve">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ALLEGATIONS. CHARGES. AND SHOW CAUSE MOTION</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1.  </w:t>
      </w:r>
      <w:r>
        <w:rPr>
          <w:rFonts w:ascii="arial" w:eastAsia="arial" w:hAnsi="arial" w:cs="arial"/>
          <w:color w:val="000000"/>
          <w:sz w:val="20"/>
          <w:lang w:val="en-US" w:eastAsia="en-US" w:bidi="ar-SA"/>
        </w:rPr>
        <w:t>Causing disrespect, disharmony, discord, and disaffection among the sovereign Haisla people, to wit, by engaging in specious commercial and business transactions with Non-Tribal, Non-Traditional parties without the express or implied permission of the Traditional Haisla Hereditary Chiefs.</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2.  </w:t>
      </w:r>
      <w:r>
        <w:rPr>
          <w:rFonts w:ascii="arial" w:eastAsia="arial" w:hAnsi="arial" w:cs="arial"/>
          <w:color w:val="000000"/>
          <w:sz w:val="20"/>
          <w:lang w:val="en-US" w:eastAsia="en-US" w:bidi="ar-SA"/>
        </w:rPr>
        <w:t>Violating the mandate of the Native Code of the Traditional Haisla by engaging in conduct aimed at disuniting and destabilizing the ways, customs, mores, and traditions of the Haisla people in concert and in furtherance of an intention to defraud and deceive the Haisla people without the express or implied authority of the Haisla Hereditary Chiefs.</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3.  </w:t>
      </w:r>
      <w:r>
        <w:rPr>
          <w:rFonts w:ascii="arial" w:eastAsia="arial" w:hAnsi="arial" w:cs="arial"/>
          <w:color w:val="000000"/>
          <w:sz w:val="20"/>
          <w:lang w:val="en-US" w:eastAsia="en-US" w:bidi="ar-SA"/>
        </w:rPr>
        <w:t>Exhibiting conduct unbecoming of a Haisla citizen in direct violation of the written and accepted Native Code of the Haisla people as ratified by the Traditional Haisla Hereditary Chiefs.</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4.  </w:t>
      </w:r>
      <w:r>
        <w:rPr>
          <w:rFonts w:ascii="arial" w:eastAsia="arial" w:hAnsi="arial" w:cs="arial"/>
          <w:color w:val="000000"/>
          <w:sz w:val="20"/>
          <w:lang w:val="en-US" w:eastAsia="en-US" w:bidi="ar-SA"/>
        </w:rPr>
        <w:t>Perpetrating a fraudulent intent and deceptive practices by memorializing, or attempting to memorialize crucial documentation by unauthorized use of the signature stamp of Jasee, Thomas Robinson, without the implied or express consent, permission, and authority of the Traditional Haisla Hereditary Chiefs, in furtherance of an intention to precipitate personal financial gain, benefit, advantage, and purpose.</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5.  </w:t>
      </w:r>
      <w:r>
        <w:rPr>
          <w:rFonts w:ascii="arial" w:eastAsia="arial" w:hAnsi="arial" w:cs="arial"/>
          <w:color w:val="000000"/>
          <w:sz w:val="20"/>
          <w:lang w:val="en-US" w:eastAsia="en-US" w:bidi="ar-SA"/>
        </w:rPr>
        <w:t>Negotiating, and attempting to negotiate a Treaty Mandate with the Province of British Columbia and Canada when the consent and approval of the Traditional Haisla Hereditary Chiefs, originally obtained on January 2, 1995 was rescinded on November 6, 2007 commanding you to cease and desist from making any representations to British Columbia and Canada for and on behalf of the Traditional Haisla Hereditary Chiefs and the Haisla people</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6.  </w:t>
      </w:r>
      <w:r>
        <w:rPr>
          <w:rFonts w:ascii="arial" w:eastAsia="arial" w:hAnsi="arial" w:cs="arial"/>
          <w:color w:val="000000"/>
          <w:sz w:val="20"/>
          <w:lang w:val="en-US" w:eastAsia="en-US" w:bidi="ar-SA"/>
        </w:rPr>
        <w:t>Negotiating, and attempting to negotiate a Haisla Nation Resource Management Mandate, issued on 15th of December, 1998, which you were commanded on November 6, 2007 to cease and desist from and all further and future action, or activity.</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7.  </w:t>
      </w:r>
      <w:r>
        <w:rPr>
          <w:rFonts w:ascii="arial" w:eastAsia="arial" w:hAnsi="arial" w:cs="arial"/>
          <w:color w:val="000000"/>
          <w:sz w:val="20"/>
          <w:lang w:val="en-US" w:eastAsia="en-US" w:bidi="ar-SA"/>
        </w:rPr>
        <w:t>Conspiring, on or about June 2006, to rig elections in furtherance of a common intention to defraud the leadership of the Traditional Haisla Hereditary Chiefs and the people of the Haisla in certain spurious activities conducted in Prince Rupert, Vancouver and Terrace, BC, to illegally vote you in as Indian Act elected Chief Councillor in direct violation of the Haisla Native Code.</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8.  </w:t>
      </w:r>
      <w:r>
        <w:rPr>
          <w:rFonts w:ascii="arial" w:eastAsia="arial" w:hAnsi="arial" w:cs="arial"/>
          <w:color w:val="000000"/>
          <w:sz w:val="20"/>
          <w:lang w:val="en-US" w:eastAsia="en-US" w:bidi="ar-SA"/>
        </w:rPr>
        <w:t>Negotiating and attempting to negotiate commercial and business transactions without the express or implied consent, permission, and approval of the Traditional Haisla Hereditary Chiefs, to wit,</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a.  </w:t>
      </w:r>
      <w:r>
        <w:rPr>
          <w:rFonts w:ascii="arial" w:eastAsia="arial" w:hAnsi="arial" w:cs="arial"/>
          <w:color w:val="000000"/>
          <w:sz w:val="20"/>
          <w:lang w:val="en-US" w:eastAsia="en-US" w:bidi="ar-SA"/>
        </w:rPr>
        <w:t>The RIO Tinto Alcan Agreement In Principle</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b.  </w:t>
      </w:r>
      <w:r>
        <w:rPr>
          <w:rFonts w:ascii="arial" w:eastAsia="arial" w:hAnsi="arial" w:cs="arial"/>
          <w:color w:val="000000"/>
          <w:sz w:val="20"/>
          <w:lang w:val="en-US" w:eastAsia="en-US" w:bidi="ar-SA"/>
        </w:rPr>
        <w:t>BC Hydro - Alcan Energy Purchase Agreement</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c.  </w:t>
      </w:r>
      <w:r>
        <w:rPr>
          <w:rFonts w:ascii="arial" w:eastAsia="arial" w:hAnsi="arial" w:cs="arial"/>
          <w:color w:val="000000"/>
          <w:sz w:val="20"/>
          <w:lang w:val="en-US" w:eastAsia="en-US" w:bidi="ar-SA"/>
        </w:rPr>
        <w:t>Illegally, unlawfully, and illegitimately rescinding the Haisla Rights and Title Writ out of abeyance.</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d.  </w:t>
      </w:r>
      <w:r>
        <w:rPr>
          <w:rFonts w:ascii="arial" w:eastAsia="arial" w:hAnsi="arial" w:cs="arial"/>
          <w:color w:val="000000"/>
          <w:sz w:val="20"/>
          <w:lang w:val="en-US" w:eastAsia="en-US" w:bidi="ar-SA"/>
        </w:rPr>
        <w:t>Europa Independent Power Project</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e.  </w:t>
      </w:r>
      <w:r>
        <w:rPr>
          <w:rFonts w:ascii="arial" w:eastAsia="arial" w:hAnsi="arial" w:cs="arial"/>
          <w:color w:val="000000"/>
          <w:sz w:val="20"/>
          <w:lang w:val="en-US" w:eastAsia="en-US" w:bidi="ar-SA"/>
        </w:rPr>
        <w:t>FIRST NATIONS Trade Corridor</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f.  </w:t>
      </w:r>
      <w:r>
        <w:rPr>
          <w:rFonts w:ascii="arial" w:eastAsia="arial" w:hAnsi="arial" w:cs="arial"/>
          <w:color w:val="000000"/>
          <w:sz w:val="20"/>
          <w:lang w:val="en-US" w:eastAsia="en-US" w:bidi="ar-SA"/>
        </w:rPr>
        <w:t>Incremental Treaty Agreement with British Columbia</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g.  </w:t>
      </w:r>
      <w:r>
        <w:rPr>
          <w:rFonts w:ascii="arial" w:eastAsia="arial" w:hAnsi="arial" w:cs="arial"/>
          <w:color w:val="000000"/>
          <w:sz w:val="20"/>
          <w:lang w:val="en-US" w:eastAsia="en-US" w:bidi="ar-SA"/>
        </w:rPr>
        <w:t>Kitamaat Renewable Energy Project (KREC)</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h.  </w:t>
      </w:r>
      <w:r>
        <w:rPr>
          <w:rFonts w:ascii="arial" w:eastAsia="arial" w:hAnsi="arial" w:cs="arial"/>
          <w:color w:val="000000"/>
          <w:sz w:val="20"/>
          <w:lang w:val="en-US" w:eastAsia="en-US" w:bidi="ar-SA"/>
        </w:rPr>
        <w:t>The Non-Insured Health Benefits</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i.  </w:t>
      </w:r>
      <w:r>
        <w:rPr>
          <w:rFonts w:ascii="arial" w:eastAsia="arial" w:hAnsi="arial" w:cs="arial"/>
          <w:color w:val="000000"/>
          <w:sz w:val="20"/>
          <w:lang w:val="en-US" w:eastAsia="en-US" w:bidi="ar-SA"/>
        </w:rPr>
        <w:t>Haisla Forestry/Range Agreement and its associated incorporated society.</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j.  </w:t>
      </w:r>
      <w:r>
        <w:rPr>
          <w:rFonts w:ascii="arial" w:eastAsia="arial" w:hAnsi="arial" w:cs="arial"/>
          <w:color w:val="000000"/>
          <w:sz w:val="20"/>
          <w:lang w:val="en-US" w:eastAsia="en-US" w:bidi="ar-SA"/>
        </w:rPr>
        <w:t>Haisla Nation Resource Management Mandate</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k.  </w:t>
      </w:r>
      <w:r>
        <w:rPr>
          <w:rFonts w:ascii="arial" w:eastAsia="arial" w:hAnsi="arial" w:cs="arial"/>
          <w:color w:val="000000"/>
          <w:sz w:val="20"/>
          <w:lang w:val="en-US" w:eastAsia="en-US" w:bidi="ar-SA"/>
        </w:rPr>
        <w:t>Europa Interim Measures Agreement</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l.  </w:t>
      </w:r>
      <w:r>
        <w:rPr>
          <w:rFonts w:ascii="arial" w:eastAsia="arial" w:hAnsi="arial" w:cs="arial"/>
          <w:color w:val="000000"/>
          <w:sz w:val="20"/>
          <w:lang w:val="en-US" w:eastAsia="en-US" w:bidi="ar-SA"/>
        </w:rPr>
        <w:t>Kitamaat LNG Inc.</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m.  </w:t>
      </w:r>
      <w:r>
        <w:rPr>
          <w:rFonts w:ascii="arial" w:eastAsia="arial" w:hAnsi="arial" w:cs="arial"/>
          <w:color w:val="000000"/>
          <w:sz w:val="20"/>
          <w:lang w:val="en-US" w:eastAsia="en-US" w:bidi="ar-SA"/>
        </w:rPr>
        <w:t>West Fraser Mills Ltd.</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n.  </w:t>
      </w:r>
      <w:r>
        <w:rPr>
          <w:rFonts w:ascii="arial" w:eastAsia="arial" w:hAnsi="arial" w:cs="arial"/>
          <w:color w:val="000000"/>
          <w:sz w:val="20"/>
          <w:lang w:val="en-US" w:eastAsia="en-US" w:bidi="ar-SA"/>
        </w:rPr>
        <w:t>Northern Development Initiative Trust</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o.  </w:t>
      </w:r>
      <w:r>
        <w:rPr>
          <w:rFonts w:ascii="arial" w:eastAsia="arial" w:hAnsi="arial" w:cs="arial"/>
          <w:color w:val="000000"/>
          <w:sz w:val="20"/>
          <w:lang w:val="en-US" w:eastAsia="en-US" w:bidi="ar-SA"/>
        </w:rPr>
        <w:t>Haisla Capacity Development Society</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p.  </w:t>
      </w:r>
      <w:r>
        <w:rPr>
          <w:rFonts w:ascii="arial" w:eastAsia="arial" w:hAnsi="arial" w:cs="arial"/>
          <w:color w:val="000000"/>
          <w:sz w:val="20"/>
          <w:lang w:val="en-US" w:eastAsia="en-US" w:bidi="ar-SA"/>
        </w:rPr>
        <w:t>Enbridge</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q.  </w:t>
      </w:r>
      <w:r>
        <w:rPr>
          <w:rFonts w:ascii="arial" w:eastAsia="arial" w:hAnsi="arial" w:cs="arial"/>
          <w:color w:val="000000"/>
          <w:sz w:val="20"/>
          <w:lang w:val="en-US" w:eastAsia="en-US" w:bidi="ar-SA"/>
        </w:rPr>
        <w:t>Dr. Alexander Eunal</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r.  </w:t>
      </w:r>
      <w:r>
        <w:rPr>
          <w:rFonts w:ascii="arial" w:eastAsia="arial" w:hAnsi="arial" w:cs="arial"/>
          <w:color w:val="000000"/>
          <w:sz w:val="20"/>
          <w:lang w:val="en-US" w:eastAsia="en-US" w:bidi="ar-SA"/>
        </w:rPr>
        <w:t>Eurocan</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s.  </w:t>
      </w:r>
      <w:r>
        <w:rPr>
          <w:rFonts w:ascii="arial" w:eastAsia="arial" w:hAnsi="arial" w:cs="arial"/>
          <w:color w:val="000000"/>
          <w:sz w:val="20"/>
          <w:lang w:val="en-US" w:eastAsia="en-US" w:bidi="ar-SA"/>
        </w:rPr>
        <w:t>Utilizing Haisla Trust monies</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t.  </w:t>
      </w:r>
      <w:r>
        <w:rPr>
          <w:rFonts w:ascii="arial" w:eastAsia="arial" w:hAnsi="arial" w:cs="arial"/>
          <w:color w:val="000000"/>
          <w:sz w:val="20"/>
          <w:lang w:val="en-US" w:eastAsia="en-US" w:bidi="ar-SA"/>
        </w:rPr>
        <w:t>The Kitamaat Port Development Society's illegal activity</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u.  </w:t>
      </w:r>
      <w:r>
        <w:rPr>
          <w:rFonts w:ascii="arial" w:eastAsia="arial" w:hAnsi="arial" w:cs="arial"/>
          <w:color w:val="000000"/>
          <w:sz w:val="20"/>
          <w:lang w:val="en-US" w:eastAsia="en-US" w:bidi="ar-SA"/>
        </w:rPr>
        <w:t>Aboriginal Healing Foundation</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9.  </w:t>
      </w:r>
      <w:r>
        <w:rPr>
          <w:rFonts w:ascii="arial" w:eastAsia="arial" w:hAnsi="arial" w:cs="arial"/>
          <w:color w:val="000000"/>
          <w:sz w:val="20"/>
          <w:lang w:val="en-US" w:eastAsia="en-US" w:bidi="ar-SA"/>
        </w:rPr>
        <w:t>Engaging in nepotism and cronyism to staff the Band Council with family members and friends aimed at coercing, using undue influence, and coaxing British Columbia's politicians to conspire in a fraudulent act to deceive and mislead the Traditional Hereditary Chiefs and people of the Haisla in furtherance of reaping personal, financial gain, benefit, and advantage, in direct violation of the Federal Indian Act.</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10.  </w:t>
      </w:r>
      <w:r>
        <w:rPr>
          <w:rFonts w:ascii="arial" w:eastAsia="arial" w:hAnsi="arial" w:cs="arial"/>
          <w:color w:val="000000"/>
          <w:sz w:val="20"/>
          <w:lang w:val="en-US" w:eastAsia="en-US" w:bidi="ar-SA"/>
        </w:rPr>
        <w:t>Misleading, and attempting to mislead the Government of British Columbia regarding Article 2(b) of the Federal Indian Act; Article 10 of the Federal Indian Act</w:t>
      </w:r>
    </w:p>
    <w:p>
      <w:pPr>
        <w:spacing w:before="120" w:line="260" w:lineRule="atLeast"/>
        <w:ind w:left="1440"/>
        <w:jc w:val="both"/>
        <w:rPr>
          <w:rFonts w:ascii="arial" w:eastAsia="arial" w:hAnsi="arial" w:cs="arial"/>
          <w:sz w:val="20"/>
          <w:lang w:val="en-US" w:eastAsia="en-US" w:bidi="ar-SA"/>
        </w:rPr>
      </w:pPr>
      <w:r>
        <w:rPr>
          <w:rFonts w:ascii="arial" w:eastAsia="arial" w:hAnsi="arial" w:cs="arial"/>
          <w:b/>
          <w:sz w:val="20"/>
          <w:lang w:val="en-US" w:eastAsia="en-US" w:bidi="ar-SA"/>
        </w:rPr>
        <w:t xml:space="preserve">11.  </w:t>
      </w:r>
      <w:r>
        <w:rPr>
          <w:rFonts w:ascii="arial" w:eastAsia="arial" w:hAnsi="arial" w:cs="arial"/>
          <w:color w:val="000000"/>
          <w:sz w:val="20"/>
          <w:lang w:val="en-US" w:eastAsia="en-US" w:bidi="ar-SA"/>
        </w:rPr>
        <w:t>Misusing funds belonging to the Traditional Haisla, in direct violation of Article 2(b) of the Federal Indian Act, to cause vexatious and frivolous litigation against unsuspecting Traditional Haisla Hereditary Chiefs and the Haisla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Tribal Court reserves the right to amend this petition/complaint in the event fresh and new evidence of illegal activity is occasioned.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[SIGNATURES]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Jasee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Wakas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Sunaxead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Wiseks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Chief Tribal Judge Aidun Naidu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MAILING LIST</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1.  </w:t>
      </w:r>
      <w:r>
        <w:rPr>
          <w:rFonts w:ascii="arial" w:eastAsia="arial" w:hAnsi="arial" w:cs="arial"/>
          <w:color w:val="000000"/>
          <w:sz w:val="20"/>
          <w:lang w:val="en-US" w:eastAsia="en-US" w:bidi="ar-SA"/>
        </w:rPr>
        <w:t>Prime Minister, Steven Harper</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2.  </w:t>
      </w:r>
      <w:r>
        <w:rPr>
          <w:rFonts w:ascii="arial" w:eastAsia="arial" w:hAnsi="arial" w:cs="arial"/>
          <w:color w:val="000000"/>
          <w:sz w:val="20"/>
          <w:lang w:val="en-US" w:eastAsia="en-US" w:bidi="ar-SA"/>
        </w:rPr>
        <w:t>Her Excellency the Right Honourable Michaelle Jean</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3.  </w:t>
      </w:r>
      <w:r>
        <w:rPr>
          <w:rFonts w:ascii="arial" w:eastAsia="arial" w:hAnsi="arial" w:cs="arial"/>
          <w:color w:val="000000"/>
          <w:sz w:val="20"/>
          <w:lang w:val="en-US" w:eastAsia="en-US" w:bidi="ar-SA"/>
        </w:rPr>
        <w:t>BC Governor General, Stephen Point</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4.  </w:t>
      </w:r>
      <w:r>
        <w:rPr>
          <w:rFonts w:ascii="arial" w:eastAsia="arial" w:hAnsi="arial" w:cs="arial"/>
          <w:color w:val="000000"/>
          <w:sz w:val="20"/>
          <w:lang w:val="en-US" w:eastAsia="en-US" w:bidi="ar-SA"/>
        </w:rPr>
        <w:t>Premier Gordon Campbell</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5.  </w:t>
      </w:r>
      <w:r>
        <w:rPr>
          <w:rFonts w:ascii="arial" w:eastAsia="arial" w:hAnsi="arial" w:cs="arial"/>
          <w:color w:val="000000"/>
          <w:sz w:val="20"/>
          <w:lang w:val="en-US" w:eastAsia="en-US" w:bidi="ar-SA"/>
        </w:rPr>
        <w:t>Minister Mike De Jong</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6.  </w:t>
      </w:r>
      <w:r>
        <w:rPr>
          <w:rFonts w:ascii="arial" w:eastAsia="arial" w:hAnsi="arial" w:cs="arial"/>
          <w:color w:val="000000"/>
          <w:sz w:val="20"/>
          <w:lang w:val="en-US" w:eastAsia="en-US" w:bidi="ar-SA"/>
        </w:rPr>
        <w:t>Indian And Northern Affairs</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7.  </w:t>
      </w:r>
      <w:r>
        <w:rPr>
          <w:rFonts w:ascii="arial" w:eastAsia="arial" w:hAnsi="arial" w:cs="arial"/>
          <w:color w:val="000000"/>
          <w:sz w:val="20"/>
          <w:lang w:val="en-US" w:eastAsia="en-US" w:bidi="ar-SA"/>
        </w:rPr>
        <w:t>Donovan and Company</w:t>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8.  </w:t>
      </w:r>
      <w:r>
        <w:rPr>
          <w:rFonts w:ascii="arial" w:eastAsia="arial" w:hAnsi="arial" w:cs="arial"/>
          <w:color w:val="000000"/>
          <w:sz w:val="20"/>
          <w:lang w:val="en-US" w:eastAsia="en-US" w:bidi="ar-SA"/>
        </w:rPr>
        <w:t>McConchie Law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I - Notice to the Haisla from the KVC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the Haisla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feel compelled to respond to misleading information communicated at a "public meeting" held in our community center on the evening of November 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meeting -- which was hosted by Allan Williams, John Wilson Sr. and Tom Robinson (as a Hemas Wella) -- was designed to intimidate KVC and individual Council members and to deter them from proceeding with their defamation lawsuit to clear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Our community, like other communities across this province and this country, should recognize that it has an interest in ensuring that its elected councillors can enjoy and protect their good reputation. The protection provided by law for individual reputation is of fundamental importance to the proper functioning of our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do not want to give the libels unnecessary circulation. However, in this case, you need to know they are very serious. For example, one letter we have sued over contains an innuendo that Chief Councillor Steve Wilson is supporting Alcan's position at the BC Utilities Commission because he is going to be paid a $22.5 million dollar bribe. Why should Chief Councillor Steve Wilson stand idly by while his good name is smeared by that kind of malicious, unfounded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so-called "public meeting" on the evening of November 6 did not give every member of the "public" a fair opportunity to speak their views. Why not? The organizers were not prepared to let the community learn the truth about the nasty allegations being made against Council members, all of whom except Sylvia Woods were attacked by the hosts.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hosts of the "public meeting" promoted a petition calling for the removal of the current council and quoted custom law. There is no legal basis for the position that a group of Haisla members can simply remove the elected chief and council between elections.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Kitamaat Village Council was elected by the Haisla Nation membership in an election earlier this year. That decision is legal and binding and lasts until the next 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the Haisla Nation hasn't acknowledged the existence of custom law in our political system at any time, during this term or those that preceded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are still bound by the regulations on the Indian Act and until that changes, the band council is the governing body for the Haisla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Wily would the organizers of the November 6, 2007 meeting call for such drastic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KVC recently notified the entire community and membership of an impending libel suit against one Janice Switlo and some unnamed Haisla members. The individual Haisla members were named specifically in tile writ of summons served upon each of them on or about October 30,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Because this matter is now before the Courts, we cannot say as much as we would like to about the facts. We would like nothing better than to fully disclose our side of the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bottom line is just this. KVC had no choice in the matter. It was either sit idly by and watch our well-deserved reputation for honesty and integrity be permanently damaged, or pursue our legal rights in an appropriate and lawful manner. If you were attacked in this manner, and saw everything you worked so hard to build set to be destroyed, would you do nothing to protect yourself and your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three named chiefs appear to have acted on behalf of the entire Hereditary Chiefs without consulting or informing all of the chiefs and musmagilth. Needless to say they do not have the support of all but that hasn't stopped them from moving forward with their own agenda.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had to draw the line somewhere. The recent attacks were so far over the line, and beyond anything we could tolerate, that we took the legal action we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Our attackers say we should be held "accountable". That's what this group has insisted.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Well, accountability is a two way street and now it is time for them to be held accountable.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Whatever happens, we will not be deterred from clearing our good names and seeking a ruling stopping the smear tactics which are causing such great damage to our community. We owe it to our community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Steven Wilson, Chief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Margaret Grant, Deputy Chief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Rod Bolton,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Alex Grant,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Godfrey Grant Jr.,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Henry Amos,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Keith Nyce,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Ken Hall,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Ellis Ross, Councillor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Kevin Stewart, Councillor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J - KVC Council Response</w:t>
      </w:r>
      <w:r>
        <w:rPr>
          <w:rFonts w:ascii="arial" w:eastAsia="arial" w:hAnsi="arial" w:cs="arial"/>
          <w:b/>
          <w:color w:val="000000"/>
          <w:sz w:val="20"/>
          <w:u w:val="single"/>
          <w:lang w:val="en-US" w:eastAsia="en-US" w:bidi="ar-SA"/>
        </w:rPr>
        <w:t>to Falsehoods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Kitamaat Village Council Responds to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Falsehoods Being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Circulated by Non-Haisla Outsiders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Tuesday this week, the British Columbia Supreme Court in Terrace granted judgement to the individual plaintiffs (KVC Councillors) by ordering Edmonton resident and ex-lawyer Janice Switlo to pay defamation damages to Chief Councillor Steve Wilson, Deputy Chief Councillor Margaret Grant, and Councillors Ellis Ross, Keith Nyce, Kevin Stewart, Rod Bolton, Ken Hall, Alex Grant Sr, Godfrey Grant Jr. and Henry Amos Sr for a series of false and malicious statements Switlo circulated in the fall of 2007. As a result, the precise damages payable by Switlo will be determined at another Court hearing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Janice Switlo, a non-First Nations person, began her false and defamatory attacks on Councillors without ever visiting our community and without ever questioning any Councillor about the allegations being fed to her by Kitamaat Village resident Morris Amos, other lawsuit defendants and certain other outsiders. [Switlo was disciplined for professional misconduct by the law Society of British Columbia in 1999 in connection with an unrelated dispute involving another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British Columbia Supreme Court also ruled on Tuesday that KVC Councillors are entitled to claim damages for defamatory statements in a November, 2008 flyer falsely accusing Council members of criminal misconduct (the "November Flyer"). The November Flyer that was sent to our community and outside agencies including the federal and provincial governments was put together by the defendants with input from Navin C. Naidu, a non-First Nations Seattle resident. Naidu was charged in Fiji with obstruction of justice for impersonating a lawyer. Naidu was also the subject of Seattle television coverage that stated he was part of a scam to sell fake tribal memberships and fake health care insurance to people of Asian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before the Court at this week's hearing revealed that the defendants Morris Amos, Sandra Robinson, Wendy Bolton, John Wilson Sr. and Allan Williams Sr. authorized the appointment of Naidu as "Chief Tribal Judge" for the Haisla and empowered him to negotiate to bring 200 foreign mercenary soldiers to Kitamaat Village to take over from our current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most recent court hearing this past Monday and Tuesday, yet another outsider came forward to meddle in the affairs of the Haisla people and Kitamaat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Switlo, who decided not to show up in Terrace BC Supreme Court this week, appointed Lawrence Shanoss to speak for her in the defamation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Lawrence Shanoss claims to be a "Hereditary Chief within the Gitxsan Nation". Shanoss made the utterly false accusation that our defamation lawsuit is an attack on hereditary chiefs generally. This is absolutely not true. Shanoss was obviously fed his lines by Switlo. This is about a libel action against specific individuals, not a group of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SWITLO/SHANOSS ACCUSATION IS SIMPLY ANOTHER MALICIOUS FALSEHOOD (UNTRUTH).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falsehood is designed to divert attention from the responsibility of the people we have sued for the defamatory statements they have published in the past and the harm they have already done, and continue to do, to our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Four members of KVC, who are currently suing Switlo and the other defendants, are legitimate hereditary chiefs, thus, making the untruth of the SWITLO/SHANOSS charge self-evident. The suit is clearly not attacking the hereditary chiefs generally. The lawsuit is about exposing the truth. This is absolutely necessary so that our community and our nation know the full and complete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OUR LAWSUIT IS ABOUT GETTING TO THE TRUTH AND CLEARING OUR GOOD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are honest and decent people who stood for election to Kitamaat Village Council in good faith in 2007. We did so in order to serve the interests of the Haisla people and to improve the future of our entire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 standing for election to Council, however, we did not agree to become defenceless targets for defamatory slurs and innuendo. Yet, we were hardly in office before we came under vicious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each cherish our personal reputation for honesty and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decent person in his or her right mind would run for office if that meant they could not defend themselves and their families from hate-filled slurs and vicious libels.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Why would any decent person encourage their child, their grand-child or close relatives to run for office knowing they would have to suffer the dark days our Council has been through without any legal remedy? It is important that this libel action is seen to the end where judgment is granted in order that future councils would not have to endure these types of hate-filled campaigns, personal attacks and vicious 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have been given no reason to believe that any of the defendants who defamed us will agree to repair the damage done by their false allegations to us to our families and to our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summary this message is intended to clarify that this libel suit is not about hereditary chiefs or any other smoke screen such as jurisdiction of traditional laws or aboriginal rights and title. It is about specific allegations and libels made against council that the defendants have not been held accountable to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Kitamaat Village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April 2, 2009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17,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R. Punnett dated September 28, 2011 have been corrected as follows:</w:t>
      </w:r>
      <w:r>
        <w:rPr>
          <w:rFonts w:ascii="arial" w:eastAsia="arial" w:hAnsi="arial" w:cs="arial"/>
          <w:sz w:val="20"/>
          <w:lang w:val="en-US" w:eastAsia="en-US" w:bidi="ar-SA"/>
        </w:rPr>
        <w:cr/>
      </w:r>
    </w:p>
    <w:p>
      <w:pPr>
        <w:spacing w:before="120" w:line="260" w:lineRule="atLeast"/>
        <w:ind w:left="1080"/>
        <w:jc w:val="both"/>
        <w:rPr>
          <w:rFonts w:ascii="arial" w:eastAsia="arial" w:hAnsi="arial" w:cs="arial"/>
          <w:sz w:val="20"/>
          <w:lang w:val="en-US" w:eastAsia="en-US" w:bidi="ar-SA"/>
        </w:rPr>
      </w:pPr>
      <w:r>
        <w:rPr>
          <w:rFonts w:ascii="arial" w:eastAsia="arial" w:hAnsi="arial" w:cs="arial"/>
          <w:b/>
          <w:sz w:val="20"/>
          <w:lang w:val="en-US" w:eastAsia="en-US" w:bidi="ar-SA"/>
        </w:rPr>
        <w:t xml:space="preserve">1.  </w:t>
      </w:r>
      <w:r>
        <w:rPr>
          <w:rFonts w:ascii="arial" w:eastAsia="arial" w:hAnsi="arial" w:cs="arial"/>
          <w:color w:val="000000"/>
          <w:sz w:val="20"/>
          <w:lang w:val="en-US" w:eastAsia="en-US" w:bidi="ar-SA"/>
        </w:rPr>
        <w:t>On the front page January 29, 2010 has been changed to January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A.H. v. Ho, [2005] B.C.J. No. 226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4 - 8, 12 - 15 and 18 - 20,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S023057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1140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A.H., plaintiff, and Dr. Peter S.C. Ho,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7"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31"/>
      <w:bookmarkEnd w:id="214"/>
      <w:r>
        <w:rPr>
          <w:rFonts w:ascii="arial" w:eastAsia="arial" w:hAnsi="arial" w:cs="arial"/>
          <w:b/>
          <w:color w:val="000000"/>
          <w:sz w:val="20"/>
          <w:lang w:val="en-US" w:eastAsia="en-US" w:bidi="ar-SA"/>
        </w:rPr>
        <w:t xml:space="preserve">Damages — General damages — Categories of — Esthetic injuries — Non-pecuniary damages, including pain and suffering — Aggravated damages — Limits on compensatory damages — Duty to mitigate — Physical injuries — Body injuries — Abdomen — Health law — Health care professionals — Particular professions — Doctors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Professional responsibility — Professions — Health care — Doctors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Trespass — To person — Battery.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31"/>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AH against the defendant, Dr. Ho, for damages. AH was 33-year-old woman, valued her appearance, and had three children each delivered caesarean section. She alleged Ho, her obstetrician and gynaecologist, did cosmetic surgery on her without her consent while performing a routine hysterectomy. She claimed the surgery was negligent and disfigured her abdomen by creating dog-ear bulges at each end of an unduly long incision and by pulling her umbilicus below its normal position. She sought damages in relation to the psychological consequences of battery and the physical consequences of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AH had been sexually abused in childhood, which left her susceptible to psychological injury from Dr. Ho's alleged unauthorized bodily invasion. Dr. Ho claimed he performed only the agreed hysterectomy, and conformed to the standard of care. He stated he excised an old scar and that the surgery produced a good result.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8"/>
            <w:bookmarkEnd w:id="2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Ho did not perform unauthorized cosmetic surgery in conjunction with the hysterectomy, although AH believed he did. Nevertheless, Dr. Ho was negligent in causing an excessively long scar and the dog-ear bulges at each end of the scar. AH had not met the burden of proof with respect to the moved umbilicus, however. AH was entitled to damages reflecting the undesirable cosmetic results and associated pain and suffering flowing from Dr. Ho's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AH should have undergone scar revision surgery within 18 months after the surgery, the damages were awarded only for that 18-month period. AH was entitled to general damages in the amount of $20,000. No award of aggravated damages was made. None of the other heads of damage were claimed in respect of Dr. Ho's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cosmetic results it caused.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Counsel_31"/>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B.J. Norell and S. Davies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1"/>
      <w:bookmarkEnd w:id="218"/>
      <w:r>
        <w:pict>
          <v:line id="_x0000_s1189" style="position:absolute;z-index:2517934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H.J. HOLMES J."/>
            <w:bookmarkEnd w:id="219"/>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Ms. A.H. claims that in the course of performing a routine hysterectomy, Dr. Peter Ho also did some cosmetic surgery (a mini tummy tuck) without her consent. She says that she was particularly susceptible to injury from that unauthorized bodily invasion because of childhood sexual abuse, and she claims damages for psychological consequences including a form of self-mutilation. Ms. A.H. claims that Dr. Ho's surgery was in any event negligent and disfigured her abdomen by creating "dog ear" bulges at each end of an unduly long incision and by pulling her umbilicus below its normal position. She seeks damages in relation to the psychological consequences of battery and the physical consequences of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Ho responds that he performed only the agreed hysterectomy and conformed to the applicable standard of care. He says he excised an old scar as part of that surgery and with the old scar removed redundant skin and fat. He says that the surgery produced a good result, and that in any event any deficiency in the cosmetic result does not of itself indicate that he failed to meet the applicable standard of care in performing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A.H. is 33 years of age. She is married with three children, aged 15, 12, and 4 1/2. The first two children are of previous relationships. Ms. A.H. and her husband R.H. have been together for about twelve years, and live with the children in Squamish, B.C. Before that they lived in Delta,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training and working in various fields, including as a medical assistant, babysitting, and as a gas station attendant, Ms. A.H. developed an interest and skill in computers. She ran a consulting business until its demands interfered with her family life with Mr. R.H. and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the hysterectomy, she enjoyed an active and involved life with her family. She is an attractive woman, who evidently values her physical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All three of Ms. A.H.'s children were born by caesarean section. Dr. Ho was her obstetrician for the birth of her third child, and performed the caesarean section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was common ground that during the third caesarean section, Dr. Ho excised two previous scars from Ms. A.H.'s previous caesarean section surgeries, leaving a single scar in their place. Ms. A.H. was pleased with the cosmetic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hysterectomy surgery in issue took place on August 15, 2000 in the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A.H. testified that after the hysterectomy operation, she was surprised to find a painful and lengthy incision running from one hip to the other. She testified that when she confronted Dr. Ho that day in the hospital, he explained that he had performed a "mini tummy tuck" in addition to the hysterectomy to excise redundant skin and her old scar. She testified that he told her not to worry, that everything would be all right when the swelling resolved, and to see him in six weeks'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Ho agreed that Ms. A.H. was very upset when he saw her the day after the hysterectomy, but he denied that Ms. A.H. confronted him about the nature of the incision. He also denied that he told her he had performed a mini tummy tuck.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A.H. testified that when she next saw Dr. Ho, which was in his office on September 29, 2000, she again confronted him about performing a mini tummy tuck without her consent, and he responded that he did this "for all of his women". She testified that she stormed out of Dr. Ho's office after this offensive remark.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testified that earlier in the September 29 visit she told Dr. Ho that she expected him to pay for a full abdominoplasty to correct the cosmetic problems that his surgery had created. She was concerned in particular about two results: (1) that her umbilicus was drawn down about 1 1/2" lower than its previous natural position, and (2) two dog ears or bulges at each end of the scar, measuring about 1" on one side and 1 1/2" on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Ho described the September 29 visit as tense, and agreed that Ms. A.H. was angry. However, he denied many details of the visit as Ms. A.H. described them, including that he told or confirmed to her that he had performed a "mini tummy tuck" or any similar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described Ms. A.H.'s abdomen as quite acceptable in appearance on examination during that visit. However, he referred her to Dr. David Ward, plastic surgeon, for correction of what he described in his testimony as a slight bulge at one end of the incision. He described the bulge as a normal complication of the incision. He also testified that Ms. A.H. told him during the September 29 visit that she had lost about twenty pounds since the surgery, and that he told her that was probably the reason for the slight bulge he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Ms. A.H. later contacted Dr. Ho's office, a member of his office staff advised her that Dr. Ho would no longer serve as her doctor. It was common ground that by this time Ms. A.H. had made known that she expected Dr. Ho to pay for a full abdominoplasty to correct the problems that she felt the surgery had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Ward coordinated a successful effort, supported by others of Ms. A.H.'s physicians, to gain Medical Services Plan funding for surgery to correct the dog ears. However, Ms. A.H. understood that Dr. Ward was seeking funding for a full abdominoplasty, and walked out of his office in anger when Dr. Ward told her that only a more limited procedure was approved by MSP. Dr. Ward later called her back in, and advised that he could no longer treat her. Ms. A.H. was unsurprised and agreed with Dr. Ward that the doctor-patient relationship was not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A.H. then saw Dr. Guichon for a second opinion about correcting the dog ears and the umbilical area. She learned, as is now common ground, that only a full abdominoplasty would correct both these problems to her satisfaction, although less extensive surgery could correct the dog ears. She testified that she has not to date felt ready to undertake a full abdominoplasty, in part because of the risks, especially while she is a smoker, and in part because she would not be psychologically ready to be satisfied with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A.H.'s medical history since the hysterectomy has been most unfortunate. She now suffers from severe anxiety and panic, which prevent her from working, and depression, which seriously limits her motivation and ability to function in the other aspects of her life. Since the hysterectomy she has developed a practice of psychogenic excoriation, a form of self-abuse that involves picking at the face and torso, sometimes with sharp objects, until bleeding or even injury severe enough to require stitching occurs. Her excoriations are unsightly at the time and some of them leave permanent scars; she sees them as a significant disfigurement, perhaps more significant than that to her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A.H. testified, and I accept, that since moving to Squamish in November 2003, she has done little of any interest or significance but lie on the couch with the curtains drawn. In her psychological condition at the time of trial, her life was difficult and bleak, and she clearly suffered enormous guilt and feelings of loss because of not participating in the family as she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A.H. says that her reaction to the non-consensual surgery she alleges was aggravated by her psychological thin skull resulting from very serious childhood sexual abuse over an extended period by a family member, and included her psychogenic excoriations, her anxiety and panic, and her depression. The fact of the childhood sexual abuse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A.H. explained that as a result of the sexual abuse she was very guarded with her body, and felt raped all over again when Dr. Ho violated her trust by performing surgery that she had not authorized. Her treating psychiatrist, Dr. Elizabeth Luke, diagnosed post traumatic stress disorder as a result of non-consensual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respect of the alleged battery, Ms. A.H. therefore seeks an award of non-pecuniary damages as well as an award of damages for her past and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Ms. A.H. says that Dr. Ho's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any event disfigured her abdomen by creating dog ear bulges at each end of a lengthy incision and by pulling her umbilicus to a position about 1 1/2" lower than its previous, normal position. She claims damages in relation to those physical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Ms. A.H. does not claim that her psychological injuries arose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evidence would not support such a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Ho says that he performed only the agreed hysterectomy, during which he excised old scar material including redundant skin and fat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He says that any undesirable cosmetic outcome was the result of Ms. A.H.'s several previous surgeries in the area, and in any event does not of itself indicate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Ho submits that even if he is found to have breached his duty of care to Ms. A.H., he did not cause the injuries she now asserts, which were either pre-existing or a result of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parties' positions give rise to two main issues as to liability:</w:t>
      </w:r>
      <w:r>
        <w:rPr>
          <w:rFonts w:ascii="arial" w:eastAsia="arial" w:hAnsi="arial" w:cs="arial"/>
          <w:sz w:val="20"/>
          <w:lang w:val="en-US" w:eastAsia="en-US" w:bidi="ar-SA"/>
        </w:rPr>
        <w:cr/>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Ho perform a "mini tummy tuck" or similar cosmetic procedure in addition to the agreed hysterectomy, and thereby commit a battery?</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Dr. Ho's hysterectomy fall below the standard of care of a competent obstetrician and gynaecologist in the same circumstances so as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as to damages will follow from the findings as to liability.</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Ho Perform the Alleged Cosmetic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are three main proffered bases of support for Ms. A.H.'s position that Dr. Ho performed an unauthorized cosmetic procedure: (a) Ms. A.H.'s evidence that Dr. Ho told her that he had done a mini tummy tuck, (b) that he cannot have excised the old scar as part of the hysterectomy, as he claims, because part of the old scar remains, and (c) that Dr. Ho told her before the operation that he would incise her previous scar, so the scar revision or excision he now claims to have performed as part of the hysterectomy is itself outside the scope of the agreed procedure.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Ho Tell Ms. A.H. that He Performed a Mini Tummy Tuck?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A.H. testified, and Dr. Ho denied, that he told her this in his visit the day after the surgery, and confirmed it in the September 29, 2000 visit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the latter of those visits, Ms. A.H. testified, and Dr. Ho denied, that Dr. Ho told her he performs a mini tummy tuck procedure "for all of his women [patients]". The alleged remark is an unusual one, and is expressed in a fashion consistent with Dr. Ho's manner of speaking in his testimony and in areas of his examination for discovery. Many times he spoke of his patients in the aggregate, and of their response to his surgeries in generalities, as if the responses were uniform. Ms. A.H.'s evidence as to this conversation therefore had a ring of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her evidence otherwise lacks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hospital records following the surgery make no mention of Ms. A.H. complaining during Dr. Ho's visits or otherwise that Dr. Ho had performed, or told her that he had performed, a procedure which she had not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hospital records do note Ms. A.H.'s distress and hostility. However, she was in pain, and had in any event reacted similarly during some of her previous hospital stays or medical treatments. Her reaction is therefore consistent with several sources of dissatisfaction or discomfort, not only that she had been told of surgery she had not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Also, Ms. A.H.'s distress, as noted in the hospital records, preceded Dr. Ho's visit to which she refers.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A.H. notes that Dr. Ho prescribed Ativan, which is primarily a tranquillizer, but also provides some pain relief. She submits that this supports her testimony about a confrontation, Dr. Ho's statement about a mini tummy tuck, and her distress at non-consensual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Dr. Ho prescribed Ativan before the visit in which she says the confrontation took place. The Ativan was administered at least twice before that visit. If Ativan was prescribed for distress, as well as or rather than for pain, the distress preceded the confrontation Ms. A.H. asserts and therefore does not provide evidence to support her testimony as to what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Notes from Ms. A.H.'s first two visits to family doctors after the hysterectomy, on August 21 and 24, 2000, do not record any complaint that Dr. Ho had performed an unauthorized procedure. Ms. A.H. testified in the trial that she made that complaint during the August 21 visit; however, in her examination for discovery she testified that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no documented record of a complaint of unauthorized surgery until a visit to a medical clinic on August 31, 2000 more than two weeks after the surgery, despite Ms. A.H.'s testimony that the knowledge that Dr. Ho had performed non-consensual surgery had a profound impact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A.H. submits that Dr. Ho knew that she wanted, even prior to the hysterectomy, to have a full abdominoplasty, and when she decided not to have it done he determined to do her a favour by himself performing a modified tummy tuck along with the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was Ms. A.H.'s position that Dr. Ho knew that she had been consulting Dr. Ward before the hysterectomy about having a full abdominoplasty done in a joint procedure with the hysterectomy. Ms. A.H. testified that she discussed the possibility of a joint procedure with Dr. Ho in an office visit in June or July, that he advised against a full abdominoplasty so soon after the birth of her third child, and that she accepted his advice and decided to wait at least another year and a half. She therefore determined to proceed with the hysterectomy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 to Ms. A.H.'s testimony, the decision not to undergo a joint procedure was based on Dr. Ho's advice, and not on issues related to financing a full abdominoplasty. I note this because it was suggested to Dr. Ho in the trial that he knew Ms. A.H. was unable to afford a full abdominoplasty and therefore determined to perform a mini tummy tuck; that suggestion is out of accord with Ms. A.H.'s own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Ho testified that there was no such discussion or office visit about a joint procedure during the weeks before the hysterectomy, that he was unaware that Ms. A.H. consulted Dr. Ward around that time, and that in any event a joint procedure would have been medically sound and he would not have advised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Ho's office records do not show such a visit in June or July, before the hysterectomy. His staff at one point scheduled him for a joint procedure with Dr. Ward, but he testified, and I accept, that he does not take part in the scheduling process and was not aware of the scheduled joint procedure for Ms. 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Ward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therefore does not support Ms. A.H.'s submission that Dr. Ho must have known that Ms. A.H. wished to have a full abdominoplasty at that stage, and that he decided to do her a favour by instead performing a mini tummy tuck.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conclude therefore that during the two visits in issue (August 16, 2000 and September 29, 2000) Dr. Ho responded to Ms. A.H.'s evident dissatisfaction with the results of the surgery, but did not tell her that he had performed a mini tummy tuck or other cosmetic procedure in addition to the hysterectomy. Ms. A.H. may have come to believe that he performed that surgery, and that he told her he had done so, but she is mistaken in that belief.</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Remaining Portion of Old Scar Indicate that Dr. Ho Did Not Perform a Scar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A.H. submits that Dr. Ho cannot have excised the old scar as part of the hysterectomy, as he claims, because part of the old scar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position is out of accord with the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Vera Frinton, obstetrician and gynaecologist, testified for Ms. A.H. She examined Ms. A.H. shortly before the trial and testified that two scars are visible. She described the hysterectomy scar as extending 10" from iliac crest to iliac crest. Some magnification assistance is needed to see the shorter scar from the third caesarean section, which is about 3 1/2" long and to one side of the midline.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difficulty with Ms. A.H.'s position in this area is that Dr. Frinton based her evidence and her opinion in part on an acknowledgement that Dr. Ho performed a scar revision or excision of an old scar, as a small part of the hysterectomy. Although she saw and remarked on the residual portion of the old scar, she did not opine that its existence suggested that anything other than a scar revision or excision was performed. She did agree to the proposition that an old scar that remains cannot have been excised, but did so in the context of acknowledging the obvious, and, as I understood her evidence, did not intend to thereby comment on the nature of the surgery Dr. Ho undertook.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return later to Dr. Frinton's opinion that the scar excision achieved a poor result in failing to remove part of the old scar. However, nothing in her opinion or any of the other medical evidence contradicts or undermines Dr. Ho's assertion that he performed only the hysterectomy, with a scar excision as part of that procedure.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Consent Given Only for Incision, and not Excision, of the Previous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A.H. says that Dr. Ho told her before the operation that he would incise, or go in through, her previous scar; it appears to be her position that the scar revision or excision Dr. Ho now claims to have performed as part of the hysterectomy is therefore outside the scope of the agreed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A.H. testified that she always asks to speak to her surgeon before surgery so that she is sure she knows what will be done, and that she did so before the hysterectomy. She testified to a detailed and specific discussion with Dr. Ho before the hysterectomy surgery, in which she confirmed that Dr. Ho would remove her uterus, her cervix, and possibly her left ovary. She did not wish her right ovary to be removed, because she had never had trouble with it, and did not wish to have to take hormone supplements. It was unclear from Ms. A.H.'s evidence whether the conversation took place in the hospital or in Dr. Ho's office or in both places, but the fact of such a conversation was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A.H. testified that in this conversation she asked Dr. Ho if he would use the incision from the previous caesarean section, and he said that he would because there was no need to make a new incision. She testified that he also said there was no need to excise the old scar, because he had done that before during the third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Ho testified that he would not have told her that he would incise, or go in through, the old scar because his invariable practice is not to do that but rather to excise the old scar; his elliptical incision was part of that process of removing the old scar. He testified that he told her he would remove the scar and tidy up the area; if she he had had any concerns about the proposed incision that he could not satisfy, he would have cancelled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this explanation as inherently plausible and consistent with all the medical evidence, and conclude that Ms. A.H. either misunderstood at the time or is mistaken in her recollection of Dr. Ho's explanation of the precise mechanics of the proposed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she misunderstood at the time, I find that she would in any event have agreed to the procedure as Dr. Ho explained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therefore find that the agreed scope of the hysterectomy surgery was not limited to incising, rather than excising, the previous scar, and the fact that Dr. Ho performed a scar excision does not indicate that the surgery was without consent.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noticed that Ms. A.H. needed to recite in an almost continuous account the details of her key dealings with Dr. Ho about the nature of the surgery. She appeared uncomfortable and unsure when asked in cross examination about specific aspects of those dealings in isolation. This characteristic of Ms. A.H.'s evidence gives rise to some concern that her memory of those dealings may not be direct or complete, and may rather have been reconstructed into a full narrative from some isolated details that she understood differently from Dr.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A.H. disputed the content of numerous areas of her treating physicians' notes as to what she reported to them over the years. I do not suggest that a physician's note is necessarily to be considered more reliable than Ms. A.H.'s memory of what she reported (or intended to report); various reasons may account for inaccuracy or a different focus in the physician's record. However, several of her denials related to events Ms. A.H. acknowledges to have occurred and which the physician would not have known of except from her. It is therefore very unlikely that the physicians' notes of those reports are inaccurate while Ms. A.H.'s recollection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not surprising that Ms. A.H. does not have an accurate memory of all the details of every visit with every health professional. However, it follows that she may also be mistaken in her account of some of her dealings with Dr. Ho, despite what I find to be her sincere confidence that she is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conclude that Dr. Ho did not perform unauthorized cosmetic surgery in conjunction with the hysterectomy, although Ms. A.H. has come to believe that he did.</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Ho Negligent in Performing the Hysterectomy?</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Ms. A.H. bears the burden of proving that Dr. Ho failed to meet the standard of care of the ordinary competent obstetrician and gynaecologist in the same circumstances: ter Neuzen v. Korn, </w:t>
      </w:r>
      <w:hyperlink r:id="rId888"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11 B.C.L.R. (3d) 201</w:t>
        </w:r>
      </w:hyperlink>
      <w:r>
        <w:rPr>
          <w:rFonts w:ascii="arial" w:eastAsia="arial" w:hAnsi="arial" w:cs="arial"/>
          <w:color w:val="000000"/>
          <w:sz w:val="20"/>
          <w:lang w:val="en-US" w:eastAsia="en-US" w:bidi="ar-SA"/>
        </w:rPr>
        <w:t xml:space="preserve"> at [paragraph]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physician must possess and use that reasonable degree of learning and skill ordinarily possessed by practitioners in similar communities in similar cases, and will not be held negligent if he or she acted in accordance with a practice accepted by a responsible body of medical practitioners: ter Neuzen at [paragraph]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simple fact of injury is not 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in the context of a surgery which produces a complication or problem: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we would be doing a disservice to the community at large if we were to impose liability on hospitals and doctors for everything that happens to go wrong. Doctors would be led to think more of their own safety than of the good of their patients. Initiative would be stifled and confidence shaken. A proper sense of proportion requires us to have regard to the conditions in which hospitals and doctors have to work.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(Roe v. Ministry of Health [1954] 2 All E.R. 131 at 139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Alleged Failure to Conform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A.H. alleges that Dr. Ho made a significantly larger incision than was necessary for the surgery and removal of the previous scar, and in any event failed to remove more than half of the previous 6" scar, with various cosmetic consequences: the umbilicus was pulled out of place, the dog ears formed, and the scar was much longer than necessary. The residual 3 1/2" portion of the previous scar is barely visible to the naked eye, and is not suggested to be a cosmetic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will be discussed in greater detail below, Ms. A.H.'s position, and the medical evidence supporting it,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failure to achieve a better cosmetic result; to that extent it essentially reasons backwards from the unsatisfactory cosmetic features Ms. A.H. says the surgery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Ho maintains, among other defences, that the surgery did not cause these cosmetic features, that they resulted from other causes such as Ms. A.H.'s changes in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threshold question in this area is therefore whether the surgery (negligent or otherwise) caused those cosmetic features, and to this I now turn.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Surgery Cause the Cosmetic Features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Ho testified that a hysterectomy is much more difficult than a caesarean section and requires a longer incision. He testified that, as he noted in his operative report, he encountered a lot of scarring and needed to make a longer and elliptical incision, to help prevent dog ears. He agreed that he removed an unusual amount of tissue (including redundant skin), but said that it was an unusual surgery, given Ms. A.H.'s previous abdominal history. Dr. Ho testified that he saw no pulling of Ms. A.H.'s umbilicus at the September 29 visit, and that Ms. A.H. made no mention of it. He testified that he saw no dog ears after the surgery, and felt that the result was a good as one could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Although Dr. Ho maintains that Ms. A.H. left the operating room without dog ears and that her weight fluctuation must have produced those that appear now, I prefer Ms. A.H.'s evidence that the dog ears appeared very shortly after the surgery, before any significant change in her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Some poor quality photographs taken by Mr. R.H. 2 1/2-3 months after the hysterectomy show two semi-circular bulges on each side of her lower abdomen. There was some suggestion by the defence that these photographs were taken later than Ms. A.H. indicated and after further weight fluctuation and lack of exercise, but I accept her evidence as to the approximate date of the photographs as consistent with other evidence, some of which is outlined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Sally Barrio, Ms. A.H.'s long-term family physician, testified that when she first saw Ms. A.H. after her own return from a maternity leave in the spring of 2001, she saw dog ears at each end of the scar. She testified that the dog ears were likely less pronounced than in the photographs taken in 2003 and 2004, which I will discuss below, but that could be because dog ears are less visible when the person is lying down, as Ms. A.H. was when Dr. Barrio examined her. I found all of Dr. Barrio's evidence to be fair and clear, and her recollection, as assisted by her notes, to be detailed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Good quality photographs taken in May 2003 show larger bulges than are shown in the earlier, poor quality photographs mentioned above, and also show a general drooping of the abdomen. However, these photos also show Ms. A.H. to have gained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Further good quality photographs taken in July 2004 show considerable abdominal drooping. Dog ear bulges are visible but are largely merged into the pannus or drooped lateral bulge above and supported by the scar. When that lateral bulge is lifted, the dog ears are visible to the same extent as in the earliest photographs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Ward was not called to testify, but his records were admitted (as were other medical records) as evidence of personal observations (but not opinions) and statements received. His records indicate that on October 6, 2000 he saw a "moderately elevated" dog ear on the left side that was about twice as prominent as a dog ear on the right, which Dr. Ward described as a "slightly elevated area of skin and 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Claude Cronhelm, obstetrician and gynaecologist who testified for Dr. Ho, examined Ms. A.H. shortly before the trial. He concluded that the dog ears he saw were likely inevitable, given Ms. A.H.'s history, and that any drooping or pulling down of her umbilicus was completely normal in a patient of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Cronhelm's opinion was based in large part on the facts as Dr. Ho observed and recorded them. Those included that any dog ears were only barely visible after the surgery, and that drooping of the umbilicus was not visible shortly after the hysterectomy and therefore could have occurred for any reason thereafter. Dr. Cronhelm's opinion in this area is therefore of limited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conclude from all of this evidence that the dog ears were fully apparent at least by the time Dr. Ho and Dr. Ward each saw Ms. A.H. at the end of September and early October. I find some minimization in Dr. Ho's notation of a single area of concern in his record of the September 29 visit and his testimony as to a single "slight" bulge.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conclusion gives some force to Ms. A.H.'s submission that Dr. Ho's surgical notes also minimize the size and consequences of the incision. Dr. Ho testified that it was not his normal practice to record the amount of skin and fat removed, but he did so here. I infer that he did so because the amount of skin and fat removed was extraordinary. In those circumstances, where Dr. Ho was aware of the need to record unusual details of a surgery, and did so in relation to one aspect relating to the amount of tissue removed during the incision, it is odd that his estimate of the length of the incision (as 7" instead of the 9.2-10.5" it actually was, as will be discussed below) was as imprecise as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Cronhelm offered an explanation for that imprecision, but I am unable to accept it. In cross examination as to the length of the hysterectomy incision Dr. Cronhelm noted that Ms. A.H.'s previous scar was never formally measured, and suggested that Dr. Ho's estimate of the previous scar as 6" in length may have been just as flawed as his estimate of the hysterectomy scar at 7". That suggestion however fails to account for Ms. A.H.'s fundamental concern that the hysterectomy scar (running "from hip to hip") was much longer than the previous scar, with which she was entirely satisfied. It was not suggested to Ms. A.H. that her caesarean section scar was other than 6" in length, and I am satisfied that it was, as Dr. Ho recorded after that surgery, that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Cronhelm measured Ms. A.H.'s hysterectomy scar at 9.2". Dr. Frinton measured it at 10", and Dr. Lorne Brown, plastic surgeon, measured it at 10.5". The disparity among the measurements was unexplained. I accordingly consider the scar, and therefore the incision, to be between 9.2" and 10.5" in length, likely around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For the reasons given above, I am satisfied that the surgery created a scar of approximately 10" in length, the two dog ears bulges, and a shift in the position of the umbilicus. The question then is whether those results were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Norell for Dr. Ho submits that the evidence establishes that it is standard and accepted practice to excise old scars and redundant skin as part of a hysterectomy, and there is no evidence to indicate that Dr. Ho was negligent in conforming to that practice. She submits that Ms. A.H. has proven neither that Dr. Ho breached the applicable standard of care nor that the alleged breach caused the poor cosmetic result. She submits in particular that these matters cannot be proven without expert evidence, which is lacking, and refers to the following passage in ter Neuzen at [paragraph]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when a doctor acts in accordance with a recognized and respectable practice of the profession, he or she will not be found to be negligent . . .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Norell submits that the court in this passage and others in ter Neuzen indicates that courts cannot appropriately infer from a poor result that an accepted medical practice was negligently performed. She submits that no expert evidence in this case indicated what Dr. Ho did or did not do that was below the standard of care and caused the poor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ter Neuzen,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not to the performance of an accepted medical practice but rather to the choice of medical procedures. Matters of diagnosis and choice of treatment (and assessment of the associated risks) are well outside the ordinary ken and require the assistance of experts in the field. The court summed up thus at [paragraph]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as a general rule, where a procedure involves difficult or uncertain questions of medical treatment or complex, scientific or highly technical matters that are beyond the ordinary experience and understanding of a judge or jury, it will not be open to find a standard medical practice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court followed the above-quoted passage with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 (At [paragraph]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court thus acknowledged that the ordinary finder of fact may make findings unassisted by expert evidence where the issue is not complex, scientific, highly technical, or otherwise beyond ordinary experience and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Here,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relates not to the choice of medical procedures, but to competence in the execution of procedures acknowledged to have been appropriate. Some of the issues relating to that matter are indeed enlightened by expert evidence; others I view as within ordinary experience and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key witnesses as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Dr. Vera Frinton, who testified for Ms. A.H., and Dr. Claude Cronhelm, who testified for Dr. Ho. Both of these witnesses are general obstetricians and gynaecologists who perform hysterectomy surgeries as part of their ordinary practices. Dr. Frinton opined that Dr. Ho's scar revision and hysterectomy fell below the applicable standard of care; Dr. Cronhelm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Nancy Van Laeken, a plastic surgeon, also testified for Ms. A.H., and gave very clear and credible evidence. Her evidence assisted an understanding of the mechanics of abdominal surgery and of the corrective options available to Ms. A.H., but acknowledged that the standard of care applicable to plastic surgery, and the cosmetic results to be expected, are different from those relating to surgery performed by an obstetrician and gynaecologist.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Frinton testified that the hysterectomy scar is longer than one would expect for an uncomplicated hysterectomy such as Ms. A.H.'s. Complication in this context refers to the hysterectomy procedure itself, and not to the previous abdominal scarring that might affect access to the relevant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Frinton testified that the result of Dr. Ho's scar revision was poor, because it left significant dog ears and failed to completely remove the previous caesarean section scar. She opined that the cosmetic result of the surgery was below that to be expected of a reasonably competent gynaecologist, because of the lateral dog ears and the suprapubical indentation. I do not understand Ms. A.H. to pursue a claim in respect of the suprapubical indentation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was common ground that, as Drs. Frinton and Van Laeken noted, the striae and laxity of the abdomen and the pannus or bulge of redundant skin and fat were unrelated to the surgery. The pannus likely resulted from Ms. A.H.'s weight fluctuations, and may have been more noticeable because of the scar, which, as is usual, created an indentation (because of below-surface scarring) over which the pannus 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Frinton agreed that a good cosmetic result is more difficult to achieve in circumstances, such as here, where the patient has had previous abdominal surgeries and has striae and laxity of the abdomen. However, those features of Ms. A.H.'s medical history were available to Dr. Frinton when she formed her opinion that the cosmetic result of the surgery fell below that to be expected of a reasonably competent gynaecologist. Her acknowledgement of propositions applicable to surgeries generally did not, in my view, undermine the strength of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view similarly Dr. Frinton's acknowledgement that dog ears can occur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also to be noted that Dr. Frinton described Ms. A.H.'s abdominal history as fairly involved, but not abnormal or uncommon, being characteristic of perhaps 10-15% of Dr. Frinton's own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Frinton was cross examined extensively about possible reasons for a scar the length of Ms. A.H.'s, which Dr. Frinton measured at 10". She testified that nothing in the medical records she reviewed indicated a need for a scar of that length. In particular, she testified that scarring in the fascial area, to which Dr. Ho referred in his surgical notes, is scarring in the superficial layers and would not warrant a larger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Cronhelm testified that Dr. Ho's hysterectomy, including the amount of skin and fat he removed, met the applicable standard of care. He opined that the amount of old scar tissue (skin and fat) required to be removed is something that only the surgeon can judge, and a 1 1/2" width of tissue, although more than usual, could be reasonable to remove.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Cronhelm resisted the suggestion in cross examination that Ms. A.H.'s previous scar could have been removed and the hysterectomy performed by way of an incision considerably shorter than the approximately 10" incision in question. He explained first that an incision must be longer with each successive surgery, to remove the previous scar while keeping the elliptical shape of the incision, and that in a situation of scarring from multiple surgeries, it is impossible to know how much scar tissue remains to be removed. As I have noted above, he also suggested that Ms. A.H.'s previous scar may have been longer than the 6" Dr. Ho recorded after that caesarean section surgery, and the difference between the two scars therefore less than is now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to the latter suggestion, I found earlier that the previous scar was significantly shorter than the hysterectomy scar. That aspect of Dr. Cronhelm's opinion therefore has no foundation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Cronhelm's other explanations assume that circumstances may have existed that would warrant the lengthy scar, including that there was extensive scarring from successive surgeries or that a lengthy scar was judged necessary for proper healing. However, Dr. Ho's previous caesarean section had excised the scars from the first two caesarean sections. Also, his surgical notes for the hysterectomy refer only to scarring as the reason for what he described as his 7"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Finally, Dr. Cronhelm disagreed with Dr. Frinton's opinion in part because it was given three years after the event and was based on cosmetic results inconsistent with those Dr. Ho noted at the time of the surgery. Dr. Cronhelm noted in this regard that according to Dr. Ho the surgical scar following the operation was completely acceptable. I have found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Cronhelm's opinion therefore rests on facts or supposition as to facts different from those that I have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Norell submits that Dr. Frinton's opinion speaks inappropriately to the ultimate issue, expressly a simple conclusion of failure to meet the applicable standard of care. This submission in effect supplements the submission I discussed earlier that a court must rely on expert medical evidence to explain how such a failure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my view, those submissions have little application in the present context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said to consist in the failure to achieve a satisfactory result. It is within ordinary understanding that surgery comprehends its cosmetic result, and that surgeons and patients contemplate that the incision and scar will be as small and as smooth or tidy as reasonably possible. The incision here was clearly unsatisfactory: it was excessively long and left a clumsy-looking result, with dog ears at each end of the hip-to-hip scar. Dr. Frinton, as a medical expert, reinforced the conclusion that the result is unsatisfactory and also advised that, having reviewed the medical records, she found no basis for a competent obstetrician and gynaecologist to produce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therefore find that Dr. Ho was negligent in causing the excessively long scar and the dog ear bulges at each end of the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do not, however, make the same finding in relation to the shift in position of the umbilicus.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As indicated earlier, I accept Ms. A.H.'s evidence that the position of the umbilicus was slightly moved by the surgery. However, the evidence does not establish that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Dr. Ho's part caused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Frinton did not address the position of the umbilicus in her opinion. Nothing in the evidence suggested that the surgery moved the umbilicus in a way or to an extent that would not have occurred with a reasonably sized and placed surgical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burden is on Ms. A.H. not only to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to show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very result being complained of. While Ms. A.H. met that burden in respect of the length of the incision and the dog ears, I am unable to find that she did so in respect of the moved umbilicus.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Ms. A.H. is entitled to damages reflecting the undesirable cosmetic results, and associated pain and suffering, flowing from Dr. Ho's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Those results are the larger and therefore more painful incision than was necessary and the dog ear bulges at each end of the resulting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A.H. testified, and I accept, that before the hysterectomy she was slim (except when pregnant) and comfortable in her body. She liked to wear clothing that exposed her abdomen. Swimming was a major part of her life, especially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also accept that since the hysterectomy she has had to wear girdle-like undergarments to suppress the bulges. When she goes swimming she feels that people stare because the bulges are visible no matter the type of swimsuit she wears. She can no longer wear low-cut pants. She feels ugly and disfigured, and this feeling affects all aspects of her life, including her sexual relationship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Ho submits that Ms. A.H. should have mitigated some of her damages by undergoing cosmetic surgery to remove the dog ear bulges when that option was made available, and supported by her physicians, at no cost to her, approximately four months after the hysterectomy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However, I consider reasonable some hesitation on her part in undergoing further surgery. Ms. A.H. was understandably distressed after the unsatisfactory hysterectomy surgery. This reaction was aggravated by Dr. Ho's abrupt termination of his relationship with her. Also, I consider reasonable in the circumstances Ms. A.H.'s reluctance to quickly place her trust in the plastic surgeon to whom Dr. Ho referred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Ms. A.H.'s damages will therefore reflect the effects upon her of an unsatisfactory cosmetic result over a period of 18 months from the time of Dr. Ho's surgery, as well as the pain and suffering associated with corrective cosmetic surgery to remove the dog ear bulges. I conclude that she should reasonably have undergone scar revision surgery within 18 months of Dr. Ho's surgery, which would have corrected the undesirable cosmetic results caused by Dr. Ho's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Norell submitted, and Mr. Collette did not dispute, that the applicable case authorities indicate a range of damages of between $25,000 and $40,000 for the abdominal cosmetic results and associated emotional distress and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One of the cosmetic results, namely the pulled or shifted umbilicus, I found was not proven to have been caused by Dr. Ho's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feature is in my view of less cosmetic significance that the dog ear bulges and the lengthy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Taking all of these considerations into account, I conclude that Ms. A.H. is entitled to general damages in the amount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make no award of aggravated damages, and do not understand that any other heads of damages are claimed in respect of Dr. Ho's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cosmetic results to the abdomen I have found that it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Cammack &amp; Co. Notaries Public v. Kavanagh, [2006] B.C.J. No. 1964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S97689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757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Cammack &amp; Company Notaries Public, Appellant, and Scott Kavanagh,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32"/>
      <w:bookmarkEnd w:id="220"/>
      <w:r>
        <w:rPr>
          <w:rFonts w:ascii="arial" w:eastAsia="arial" w:hAnsi="arial" w:cs="arial"/>
          <w:b/>
          <w:color w:val="000000"/>
          <w:sz w:val="20"/>
          <w:lang w:val="en-US" w:eastAsia="en-US" w:bidi="ar-SA"/>
        </w:rPr>
        <w:t xml:space="preserve">Legal profession — Notaries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balance of the appeal was dismissed, and the defendant notary was liable for $25,000 in damages to the plaintiff caused by delay occasioned by the negligent drafting of a "death and disability clause" in a document — The judge properly considered all of the evidence and was entitled to make the findings of credibility he did make.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Time — When time begins to run — Discoverability — General — The balance of the appeal was dismissed, and the defendant notary was liable for $25,000 in damages to the plaintiff caused by delay occasioned by the negligent drafting of a "death and disability clause" in a document — The six-year limitation period had not expired, because the plaintiff was entitled to believe the clause was good since he had hired a professional to draft it, and that he was wrong was not something a non-lawyer would have discovered by asking a professional; time did not begin to run until he was alerted to the intelligibility of the clause.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Legal — Notaries — The balance of the appeal was dismissed, and the defendant notary was liable for $25,000 in damages to the plaintiff caused by delay occasioned by the negligent drafting of a "death and disability clause" in a document — The judge properly considered all of the evidence and was entitled to make the findings of credibility he did make.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Legal — The balance of the appeal was dismissed, and the defendant notary was liable for $25,000 in damages to the plaintiff caused by delay occasioned by the negligent drafting of a "death and disability clause" in a document — The judge properly considered all of the evidence and was entitled to make the findings of credibility he did make.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32"/>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balance of the appeal was dismissed -- The original defendant notary sought appeal from a judgment finding him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awarding judgment to the plaintiff in the amount of $25,000 for the unsatisfactory drafting of a document -- The plaintiff had retained the defendant as a public notary to draft a "death and disability" clause that would enable either himself or his business partner to purchase a certain property upon the death of the disability of the other partner -- When the plaintiff's partner had passed away, concerns arose over the clause, which was described as "unintelligible" which allegedly led to delays causing the purchase price of the property to rise by $20,000 in the interim -- The defendant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drafting of the document, but argued several other grounds of appeal, including that the six-year limitation period had expired -- HELD: The balance of the appeal was dismissed, while commencement of the date for calculating interest was changed -- The argument that the six-year limitation period had expired failed, as the running of time did not commence until after the date of MacGillivray's death -- The plaintiff had gone to a professional to draft a "death and disability clause" and he was perfectly entitled to believe he had one and that belief was reasonable -- That he was wrong was not something that a non-lawyer would have discovered by asking a professional -- The trial judge found the plaintiff to be credible and it was open to him to infer from the totality of the evidence that he did give the defendant sufficient instructions to understand what was being sought -- Even if the instructions were insufficient, the failure to ask sufficient questions to understand would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own right -- As for the damages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was unable to conclude that the trial judge was wrong in coming to his conclusions -- The trial judge did err in choosing the dates from which he awarded interest, having chosen a date before the plaintiff even purchased the property, which was reversed -- There was no apprehension of bias that could be gleaned from the transcript of the proceedings when considered in its entirety -- The judge properly considered all of the evidence and was entitled to make the findings of credibility he did make.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Legislation Cited_20"/>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Small Claims Act, </w:t>
      </w:r>
      <w:hyperlink r:id="rId896" w:history="1">
        <w:r>
          <w:rPr>
            <w:rFonts w:ascii="arial" w:eastAsia="arial" w:hAnsi="arial" w:cs="arial"/>
            <w:i/>
            <w:color w:val="0077CC"/>
            <w:sz w:val="20"/>
            <w:u w:val="single"/>
            <w:shd w:val="clear" w:color="auto" w:fill="FFFFFF"/>
            <w:lang w:val="en-US" w:eastAsia="en-US" w:bidi="ar-SA"/>
          </w:rPr>
          <w:t>R.S.B.C. 1996, c. 430, s. 16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3" w:name="Counsel_32"/>
      <w:bookmarkEnd w:id="2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B.A. Sims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McCrimmon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32"/>
      <w:bookmarkEnd w:id="224"/>
      <w:r>
        <w:pict>
          <v:line id="_x0000_s1194"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SILVERMAN J."/>
            <w:bookmarkEnd w:id="225"/>
            <w:r>
              <w:rPr>
                <w:rFonts w:ascii="arial" w:eastAsia="arial" w:hAnsi="arial" w:cs="arial"/>
                <w:b/>
                <w:color w:val="000000"/>
                <w:sz w:val="30"/>
                <w:lang w:val="en-US" w:eastAsia="en-US" w:bidi="ar-SA"/>
              </w:rPr>
              <w:t>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a judgment after trial in the Provincial Court of British Columbia finding the appellant/defendant ("Cammack")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awarding judgment to the respondent/plaintiff ("Kavanagh") in the amount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unsatisfactory drafting of a document by Mr. Roy Cammack ("Roy Cammack"), who personally drafted the document, in his capacity as a notary public, on behalf of Cammack. The liability of Cammack for Roy Cammack's actions, in that capacity, is not in dispute. Roy Cammack also gave evidence at the trial on behalf of Cammack.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trial, Cammack was represented by counsel. Kavanagh represented himself. On this appeal, both parties are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learned trial judge provided lengthy reasons, 26 pages in length, containing 67 paragraphs, on February 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arguments on appeal are as follows:</w:t>
      </w:r>
      <w:r>
        <w:rPr>
          <w:rFonts w:ascii="arial" w:eastAsia="arial" w:hAnsi="arial" w:cs="arial"/>
          <w:sz w:val="20"/>
          <w:lang w:val="en-US" w:eastAsia="en-US" w:bidi="ar-SA"/>
        </w:rPr>
        <w:cr/>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expired limitation period;</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error in finding that Kavanagh had given clear instructions to Cammack regarding the drafting;</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error in finding that Cammack's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Kavanagh's losses;</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error in relying on hearsay evidence from Kavanagh;</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error in finding that Kavanagh had properly proven his damages;</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error in the calculation of interest;</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trial judge indicates a reasonable apprehension of bias; and,</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error in improperly considering inconsistent sworn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judge made the following findings of fact, among others. I agree that they all are appropriate findings based on the evidence: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and his friend, MacGillivray, entered into an agreement with respect to the purchase of a piece of property. They did buy the property. Kavanagh lived in it, and MacGillivray financed it.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attended at the offices of Cammack, Notaries Public, and retained that business to draft the Agreement (the "Agreement"). The Agreement is signed and dated </w:t>
      </w:r>
      <w:r>
        <w:rPr>
          <w:rFonts w:ascii="arial" w:eastAsia="arial" w:hAnsi="arial" w:cs="arial"/>
          <w:b/>
          <w:color w:val="000000"/>
          <w:sz w:val="20"/>
          <w:lang w:val="en-US" w:eastAsia="en-US" w:bidi="ar-SA"/>
        </w:rPr>
        <w:t>June 27, 1994</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Roy Cammack has been a licensed notary public for 23 years. He has had a varied practice. Roy Cammack has no present memory of the details of his dealing with Kavanagh or the Agreement.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contained the following relevant provisions: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title to the property was in MacGillivray's name;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beneficial ownership was divided 30% for Kavanagh and 70% for MacGillivray;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was to have exclusive use of the property and was responsible for expenses;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was to make the mortgage payments. There was no interest payable on the financing that MacGillivray had contributed. Any profits were to be taken on resale.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equity to be paid out, if and when the property was sold, was to be 30% to Kavanagh and 70% to MacGillivray;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equity was to become payable on the transfer of the property;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party wished to sell the property, it was to be appraised by a qualified appraiser;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was given a right of first refusal on a sale of the property;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dispute or claim relating to the Agreement or its breach or termination was to be settled by arbitration;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was binding on the parties and their respective successors.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the foregoing, the Agreement contained a clause entitled "Death and Disability Clause" ("Clause 13"). The intended purpose of Clause 13 was to dictate events on the death of either of the parties so that the survivor would not have to continue in the contract with the deceased's heirs. The clause was intended to ensure that the property would be sold or that the survivor would have the right to purchase it from the heirs of the deceased. In the words of the trial judge, the parties "wanted a mechanism by which the sale of the house would be triggered without any action being commenced by the estate." The negligent drafting, and the reason why this lawsuit was pursued, is to be found in the wording of Clause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either Scott or Leanne [sic] die or become mentally incapacitated during this agreement prior to the lands being sold, there will be no right of succession </w:t>
      </w:r>
      <w:r>
        <w:rPr>
          <w:rFonts w:ascii="arial" w:eastAsia="arial" w:hAnsi="arial" w:cs="arial"/>
          <w:i/>
          <w:color w:val="000000"/>
          <w:sz w:val="20"/>
          <w:lang w:val="en-US" w:eastAsia="en-US" w:bidi="ar-SA"/>
        </w:rPr>
        <w:t>in the amounts payable and the amounts under this agreement will be payable</w:t>
      </w:r>
      <w:r>
        <w:rPr>
          <w:rFonts w:ascii="arial" w:eastAsia="arial" w:hAnsi="arial" w:cs="arial"/>
          <w:color w:val="000000"/>
          <w:sz w:val="20"/>
          <w:lang w:val="en-US" w:eastAsia="en-US" w:bidi="ar-SA"/>
        </w:rPr>
        <w:t xml:space="preserve"> to the estate of the dead or disabled party, and there will be no right to carry on by the heirs of the dead or disabled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words which I have italicized in Clause 13 render that clause incomprehensible. The trial judge found that the words were left there inadvertently, apparently having been taken from a precedent in Cammack's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the offending words had been left out of Clause 13, it would have accomplished the intended goal. The way it was drafted, it left no mechanism for the sale of the property which would be triggered without the involvement of the heirs of the deceased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judge also concluded, although it was not expressly written into the Agreement, that the contract must, by necessary implication, be considered to have included a term expressing that the survivor would be permitted to purchase the property from the estate of the other within a reasonable time at a price set by appraisal, and over any objection of the estate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b/>
          <w:color w:val="000000"/>
          <w:sz w:val="20"/>
          <w:lang w:val="en-US" w:eastAsia="en-US" w:bidi="ar-SA"/>
        </w:rPr>
        <w:t>June 27, 1994</w:t>
      </w:r>
      <w:r>
        <w:rPr>
          <w:rFonts w:ascii="arial" w:eastAsia="arial" w:hAnsi="arial" w:cs="arial"/>
          <w:color w:val="000000"/>
          <w:sz w:val="20"/>
          <w:lang w:val="en-US" w:eastAsia="en-US" w:bidi="ar-SA"/>
        </w:rPr>
        <w:t>, at the time Kavanagh signed the Agreement, he did not understand Clause 13, nor did he indicate that he did not understand it, nor did he ask. He merely skimmed the document to ensure that the names, addresses and values were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Kavanagh did not expressly instruct Cammack to include in the Agreement a provision indicating that the property was to be appraised as of the date of death of one of the parties and to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Roy Cammack testified that, although he had no memory of the particular incident, in his practice he always asked clients to read documents before execution, and asked them to ask him any questions about anything they did not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color w:val="000000"/>
          <w:sz w:val="20"/>
          <w:lang w:val="en-US" w:eastAsia="en-US" w:bidi="ar-SA"/>
        </w:rPr>
        <w:t>February of 2003</w:t>
      </w:r>
      <w:r>
        <w:rPr>
          <w:rFonts w:ascii="arial" w:eastAsia="arial" w:hAnsi="arial" w:cs="arial"/>
          <w:color w:val="000000"/>
          <w:sz w:val="20"/>
          <w:lang w:val="en-US" w:eastAsia="en-US" w:bidi="ar-SA"/>
        </w:rPr>
        <w:t>, MacGillivray died intestate.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Between </w:t>
      </w:r>
      <w:r>
        <w:rPr>
          <w:rFonts w:ascii="arial" w:eastAsia="arial" w:hAnsi="arial" w:cs="arial"/>
          <w:b/>
          <w:color w:val="000000"/>
          <w:sz w:val="20"/>
          <w:lang w:val="en-US" w:eastAsia="en-US" w:bidi="ar-SA"/>
        </w:rPr>
        <w:t>1994</w:t>
      </w:r>
      <w:r>
        <w:rPr>
          <w:rFonts w:ascii="arial" w:eastAsia="arial" w:hAnsi="arial" w:cs="arial"/>
          <w:color w:val="000000"/>
          <w:sz w:val="20"/>
          <w:lang w:val="en-US" w:eastAsia="en-US" w:bidi="ar-SA"/>
        </w:rPr>
        <w:t xml:space="preserve"> and MacGillivray's death, the terms of the Agreement were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Kavanagh took a copy of the Agreement with him when he left Cammack's office which he kept for his own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After MacGillivray's death, Kavanagh provided a copy of the Agreement to MacGillivray's family. In </w:t>
      </w:r>
      <w:r>
        <w:rPr>
          <w:rFonts w:ascii="arial" w:eastAsia="arial" w:hAnsi="arial" w:cs="arial"/>
          <w:b/>
          <w:color w:val="000000"/>
          <w:sz w:val="20"/>
          <w:lang w:val="en-US" w:eastAsia="en-US" w:bidi="ar-SA"/>
        </w:rPr>
        <w:t>April of 2003,</w:t>
      </w:r>
      <w:r>
        <w:rPr>
          <w:rFonts w:ascii="arial" w:eastAsia="arial" w:hAnsi="arial" w:cs="arial"/>
          <w:color w:val="000000"/>
          <w:sz w:val="20"/>
          <w:lang w:val="en-US" w:eastAsia="en-US" w:bidi="ar-SA"/>
        </w:rPr>
        <w:t xml:space="preserve"> Kavanagh contacted the lawyer for MacGillivray's estate (the "Estate") in order to start the process of having the house sold or transferred in accordance with the Agreement. Kavanagh told the lawyer that he wanted to buy the property from the Estate after appraisal, in accordance with the terms of the Agreement. The lawyer told Kavanagh that Clause 13 would not stand up in court and expressed the opinion that Kavanagh would not be successful if he attempted to have it enforced in a court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Although he had the means to do so, Kavanagh did not have the property appraised immediately after MacGillivray's death. In </w:t>
      </w:r>
      <w:r>
        <w:rPr>
          <w:rFonts w:ascii="arial" w:eastAsia="arial" w:hAnsi="arial" w:cs="arial"/>
          <w:b/>
          <w:color w:val="000000"/>
          <w:sz w:val="20"/>
          <w:lang w:val="en-US" w:eastAsia="en-US" w:bidi="ar-SA"/>
        </w:rPr>
        <w:t>December of 2003</w:t>
      </w:r>
      <w:r>
        <w:rPr>
          <w:rFonts w:ascii="arial" w:eastAsia="arial" w:hAnsi="arial" w:cs="arial"/>
          <w:color w:val="000000"/>
          <w:sz w:val="20"/>
          <w:lang w:val="en-US" w:eastAsia="en-US" w:bidi="ar-SA"/>
        </w:rPr>
        <w:t>, this was finally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Kavanagh did not make an offer to purchase the property until </w:t>
      </w:r>
      <w:r>
        <w:rPr>
          <w:rFonts w:ascii="arial" w:eastAsia="arial" w:hAnsi="arial" w:cs="arial"/>
          <w:b/>
          <w:color w:val="000000"/>
          <w:sz w:val="20"/>
          <w:lang w:val="en-US" w:eastAsia="en-US" w:bidi="ar-SA"/>
        </w:rPr>
        <w:t>February 27, 2004</w:t>
      </w:r>
      <w:r>
        <w:rPr>
          <w:rFonts w:ascii="arial" w:eastAsia="arial" w:hAnsi="arial" w:cs="arial"/>
          <w:color w:val="000000"/>
          <w:sz w:val="20"/>
          <w:lang w:val="en-US" w:eastAsia="en-US" w:bidi="ar-SA"/>
        </w:rPr>
        <w:t>, by which time it had increased in value considerably since the death of MacGillivray.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w:t>
      </w:r>
      <w:r>
        <w:rPr>
          <w:rFonts w:ascii="arial" w:eastAsia="arial" w:hAnsi="arial" w:cs="arial"/>
          <w:b/>
          <w:color w:val="000000"/>
          <w:sz w:val="20"/>
          <w:lang w:val="en-US" w:eastAsia="en-US" w:bidi="ar-SA"/>
        </w:rPr>
        <w:t>April 16, 2004</w:t>
      </w:r>
      <w:r>
        <w:rPr>
          <w:rFonts w:ascii="arial" w:eastAsia="arial" w:hAnsi="arial" w:cs="arial"/>
          <w:color w:val="000000"/>
          <w:sz w:val="20"/>
          <w:lang w:val="en-US" w:eastAsia="en-US" w:bidi="ar-SA"/>
        </w:rPr>
        <w:t>, Kavanagh met with Roy Cammack to discuss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w:t>
      </w:r>
      <w:r>
        <w:rPr>
          <w:rFonts w:ascii="arial" w:eastAsia="arial" w:hAnsi="arial" w:cs="arial"/>
          <w:b/>
          <w:color w:val="000000"/>
          <w:sz w:val="20"/>
          <w:lang w:val="en-US" w:eastAsia="en-US" w:bidi="ar-SA"/>
        </w:rPr>
        <w:t>August 3, 2004</w:t>
      </w:r>
      <w:r>
        <w:rPr>
          <w:rFonts w:ascii="arial" w:eastAsia="arial" w:hAnsi="arial" w:cs="arial"/>
          <w:color w:val="000000"/>
          <w:sz w:val="20"/>
          <w:lang w:val="en-US" w:eastAsia="en-US" w:bidi="ar-SA"/>
        </w:rPr>
        <w:t xml:space="preserve">, an arbitration hearing was held between Kavanagh and the Estate. The arbitrator held that Clause 13 was voidable. The arbitrator found that Kavanagh had followed the terms of the Agreement by making an offer. However, since he had not obtained his appraisal until </w:t>
      </w:r>
      <w:r>
        <w:rPr>
          <w:rFonts w:ascii="arial" w:eastAsia="arial" w:hAnsi="arial" w:cs="arial"/>
          <w:b/>
          <w:color w:val="000000"/>
          <w:sz w:val="20"/>
          <w:lang w:val="en-US" w:eastAsia="en-US" w:bidi="ar-SA"/>
        </w:rPr>
        <w:t>December of 2003</w:t>
      </w:r>
      <w:r>
        <w:rPr>
          <w:rFonts w:ascii="arial" w:eastAsia="arial" w:hAnsi="arial" w:cs="arial"/>
          <w:color w:val="000000"/>
          <w:sz w:val="20"/>
          <w:lang w:val="en-US" w:eastAsia="en-US" w:bidi="ar-SA"/>
        </w:rPr>
        <w:t>, the arbitrator held that this, rather than the date of MacGillivray's death, was the appropriate date to value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appraisal was in the amount of $325,000.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b/>
          <w:color w:val="000000"/>
          <w:sz w:val="20"/>
          <w:lang w:val="en-US" w:eastAsia="en-US" w:bidi="ar-SA"/>
        </w:rPr>
        <w:t>September of 2004</w:t>
      </w:r>
      <w:r>
        <w:rPr>
          <w:rFonts w:ascii="arial" w:eastAsia="arial" w:hAnsi="arial" w:cs="arial"/>
          <w:color w:val="000000"/>
          <w:sz w:val="20"/>
          <w:lang w:val="en-US" w:eastAsia="en-US" w:bidi="ar-SA"/>
        </w:rPr>
        <w:t>, Kavanagh purchased the property from the Estate for the appraisal value less his 30% interest. The court concluded that this was $20,000.00 in excess of its value at the time of MacGillivray's death, in February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to all of the foregoing, the Court concluded as follows: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had given clear instructions to Cammack with regard to Clause 13.</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Cammack failed to carry out those instructions and negligently drafted Clause 13.</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Clause 13 been properly drafted, Kavanagh would have been able to purchase the property within a reasonably short period after the death of MacGillivray.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concluded that damages flowed from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in the value of the property from the date of death to the time of the appraisal.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arbitration would have been required if Clause 13 had been competently drafted.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counsel or legal expenses would have been required if Clause 13 had been competently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w:t>
      </w:r>
      <w:r>
        <w:rPr>
          <w:rFonts w:ascii="arial" w:eastAsia="arial" w:hAnsi="arial" w:cs="arial"/>
          <w:b/>
          <w:color w:val="000000"/>
          <w:sz w:val="20"/>
          <w:lang w:val="en-US" w:eastAsia="en-US" w:bidi="ar-SA"/>
        </w:rPr>
        <w:t>November 4, 2004</w:t>
      </w:r>
      <w:r>
        <w:rPr>
          <w:rFonts w:ascii="arial" w:eastAsia="arial" w:hAnsi="arial" w:cs="arial"/>
          <w:color w:val="000000"/>
          <w:sz w:val="20"/>
          <w:lang w:val="en-US" w:eastAsia="en-US" w:bidi="ar-SA"/>
        </w:rPr>
        <w:t>, Kavanagh filed a Notice of Claim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EXPIRED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learned trial judge did not address this issue in his Reasons for Judgment. If successful, this argument would provide a complete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Cammack argues that the limitation period expired six years after the date of the signing of the Agreement. That signing was June 27, 1994, therefore, it will have expired at the end of June 26, 2000. The Notice of Claim was not issued until 2004, well beyond the six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sets out the various limitation periods allowed for various causes of action. Since neither tort or contract are specifically mentioned in s. 3, Cammack relies upon s. 3(5), which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Kavanagh agrees that six years is the appropriate limitation period, but says that the adjusted date from which to calculate the commencement of that period is not the date that the Agreement was signed. Rather, the running of the time under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must be postponed until Kavanagh is considered to have possessed the necessary facts upon which to base an action. Kavanagh relies upon various subsections of s. 6 which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running of time with respect to the limitation periods set by this Act for any of the following actions is postponed as provided in subsection (4):</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Time does not begin to run against a plaintiff with respect to an action referred to in subsection (3) until the identity of the defendant is known to the plaintiff and </w:t>
      </w:r>
      <w:r>
        <w:rPr>
          <w:rFonts w:ascii="arial" w:eastAsia="arial" w:hAnsi="arial" w:cs="arial"/>
          <w:i/>
          <w:color w:val="000000"/>
          <w:sz w:val="20"/>
          <w:lang w:val="en-US" w:eastAsia="en-US" w:bidi="ar-SA"/>
        </w:rPr>
        <w:t>those facts within the plaintiff's means of knowledge are such that a reasonable person</w:t>
      </w:r>
      <w:r>
        <w:rPr>
          <w:rFonts w:ascii="arial" w:eastAsia="arial" w:hAnsi="arial" w:cs="arial"/>
          <w:color w:val="000000"/>
          <w:sz w:val="20"/>
          <w:lang w:val="en-US" w:eastAsia="en-US" w:bidi="ar-SA"/>
        </w:rPr>
        <w:t xml:space="preserve">, knowing those facts and having taken the </w:t>
      </w:r>
      <w:r>
        <w:rPr>
          <w:rFonts w:ascii="arial" w:eastAsia="arial" w:hAnsi="arial" w:cs="arial"/>
          <w:i/>
          <w:color w:val="000000"/>
          <w:sz w:val="20"/>
          <w:lang w:val="en-US" w:eastAsia="en-US" w:bidi="ar-SA"/>
        </w:rPr>
        <w:t>appropriate advice</w:t>
      </w:r>
      <w:r>
        <w:rPr>
          <w:rFonts w:ascii="arial" w:eastAsia="arial" w:hAnsi="arial" w:cs="arial"/>
          <w:color w:val="000000"/>
          <w:sz w:val="20"/>
          <w:lang w:val="en-US" w:eastAsia="en-US" w:bidi="ar-SA"/>
        </w:rPr>
        <w:t xml:space="preserve"> a reasonable person would seek on those facts, would regard those facts as showing that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include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learned trial judge indicated that, in his view, it made no difference whether the instant case was considered to be advanced in tort or contract. In fact, it </w:t>
      </w:r>
      <w:r>
        <w:rPr>
          <w:rFonts w:ascii="arial" w:eastAsia="arial" w:hAnsi="arial" w:cs="arial"/>
          <w:i/>
          <w:color w:val="000000"/>
          <w:sz w:val="20"/>
          <w:lang w:val="en-US" w:eastAsia="en-US" w:bidi="ar-SA"/>
        </w:rPr>
        <w:t>does</w:t>
      </w:r>
      <w:r>
        <w:rPr>
          <w:rFonts w:ascii="arial" w:eastAsia="arial" w:hAnsi="arial" w:cs="arial"/>
          <w:color w:val="000000"/>
          <w:sz w:val="20"/>
          <w:lang w:val="en-US" w:eastAsia="en-US" w:bidi="ar-SA"/>
        </w:rPr>
        <w:t xml:space="preserve"> make a difference. The reason it makes a difference is because s. 6(3)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does not permit an extension of time where the cause of action is one of contract. Therefore, Cammack is correct that the limitation period for a suit in contract expired six years after the Agreement was drafted. However, the learned trial judge, after making that comment, did proceed to deal with the question of Cammack's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did provide judgment on that basis. Cammack agrees that, by virtue of s. 6(3),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capable of having its running time postponed, if the provisions of 6(4) are met (which Cammack does not concede).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Cammack argues that the limitation period in this case should not have its running time postponed, and in that regard, relies upon </w:t>
      </w:r>
      <w:r>
        <w:rPr>
          <w:rFonts w:ascii="arial" w:eastAsia="arial" w:hAnsi="arial" w:cs="arial"/>
          <w:b/>
          <w:i/>
          <w:color w:val="000000"/>
          <w:sz w:val="20"/>
          <w:lang w:val="en-US" w:eastAsia="en-US" w:bidi="ar-SA"/>
        </w:rPr>
        <w:t>410727 B.C. Ltd. v. Dayhu Investments Ltd.</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(2004), 30 B.C.L.R. (4th) 157</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241 D.L.R. (4th) 467</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2004 BCCA 379</w:t>
        </w:r>
      </w:hyperlink>
      <w:r>
        <w:rPr>
          <w:rFonts w:ascii="arial" w:eastAsia="arial" w:hAnsi="arial" w:cs="arial"/>
          <w:color w:val="000000"/>
          <w:sz w:val="20"/>
          <w:lang w:val="en-US" w:eastAsia="en-US" w:bidi="ar-SA"/>
        </w:rPr>
        <w:t xml:space="preserve"> (leave to appeal to S.C.C. refused, </w:t>
      </w:r>
      <w:hyperlink r:id="rId898" w:history="1">
        <w:r>
          <w:rPr>
            <w:rFonts w:ascii="arial" w:eastAsia="arial" w:hAnsi="arial" w:cs="arial"/>
            <w:i/>
            <w:color w:val="0077CC"/>
            <w:sz w:val="20"/>
            <w:u w:val="single"/>
            <w:shd w:val="clear" w:color="auto" w:fill="FFFFFF"/>
            <w:lang w:val="en-US" w:eastAsia="en-US" w:bidi="ar-SA"/>
          </w:rPr>
          <w:t>[2004] S.C.C.A. No. 422</w:t>
        </w:r>
      </w:hyperlink>
      <w:r>
        <w:rPr>
          <w:rFonts w:ascii="arial" w:eastAsia="arial" w:hAnsi="arial" w:cs="arial"/>
          <w:color w:val="000000"/>
          <w:sz w:val="20"/>
          <w:lang w:val="en-US" w:eastAsia="en-US" w:bidi="ar-SA"/>
        </w:rPr>
        <w:t>) where the Court notes the following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in cases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example, the client's cause of action accrues, and the applicable limitation begins running, from the date of the client's "deprivation", whether or not "quantum of loss" can be determined at that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Cammack also draws to my attention </w:t>
      </w:r>
      <w:r>
        <w:rPr>
          <w:rFonts w:ascii="arial" w:eastAsia="arial" w:hAnsi="arial" w:cs="arial"/>
          <w:b/>
          <w:i/>
          <w:color w:val="000000"/>
          <w:sz w:val="20"/>
          <w:lang w:val="en-US" w:eastAsia="en-US" w:bidi="ar-SA"/>
        </w:rPr>
        <w:t>Bain v. Empire Life Insurance Co.</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(2004), 37 B.C.L.R. (4th) 1</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27 R.P.R. (4th) 64</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2004 BCSC 1577</w:t>
        </w:r>
      </w:hyperlink>
      <w:r>
        <w:rPr>
          <w:rFonts w:ascii="arial" w:eastAsia="arial" w:hAnsi="arial" w:cs="arial"/>
          <w:color w:val="000000"/>
          <w:sz w:val="20"/>
          <w:lang w:val="en-US" w:eastAsia="en-US" w:bidi="ar-SA"/>
        </w:rPr>
        <w:t>, where the Court notes the following at paras. 48 and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Whittemore did not recall Mr. and Mrs. Bain until he saw them during the examination for discovery in this litigation and he had only a vague recollection about their meeting in July 1994. He was forced to testify about his normal practice when giving independent legal advice with respect to reverse mortgages.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point is that, in the absence of these markings, Mr. Whittemore was forced to defend himself against a claim in respect of which he has no specific memory. This is not fair to Mr. Whittemore when his lack of memory has been caused by a 10 year passage of time. It is appropriate in these circumstances that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relieves him of the obligation to defend himself against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Cammack argues that Kavanagh had all the information that he needed on June 27, 1994. He had no additional information at the time he ultimately issued the Notice of Claim. He knew from the beginning what Clause 13 said. He read it. He had the opportunity to ask questions about it. He chose not to ask any. And that situation remained unchanged when he finally issued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Cammack's argument fails for the following reasons: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facts in this case necessarily invoke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Certain facts were not within Kavanagh's means of knowledge as a reasonable person until after MacGillivray had died, and indeed until the Estate lawyer told him that Clause 13 did not say what Kavanagh thought it said.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had gone to a professional to draft a "Death and Disability Clause" and he was perfectly entitled to believe that he had one, and it was reasonable to believe that he had one. That he was wrong about that was not something that a reasonable non-lawyer would have discovered by asking a professional. Kavanagh had already asked a professional - that professional was Cammack himself.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referred to in s. 6(4) are defined in s. 6(5) as including "that a breach of a duty caused ... loss to the plaintiff."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Cammack had a duty to act in a reasonably competent manner. He breached that duty and it caused damage to Kavanagh. The fact that damage was caused by that breach is a "fact" not within Kavanagh's means of knowledge at the time the Agreement was signed.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31 D.L.R. (4th) 481</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37 C.C.L.T. 117</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42 R.P.R. 161</w:t>
        </w:r>
      </w:hyperlink>
      <w:r>
        <w:rPr>
          <w:rFonts w:ascii="arial" w:eastAsia="arial" w:hAnsi="arial" w:cs="arial"/>
          <w:color w:val="000000"/>
          <w:sz w:val="20"/>
          <w:lang w:val="en-US" w:eastAsia="en-US" w:bidi="ar-SA"/>
        </w:rPr>
        <w:t>, the Court said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cause of action arises for purposes of a limitation period when the material facts on which it is based have been discovered or ought to have been discovered by the plaintiff by the exercise of due diligence. ... There is no principled reason, in my opinion, for distinguishing in this regard between an action for injury to property and an action for the recovery of purely financial loss caused by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expired limitation argument fails. The running of time with respect to the limitation period did not commence until after the date of MacGillivray's death. Therefore, the Notice of Claim was brought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ERROR REGARDING THE DRAFTING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trial judge held that Kavanagh gave Cammack clear instructions with respect to Clause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Cammack argues that Kavanagh's testimony with respect to these instructions is contradictory. He argues that Kavanagh, during his direct examination, indicated that he provided Cammack with notes drawn up by his father and himself as to what they wanted in the Agreement. The notes simply indicate "Death and Disability Clause." Kavanagh testified that he explained to Cammack that this meant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he nor MacGillivray wished to continue in an ownership relationship with the other's estate;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one party died, the Agreement would be terminated, the property would be sold and the survivor would have a right to purchase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Cammack argues that, if upheld, the implications of this judgment will have far reaching effects on solicitors' work by lawyers and notaries public. The implications will essentially be that drafters of documents must guarantee that documents will successfully achieve their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cross-examination, Cammack argues, Kavanagh admitted that Cammack was not specifically instructed to include a provision that the property was to be appraised as of the date of death and sold accordingly. This evidence by Kavanagh is contrary to the conclusion reached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judge held that Cammack had no present memory of the drafting of the Agreement. He had no way of confirming or denying the testimony of Kavanagh with respect to his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Cammack argues that these deficiencies in Kavanagh's testimony are sufficiently serious that it was an error for the trial judge to find that clear instructions had been given, particularly since it was impossible for Cammack to defend himself against it, given the amount of time that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Cammack points out a portion of the transcript of the trial where Kavanagh seems to suggest that he did not specifically instruct Cammack to include a provision that the property was to be appraised as of the date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clear on a reading of Kavanagh's evidence that he is not a lawyer, and was not able to answer questions about the Agreement like a lawyer would. It is also clear that he is not a professional witness and he gave lengthy and wordy answers that quickly veered off topic. It is sometimes difficult to glean precisely what Kavanagh was intending to 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Nevertheless, the judge clearly found Kavanagh to be credible and it was open to him to infer from the totality of Kavanagh's evidence that he did give Cammack sufficient instructions for Cammack to understand what was being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 the judge concluded from the evidence of Roy Cammack that he understood that he had been given the necessary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it was open for the judge to draw the impugned inference from the evidence of both Kavanagh and Cammack, and he was not in error in doing so. In fact, I agree with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would add that, if Cammack did not receive sufficient instructions from Kavanagh, it was Cammack's duty to ask sufficient questions so that Kavanagh would understand that the instructions were deficient and needed to be corrected or expanded upon. The failure to ask these questions would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own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 I reject the argument of Cammack that the wide-ranging implications of this judgment will be that drafters of documents must essentially guarantee perfection. The only implication to be drawn is that documents should be drafted intelligibly, in accordance with the instructions given, and in a manner comprehensible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ERROR IN FINDING THAT CAMMACK'S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KAVANAGH'S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Cammack does not argue that the trial judge erred in finding him negligent. Clause 13 is simply unintelligible.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However, even accepting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Cammack argues that Kavanagh's losses did not flow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Cammack argues that Kavanagh's losses are the result of various factors that have nothing to do with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specifically:</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delay in purchasing the property (resulting in an increased value and therefore an increased purchase price), was not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trial judge concluded that, if Clause 13 had been properly drafted, Kavanagh would have been able to purchase the property at an earlier time, and therefore a lower price. However, the evidence does not bear this out. In fact, Kavanagh would not necessarily have been able to purchase the property at an earlier time even if Clause 13 had been properly drafted. In that event, he still would have had to deal with the Estate. MacGillivray was the legal owner of the property; Kavanagh was not. Kavanagh had no control over the position that the Estate might take with respect to the Agreement. The only way this could have been avoided would have been if MacGillivray and Kavanagh had been registered as joint owners.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Kavanagh testified that if Clause 13 had been properly drafted, it would have been a simple matter to contact the Estate, arrange for an appraisal, and make the purchase at the earlier, and therefore lower price. However, Kavanagh did not obtain an appraisal until almost a year after MacGillivray's death in December of 2003. Even then, he did not make an offer until February 27, 2004. The appraiser evaluated the property as of the date of the appraisal. It is not the result of Cammack's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Kavanagh failed to do what he could have done, that is, obtain a much earlier appraisal. Only Kavanagh is responsible for this failure.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arbitrator's choosing of the valuation date as the date of the appraisal, results in the largest portion of the damages awarded. Kavanagh could have, and should have, appealed that decision, rather than look to Cammack's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remedy.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contains an arbitration clause. A court must presume that this clause was included for the same reason that arbitration clauses are always included - because the possibility of disputes are anticipated. In fact, that is what occurred. Consequently, the Agreement functioned precisely as it was designed to, and as Kavanagh expected it to.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Kavanagh caused or contributed to his own losses by signing the Agreement without understanding Clause 13. Some or all of that loss should have been apportioned by the trial judge to Kavanagh. Cammack claimed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argues that the trial judge was wrong to have rejected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trial judge concluded as follows at para. 64 of his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the clause been drafted in accordance with the instructions given to Cammack, the plaintiff would have been able to complete the purchase of the house within a reasonably short time of February 2003. No arbitration would have been required .... Had the clause been drafted properly there would have been no need to consult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addition, there is evidence from Kavanagh explaining his delay in obtaining an appraisal, which flowed directly from the incomprehensible Clause 13 and his attempts to determine what needed to be done, including discussions with the Estate lawyer and with Roy Cammack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unable to conclude that the trial judge was wrong in coming to those conclusions and there is no reason to disagree with him. In fact, I agree with him. This ground of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ERROR IN RELYING ON HEARSAY EVIDENCE FROM KAVANAGH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Cammack argues that the trial judge erred in relying upon hearsay evidence from Kavanagh about what he had been told by the lawyer for the Estate. That lawyer was not called as a witness. The trial judge accepted, through the evidence of Kavanagh, that he had been told by the Estate lawyer that Clause 13 was incomprehensible and would not be enforced by a court. I would agree with this argument of Cammack if the trial judge, in accepting that evidence from Kavanagh, then used the evidence to assist him in determining whether or not Clause 13 was properly drafted. If the judge used the evidence for that purpose, it would be hearsay, and would be inadmissible (subject only to s. 16 of the </w:t>
      </w:r>
      <w:r>
        <w:rPr>
          <w:rFonts w:ascii="arial" w:eastAsia="arial" w:hAnsi="arial" w:cs="arial"/>
          <w:b/>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for its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it is clear that the trial judge did not use the evidence for that purpose, nor did he have any need to. There was a plethora of evidence from which the judge could conclude that Clause 13 was negligently drafted and incomprehensible, without the need to rely on the hearsay opinion of the Estate lawyer. The judge found that evidence in the testimony of Kavanagh himself, in the testimony of Roy Cammack himself, and most importantly, in his own reading of Clause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Nevertheless, the comments of the Estate lawyer were admissible for a different purpose, which was not a hearsay purpose, because the truth or accuracy of what the lawyer said was not relevant for this purpose. That purpose was the effect that the words had upon Kavanagh. Those words from the Estate lawyer explained Kavanagh's subsequent actions and the reason, or at least part of the reason, for his delay in proceeding quickly to obtain an appraisal and purchase the property. For this purpose, it does not matter whether or not the Estate lawyer's words were correct or true; it only matters that Kavanagh believed them. They are properly admissible for that purpose; indeed, they are not even properly described as hearsay when admitted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addition, that evidence, even if hearsay, may be admitted in a trial in Provincial Court by virtue of s. 16(1) of the </w:t>
      </w:r>
      <w:r>
        <w:rPr>
          <w:rFonts w:ascii="arial" w:eastAsia="arial" w:hAnsi="arial" w:cs="arial"/>
          <w:b/>
          <w:i/>
          <w:color w:val="000000"/>
          <w:sz w:val="20"/>
          <w:lang w:val="en-US" w:eastAsia="en-US" w:bidi="ar-SA"/>
        </w:rPr>
        <w:t>Small Claims Act</w:t>
      </w:r>
      <w:r>
        <w:rPr>
          <w:rFonts w:ascii="arial" w:eastAsia="arial" w:hAnsi="arial" w:cs="arial"/>
          <w:color w:val="000000"/>
          <w:sz w:val="20"/>
          <w:lang w:val="en-US" w:eastAsia="en-US" w:bidi="ar-SA"/>
        </w:rPr>
        <w:t>, which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Provincial court may admit as evidence in a proceeding under this Act or the rules any oral or written testimony, record or other thing that the court considers is credible or trustworthy and is relevant to the matter being heard, even though the testimony, record or other thing is not admissible as evidence in any other court under the laws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the trial judge did not err in considering this evidence. In fact, I agree with his decision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ERROR IN FINDING THAT THE APPELLANT HAD PROPERLY PROVEN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Cammack argues that: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did not provide proper evidence of the increase in value of the property from the date of MacGillivray's death to the appraisal in December of 2003. The appraisals were not entered into evidence. The only evidence of the value of the property was in the arbitrator's award. This is insufficient for the trial judge to have relied upon it.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did not provide receipts and/or cancelled cheques for monies he claimed were paid to lawyers he consulted and for the arbitration fees.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testified that he had not paid $339.79 that was owed to the arbitrator and formed part of his claim. This amount was still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my view, the trial judge was entitled to consider the evidence which was before him as credible and trustworthy and relevant, and capable of being relied upon to prove the facts which the judge concluded were proved: </w:t>
      </w:r>
      <w:r>
        <w:rPr>
          <w:rFonts w:ascii="arial" w:eastAsia="arial" w:hAnsi="arial" w:cs="arial"/>
          <w:b/>
          <w:i/>
          <w:color w:val="000000"/>
          <w:sz w:val="20"/>
          <w:lang w:val="en-US" w:eastAsia="en-US" w:bidi="ar-SA"/>
        </w:rPr>
        <w:t>Small Claims Act</w:t>
      </w:r>
      <w:r>
        <w:rPr>
          <w:rFonts w:ascii="arial" w:eastAsia="arial" w:hAnsi="arial" w:cs="arial"/>
          <w:color w:val="000000"/>
          <w:sz w:val="20"/>
          <w:lang w:val="en-US" w:eastAsia="en-US" w:bidi="ar-SA"/>
        </w:rPr>
        <w:t>, s. 16. In my view, the learned judge did not err in satisfying himself that the evidence with respect to damages was sufficient. Both he and counsel for Cammack questioned Kavanagh at great length regarding his damages and the Court received into evidence copies of the arbitrator's report, which included the arbitrator's fees which were required to be paid, and the invoices for legal fees. None of the foregoing was objected to at trial by counsel for Cammack.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the trial judge did not err in concluding that the evidence was sufficient to prove the damages. In fact, I agree with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ERROR IN THE CALCULATION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Cammack argues that the trial judge erred in calculating the interest due on the amount of the judgment. He awarded court ordered interest on $20,000 from June 1, 2003 until the date of judgment. He further ordered court ordered interest on $5,000 from September 1, 2004 to the date of judgment. He gave no reason for the selection of these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Kavanagh testified that he did not purchase the property until September of 2004. The amount paid at that time would include the $20,000 in damages he was found to have suffered as a result of the improper drafting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Kavanagh agrees that the trial judge may have erred in the choosing of the dates from which he awarded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the trial judge did err on this point with respect to the date of June 1, 2003. It is not clear why that date was chosen, and consequently, it is not clear why the error occurred. In fact, the evidence indicates that the purchase of the property occurred in September of 2004, and in my view, the interest on the $20,000, which is attributable to the loss arising from the increase in the value of the property, should commence at the time of that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not clear from the evidence when in September that purchase occurred. The burden was on Mr. Kavanagh at trial to provide that evidence and he failed to do so. The failure to prove that will devolve to the benefit of Cammack. Consequently, interest on the $20,000 will be calculated from September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interest with respect to the $5,000 will remain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TRIAL JUDGE'S CONDUCT INDICATES A REASONABLE APPREHENSION OF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Cammack argues as follows:</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conceded that it is sometimes necessary for a judge to intervene in order to focus unrepresented litigants on the important issues and where it is necessary to maintain some control over the proceedings.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overstepped the bounds in his vigorous cross-examination of Cammack. It shows that he was not intervening solely to keep the proceedings on track.</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cross-examined Cammack on Clause 13, the key issue in the case. He intervened very early during Kavanagh's unrepresented attempts to cross-examine Cammack. This intervention appears to be for reasons other than to simply provide focus to Kavanagh's questions. Rather, the judge took over the cross-examination.</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judge's method of questioning was unfair to Cammack as he often cut him off before he completed his answers.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judge's cross-examination that provided the basis for his finding of a breach of duty against Cammack.</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made a number of comments during the trial that indicated he had pre-judged the case, including: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"It's not the most elegantly drafted clause I have ever seen."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"Well, it's now clear that there was a line put into that clause inadvertently."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"Simply because clause 13, we know, is unintelligible."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"Insult to injury, as far as you're concerned."</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did not rule on most of the issues raised by Cammack. Specifically, he did not rule on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Supreme Court of Canada confirmed the test for a reasonable apprehension of bias in </w:t>
      </w:r>
      <w:r>
        <w:rPr>
          <w:rFonts w:ascii="arial" w:eastAsia="arial" w:hAnsi="arial" w:cs="arial"/>
          <w:b/>
          <w:i/>
          <w:color w:val="000000"/>
          <w:sz w:val="20"/>
          <w:lang w:val="en-US" w:eastAsia="en-US" w:bidi="ar-SA"/>
        </w:rPr>
        <w:t>R. v. S.(R.D.)</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151 D.L.R. (4th) 193</w:t>
        </w:r>
      </w:hyperlink>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118 C.C.C. (3d) 353</w:t>
        </w:r>
      </w:hyperlink>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 Admin. L.R. (3d) 74</w:t>
        </w:r>
      </w:hyperlink>
      <w:r>
        <w:rPr>
          <w:rFonts w:ascii="arial" w:eastAsia="arial" w:hAnsi="arial" w:cs="arial"/>
          <w:color w:val="000000"/>
          <w:sz w:val="20"/>
          <w:lang w:val="en-US" w:eastAsia="en-US" w:bidi="ar-SA"/>
        </w:rPr>
        <w:t xml:space="preserve"> at 530: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apprehension of bias must be a reasonable one, held by reasonable and right-minded persons, applying themselves to the question and obtaining thereon the required information. ... [The] test is "what would an informed person, viewing the matter realistically and practically - and having thought the matter through - conclude.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Kavanagh argues as follows:</w:t>
      </w:r>
      <w:r>
        <w:rPr>
          <w:rFonts w:ascii="arial" w:eastAsia="arial" w:hAnsi="arial" w:cs="arial"/>
          <w:sz w:val="20"/>
          <w:lang w:val="en-US" w:eastAsia="en-US" w:bidi="ar-SA"/>
        </w:rPr>
        <w:cr/>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did not display any reasonable apprehension of bias against Cammack.</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even if he did do so, he was even-handed about it, in that he demonstrated at least an equal apprehension of bias against Kavanagh, for example: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I've looked at the pleadings. It seemed too, Mr. Kavanagh, that you have some significant hurdles to get over.</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proceeded to criticize Mr. Kavanagh on a number of occasions for getting ahead of himself, for being disorganized, not being prepared, and indicated, at certain times during the trial, each of the following to Mr. Kavanagh:</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asking him questions was "like pulling teeth";</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a "bad listener";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if you are going over what I have already asked ... O.K., then don't depress me;"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visions of dead horses ... floating through my brain ... and you wielding a huge whip;"</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Reasons for Judgment, referring to Kavanagh as "long-winded, if nothing else."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Kavanagh describes, in his written argument, the trial judge as having "his own unique style," and argues that he "may have been somewhat crusty' in his approach to the litigants, [however] he was equally crusty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While I am not prepared to adopt the suggestion that the judge may have been "crusty," I think that describing him has having "his own unique style" is a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view those remarks by the trial judge as attempts to inject some informality and light-heartedness in to the proceedings, which is sometimes successful and sometimes misunderstood. Nevertheless, on a full reading of the transcript, these comments do not, in my view, suggest any apprehension of bias whatsoever, against either party. With respect to at least some of them, I would even go so far as to say the judge was successful in providing some levity to the proceedings, which in some cases will make litigants feel more comfortable, and is often a good thing. This is one of those cases where, in my view, it was a good thing which was not considered to be in any way a comment suggesting partiality at the time the comments were made. Rather, it seems to me that these come as afterthoughts by counsel reading the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difficulty of judges in conducting trials involving one self-represented litigant is difficult, delicate, and requires a balancing of interests which is made all the more difficult because the judge is invariably unsure of what evidence is still to come. In this case, the judge attempted to balance the necessary interests, including those of the unrepresented litigant to have some assistance, against those of the other party, who is entitled to expect the judge to not become an advocate for the unrepresented litigant. In my view, the judge balanced these interests well and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Having "his own unique style" does not translate into an apprehension of bias. In my view, there is no apprehension of bias which could possibly be gleaned from the transcript of these proceedings when considered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ERROR IN IMPROPERLY CONSIDERING INCONSISTENT SWORN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Cammack argues as follows: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challenged in cross-examination, Kavanagh changed his testimony regarding his instructions to Cammack as to who was to be put on the title to the property when the Agreement was entered into. During his direct evidence, he testified that it was part of Cammack's retainer that both interests were to be registered. During his cross-examination, he resiled from this testimony when challenged by counsel for Cammack and the Court.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Kavanagh filed a caveat in or about 2001, at which time he and the deceased verbally agreed to change their beneficial split in the property to 70/30 in his favour. In cross-examination, he said that they had "discussions" about changing the split but "they never really got down to it." He later testified that the Agreement remained unchanged since 1994.</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should have examined Kavanagh's credibility more closely. This is because the central issue was the instructions given to Cammack with respect to Clause 13. The only evidence regarding these instructions came from Kavanagh's conflicting testimony. In light of his inconsistent sworn testimony illustrated above, his evidence should have been found insufficient to prove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the learned trial judge properly considered all of the evidence and was entitled to make the findings of credibility that he did make. I can see nothing that can entitle me to conclude that he has erred, or that I should interfere with his findings. In fact, I agree with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appeal is allowed only to the extent that the date for the commencement of calculating interest is changed from June 1, 2003, to September 30, 2004, with respect to $20,000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balance of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With respect to costs, this is an appropriate case for the exercise of my discretion under R. 57(15)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to reflect the success of Cammack on the issue of interest, but not on any of the other issues. I estimate the interest issue to have reflected 10% of the time spent on written and oral argument. Consequently, Cammack will be responsible for 90% of all costs; Kavanagh, for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8" w:history="1">
        <w:r>
          <w:rPr>
            <w:rFonts w:ascii="arial" w:eastAsia="arial" w:hAnsi="arial" w:cs="arial"/>
            <w:b/>
            <w:bCs/>
            <w:i/>
            <w:color w:val="0077CC"/>
            <w:kern w:val="32"/>
            <w:sz w:val="28"/>
            <w:szCs w:val="32"/>
            <w:u w:val="single"/>
            <w:shd w:val="clear" w:color="auto" w:fill="FFFFFF"/>
            <w:lang w:val="en-US" w:eastAsia="en-US" w:bidi="ar-SA"/>
          </w:rPr>
          <w:t>Chambers v. Lyons, [2000] B.C.J. No. 1288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Nitikman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 and 16,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S029048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C.P.C. (4th)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787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Marilyn Chambers, plaintiff, and Phillip Leroy Lyons, Consolidated Freightways Corporation of Delaware, British Columbia Hydro and Power Authority, Her Majesty the Queen in Right of the Province of British Columbia, District of Surrey and Royal Canadian Mounted Police,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6" w:name="Keywords_33"/>
      <w:bookmarkEnd w:id="226"/>
      <w:r>
        <w:rPr>
          <w:rFonts w:ascii="arial" w:eastAsia="arial" w:hAnsi="arial" w:cs="arial"/>
          <w:b/>
          <w:color w:val="000000"/>
          <w:sz w:val="20"/>
          <w:lang w:val="en-US" w:eastAsia="en-US" w:bidi="ar-SA"/>
        </w:rPr>
        <w:t>Practice — Pleadings — Amendment of pleadings — Statement of claim — Crown — Torts by and against Crown — Liability of Crown for acts of servants — Practice —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7" w:name="Case Summary_33"/>
            <w:bookmarkEnd w:id="2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Chambers to amend her statement of claim. Chambers was severely injured in a motor vehicle accident in December 1993 at an intersection. There was a power outage and the traffic lights were not working. Chambers commenced her action in April 1994. Her counsel later learned that the owner of the tractor-trailer was different that the one named in the statement of claim. He issued a new writ and statement of claim in December 1995. It named Lyons, Consolidated, British Columbia Hydro, the Queen in Right of British Columbia and the Royal Canadian Mounted Police as defendants. Paragraph 1 of the statement of claim provided that the collision was caused jointly and severally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Chambers's counsel was advised that the RCMP was not a legal entity and a notice of discontinuance was filed against it and BC Hydro. In the Spring of 1999, Chambers's counsel learned that the Ministry of Transportation and Highways was responsible for maintaining the traffic lights and that early in the morning on the day of the accident, the Ministry had contacted the contractor responsible for maintaining the highway and advised it of the power outage. Neither the Ministry nor the contractor notified the RCMP, which allegedly took over control of the intersections when there was a power outage and the like. Chambers sought to amend the statement of claim by adding that by virtue of an agreement between the Queen and the RCMP, the Queen was at all material times jointly and severally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RCMP officers. She also sought to amend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paragraph 11. One issue was whether the legal entity liable for any negligent acts of RCMP officers was the Queen or the Attorney General of British Columbia.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8" w:name="Holdings of Court_29"/>
            <w:bookmarkEnd w:id="228"/>
            <w:r>
              <w:rPr>
                <w:rFonts w:ascii="arial" w:eastAsia="arial" w:hAnsi="arial" w:cs="arial"/>
                <w:color w:val="000000"/>
                <w:sz w:val="20"/>
                <w:lang w:val="en-US" w:eastAsia="en-US" w:bidi="ar-SA"/>
              </w:rPr>
              <w:t>HELD: Application to add paragraphs 5 and 9C was dismissed without prejudice to Chambers's right to bring an application to join the Attorney General of British Columbia and to amend the statement of claim by Adding the paragraphs that referred to the Attorney General.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other amendments were allowed. Pursuant to section 14 of the Police Act, the Minister and not the Queen was jointly and severally liable for torts committed by the RCMP.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9" w:name="Legislation Cited_21"/>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Proceeding Act, R.S.B.C. 1979, c. 86, ss. 2,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S.B.C. 1988, c. 53, ss. 2, 3, 5, 11, 11(1), 11(3), 14, 15, 16, 21, 21(1)(4)(c).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0" w:name="Counsel_33"/>
      <w:bookmarkEnd w:id="2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 Hayman, for the plaintiff. T. MacLachlan, for Her Majesty the Queen in Right of B.C. H. Roberts, for RCMP/Department of Justice. P. Armitage, for Phillip Lyons and Consolidated Freightways.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33"/>
      <w:bookmarkEnd w:id="231"/>
      <w:r>
        <w:pict>
          <v:line id="_x0000_s1199"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6"/>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MASTER NITIKMAN"/>
            <w:bookmarkEnd w:id="232"/>
            <w:r>
              <w:rPr>
                <w:rFonts w:ascii="arial" w:eastAsia="arial" w:hAnsi="arial" w:cs="arial"/>
                <w:b/>
                <w:color w:val="000000"/>
                <w:sz w:val="30"/>
                <w:lang w:val="en-US" w:eastAsia="en-US" w:bidi="ar-SA"/>
              </w:rPr>
              <w:t>MASTER NITIKMAN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the plaintiff's application to amend her statement of claim as per Schedule A attached to her Notice of Motion filed August 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severely injured in a motor vehicle accident that occurred in the early morning hours of December 4, 1993, at the intersection of Highway 15 (176th St.) and 24th Avenue, in Surrey, British Columbia. The intersection is normally controlled by traffic lights but on the date and at the time in question there was a power outage and the traffic lights were not working. The collision occurred when the plaintiff's vehicle, proceeding through the intersection westbound on 24th Avenue, was struck by a tractor-trailer unit travelling northbound on 176th Street. The trailer was driven by Phillip Lyons.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commenced an action in April 1994 naming as defendants, Phillip Lyons, Chrysler Canada Ltd. (as owner of the tractor-trailer unit), Her Majesty the Queen in Right of British Columbia ("HMQ/BC") and the City of Surrey. It appears that no statement of claim was ever filed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Plaintiff's counsel learned later that the owner of the tractor-trailer unit was not Chrysler Canada Ltd. but Consolidated Freightways Corporation of Delaware. Counsel chose to issue a new writ and statement of claim rather than amend the original. The new writ, issued in December, 1995, named as defendants, Phillip Lyons, Consolidated Freightways Corporation of Delaware, British Columbia Hydro and Power Authority, Her Majesty the Queen in Right of the Province of British Columbia, the District of Surrey and the Royal Canadian Mounted Police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 11 of the statement of Claim contains the allegations that are relevant to the present application to amend:</w:t>
      </w:r>
      <w:r>
        <w:rPr>
          <w:rFonts w:ascii="arial" w:eastAsia="arial" w:hAnsi="arial" w:cs="arial"/>
          <w:sz w:val="20"/>
          <w:lang w:val="en-US" w:eastAsia="en-US" w:bidi="ar-SA"/>
        </w:rPr>
        <w:cr/>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said collision was caused jointly and severally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PHILLIP LEROY LYONS, BRITISH COLUMBIA HYDRO AND POWER AUTHORITY, HER MAJESTY THE QUEEN IN RIGHT OF THE PROVINCE OF BRITISH COLUMBIA, DISTRICT OF SURREY and ROYAL CANADIAN MOUNTED POLICE, particulars of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PHILLIP LEROY LYONS:...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[allegations (a) to (f) against Phillip Lyons are omitted because they are not relevant to the issues before the court in this proceeding.]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BRITISH COLUMBIA HYDRO AND POWER AUTHORITY:...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[allegations (a) to (d) against BC Hydro are omitted as irrelevant]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HER MAJESTY THE QUEEN IN RIGHT OF THE PROVINCE OF BRITISH COLUMBIA, DISTRICT OF SURREY and ROYAL CANADIAN MOUNTED POLICE: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post warning signs, temporary traffic/stop signs or other device(s) to indicate a right-of-way or to warn of malfunctioning traffic lights at the intersection of 24 Avenue and 176 Street;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such measures as were reasonably necessary to ensure safe travel by the public while crossing the intersection of 24 Avenue and 175 Street;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close the said highway to uses thereof when existing conditions were known, or ought to have been known, to be hazardous;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feasance and non-feasance, particulars of which will be provided prior at [sic]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EVENTS LEADING TO THE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Plaintiff's counsel was advised that the RCMP was not a legal entity and was therefore not a proper defendant. Accordingly, on October 1, 1997 the plaintiff filed a notice of discontinuance against the RCMP. On September 4, 1998, plaintiff's counsel filed a notice of discontinuance against B.C. Hydro.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spring of 1999, through interrogatories served on HMQ/BC and an examination for discovery of a representative of HMQ/BC, plaintiff's counsel learned that the Ministry of Transportation and Highways ("MOTH") was responsible for maintaining traffic lights at the intersection where the accident occurred. Counsel learned that early in the morning on the date in question MOTH had contacted the contractor responsible for maintaining the highway and advised of the power outage.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MOTH, in conditions such as power outages and the like, it is historically the RCMP that takes over control of the intersections. On this occasion, however, neither MOTH nor the contractor notified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seeks to amend the statement of claim by adding the following paragraph:</w:t>
      </w:r>
      <w:r>
        <w:rPr>
          <w:rFonts w:ascii="arial" w:eastAsia="arial" w:hAnsi="arial" w:cs="arial"/>
          <w:sz w:val="20"/>
          <w:lang w:val="en-US" w:eastAsia="en-US" w:bidi="ar-SA"/>
        </w:rPr>
        <w:cr/>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virtue of an agreement entered into between HER MAJESTY THE QUEEN IN THE RIGHT OF THE PROVINCE OF BRITISH COLUMBIA and the Royal Canadian Mounted Police pursuant to Sections 2,3,5,11,14,15, and 16 of the Police Act, S.B.C. 1998, and amendments thereto, the Defendant, HER MAJESTY THE QUEEN IN THE RIGHT OF THE PROVINCE OF BRITISH COLUMBIA, was also at all material times jointly and severally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Officers of the Royal Canadian Mounted Police (hereinafter "the R.C.M.P.") who were responsible to carry out their duties within the District of Surrey, in the Province of British Columbia, as members of a Provincial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also seeks to amend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paragraph 11 of the original statement of claim to read as follows: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Collision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PHILIP LEROY LYONS, HER MAJESTY THE QUEEN IN RIGHT OF THE PROVINCE OF BRITISH COLUMBIA and R.C.M.P. officers working in the District of Surrey and each of them, particulars of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PHILLIP LEROY LYONS:...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HER MAJESTY THE QUEEN IN THE RIGHT OF THE PROVINCE OF BRITISH COLUMBIA:</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post or erect warning signs, temporary traffic/stop signs or other device(s) to indicate a right-of-way or to warn of malfunctioning traffic lights at the intersection of 24 Avenue and 176 Street;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such measures as were reasonably necessary to ensure safe travel by the public while crossing the intersection of 24 Avenue and 175 Street;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close the said highway to uses thereof when existing conditions were known, or ought to have been known, to be hazardous;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devise and implement practices to ensure the safety of motorists at intersections controlled by traffic lights during the power outage;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prompt communication of the occurrence of the power outage between the Ministry of Highways and the local R.C.M.P. department;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identify the significant hazard posed by the power outage, because of the use of 176th Street by freightliners, the heavy volume of traffic in the area of the power outage, the extended duration of the power outage and the limited visibility during the power outage and failing to take reasonable measures to avoid accidents in circumstances where there was a foreseeably high risk of accidents because of the power outage;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feasance and non-feasance, particulars of which will be provided prior at [sic] the trial of this action.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R.C.M.P. officers for whose negligent acts while acting within the scope of their duties as R.C.M.P. officers the Defendant, HER MAJESTY THE QUEEN IN THE RIGHT OF THE PROVINCE OF BRITISH COLUMBIA is liable: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post or erect warning signs, temporary traffic/stop signs or other device(s) to indicate a right-of-way or to warn of malfunctioning traffic lights at the intersection of 24 Avenue and 176 Street;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such measures as were reasonably necessary to ensure safe travel by the public while crossing the intersection of 24 Avenue and 175 Street;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close the said highway to uses thereof when existing conditions were known, or ought to have been known, to be hazardous;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devise and implement practices to ensure the safety of motorists at intersections controlled by traffic lights during the power outage;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prompt communication of the occurrence of the power outage between the Ministry of Highways and the local R.C.M.P. department;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identify the significant hazard posed by the power outage, because of the use of 176th Street by freightliners, the heavy volume of traffic in the area of the power outage, the extended duration of the power outage and the limited visibility during the power outage and failing to take reasonable measures to avoid accidents in circumstances where there was a foreseeably high risk of accidents because of the power outage.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amendments in paragraph 9(A) 9(B) of the proposed amended statement of claim are not opposed. Likewise the proposed amendments that provide further particulars of the plaintiff's injuries are not opposed. The proposed amendments that are in issue are those set out in paragraph 5 and paragraph 9(C) of the draft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issues raised by the plaintiff's application are as follows:</w:t>
      </w:r>
      <w:r>
        <w:rPr>
          <w:rFonts w:ascii="arial" w:eastAsia="arial" w:hAnsi="arial" w:cs="arial"/>
          <w:sz w:val="20"/>
          <w:lang w:val="en-US" w:eastAsia="en-US" w:bidi="ar-SA"/>
        </w:rPr>
        <w:cr/>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legal entity liable for any negligent acts of RCMP officers in connection with this matter is Her Majesty The Queen in Right of the Province of British Columbia or the Attorney General of British Columbia;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is necessary to identify specific police officers whose negligent acts are alleged to form the basis for vicarious liability;</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amendments would result in the loss of a limitation defence or would result in other prejudice to the defendants;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relevance, if any, of the notice of discontinuance filed by the plaintiff's former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plaintiff submits HMQ/BC is liable for the negligent acts of the RCMP officers and is the proper party to be named. Counsel for HMQ/BC submits it is the Attorney General for British Columbia ("the AG/BC") who is the proper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opinion, the answer to this issue is found in s. 11 of the Police Act, S.B.C. 1988, Chap. 53 ("the Act"), which provides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The minister, on behalf of the Province,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jointly and severally liable for torts committed by</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constables, auxiliary constables and special provincial constables, in the performance of their duties,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constables and special municipal constables in the performance of their duties when acting in other than the municipality where they normally perform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minister" in this case is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14 of the Act provides, among other things, that the minister may enter into an agreement with Canada, or with a department, agency or person on its behalf, authorizing the RCMP to carry out powers and duties of the provincial police force specified in the agreement. Where an agreement is entered into under subsection the RCMP are deemed to be a provincial police force. Accordingly, under section 11, the minister is jointly and severally liable for torts committed by the RCMP provided an agreement was entered into under section 14. In the case at Bar, there is no dispute that there was such an agreement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21 of the Act is significant because it absolves individual constables of liability for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their duties but does not absolve the minister of vicarious liability where s. 11 applies. The material parts of that section read as follows: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in the performance or intended performance of his duty or in the exercise of his power or for any alleged neglect or default in the performance or intended performance of his duty or exercise of his power.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provide a defence where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absolve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in a case to which section 11 applies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from vicarious liability arising out of a tort committed by the constable or other person appointed under this Act for which the municipality, the regional district or the minister, as the case may be, would have been liable had this section not been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Plaintiff's counsel submits that the allegations concerning the failure of the police force to take reasonable measures to protect the plaintiff give rise to liability on the part of HMQ/BC pursuant to sections 2 and 7 of the Crown Proceeding Act, R.S.B.C. 1979 Chap. 86. She submits that the Crown Proceeding Act "governs" section 11 of the Police Act. By "govern", I understand her to mean that the Crown Proceeding Act takes precedence over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2 of the Crown Proceeding Act states: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this Act,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 against the Crown by way of petition of right is abolished;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against the Crown that, if this Act had not been passed, might be enforced by petition of right, subject to the grant of a fiat by the Lieutenant Governor, may be enforced as of right by proceeding against the Crown in accordance with this Act, without the grant of a fiat by the Lieutenant Governor;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is subject to all those liabilities to which it would be liable if it were a person;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indemnity and contribution is enforceable by and against the Crown for any liability to which it is subject, as if the Crown were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 7 states: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under this Act, the Crown shall be designated "Her Majesty the Queen in right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opinion, neither section 2 nor section 7 of the Crown Proceeding Act is very helpful. Section 2 does not impose vicarious liability upon HMQ/BC for negligent acts of the RCMP. Section 7 merely begs the question: Are proceedings properly brought under the Crown Proceeding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HMQ/BC refers to subsections 21(1)(4)(c), and specifically subsection 11(3) of the Police Act and submits that these sections constitute their own code. He says they are specific provisions that override the general provisions in the Crown Proceeding Act. He submits that there would be no need for s. 11(3) of the Police Act if the Crown Proceeding Act governed.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Plaintiff's counsel cites the following cases as authority for the proposition that HMQ/BC is the proper defendant in this action: Buckmeier v. Creyke </w:t>
      </w:r>
      <w:hyperlink r:id="rId909" w:history="1">
        <w:r>
          <w:rPr>
            <w:rFonts w:ascii="arial" w:eastAsia="arial" w:hAnsi="arial" w:cs="arial"/>
            <w:i/>
            <w:color w:val="0077CC"/>
            <w:sz w:val="20"/>
            <w:u w:val="single"/>
            <w:shd w:val="clear" w:color="auto" w:fill="FFFFFF"/>
            <w:lang w:val="en-US" w:eastAsia="en-US" w:bidi="ar-SA"/>
          </w:rPr>
          <w:t>(1998) 19 C.P.C. (4th) 31</w:t>
        </w:r>
      </w:hyperlink>
      <w:r>
        <w:rPr>
          <w:rFonts w:ascii="arial" w:eastAsia="arial" w:hAnsi="arial" w:cs="arial"/>
          <w:color w:val="000000"/>
          <w:sz w:val="20"/>
          <w:lang w:val="en-US" w:eastAsia="en-US" w:bidi="ar-SA"/>
        </w:rPr>
        <w:t xml:space="preserve"> (B.C.S.C.) (Master) and Johnson v. Damien </w:t>
      </w:r>
      <w:hyperlink r:id="rId910" w:history="1">
        <w:r>
          <w:rPr>
            <w:rFonts w:ascii="arial" w:eastAsia="arial" w:hAnsi="arial" w:cs="arial"/>
            <w:i/>
            <w:color w:val="0077CC"/>
            <w:sz w:val="20"/>
            <w:u w:val="single"/>
            <w:shd w:val="clear" w:color="auto" w:fill="FFFFFF"/>
            <w:lang w:val="en-US" w:eastAsia="en-US" w:bidi="ar-SA"/>
          </w:rPr>
          <w:t>[1998] B.C.J. No. 2270</w:t>
        </w:r>
      </w:hyperlink>
      <w:r>
        <w:rPr>
          <w:rFonts w:ascii="arial" w:eastAsia="arial" w:hAnsi="arial" w:cs="arial"/>
          <w:color w:val="000000"/>
          <w:sz w:val="20"/>
          <w:lang w:val="en-US" w:eastAsia="en-US" w:bidi="ar-SA"/>
        </w:rPr>
        <w:t xml:space="preserve"> (S.C.)(Master). Neither of these cases addresses the issue that is before me, namely, who is the proper defendant where an action is sought to be brought based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RCMP officers carrying out their duties as provincial constables. The issue in those cases was whether an action could be brought by amendment after the expiration of a limitation period. I do not consider that they are in any way determinative of the issue I have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HMQ/BC cited a number of cases in argument: Hamilton v. British Columbia (Workers' Compensation Board, </w:t>
      </w:r>
      <w:hyperlink r:id="rId911" w:history="1">
        <w:r>
          <w:rPr>
            <w:rFonts w:ascii="arial" w:eastAsia="arial" w:hAnsi="arial" w:cs="arial"/>
            <w:i/>
            <w:color w:val="0077CC"/>
            <w:sz w:val="20"/>
            <w:u w:val="single"/>
            <w:shd w:val="clear" w:color="auto" w:fill="FFFFFF"/>
            <w:lang w:val="en-US" w:eastAsia="en-US" w:bidi="ar-SA"/>
          </w:rPr>
          <w:t>[1989] B.C.J. No. 2127</w:t>
        </w:r>
      </w:hyperlink>
      <w:r>
        <w:rPr>
          <w:rFonts w:ascii="arial" w:eastAsia="arial" w:hAnsi="arial" w:cs="arial"/>
          <w:color w:val="000000"/>
          <w:sz w:val="20"/>
          <w:lang w:val="en-US" w:eastAsia="en-US" w:bidi="ar-SA"/>
        </w:rPr>
        <w:t xml:space="preserve"> (S.C.) (MacKinnon J); Hamilton v. The Workers' Compensation Board of British Columbia, Her Majesty the Queen in Right of the Province of British Columbia, The Attorney-General, Robert Owens and K.G. Robertson, </w:t>
      </w:r>
      <w:hyperlink r:id="rId912" w:history="1">
        <w:r>
          <w:rPr>
            <w:rFonts w:ascii="arial" w:eastAsia="arial" w:hAnsi="arial" w:cs="arial"/>
            <w:i/>
            <w:color w:val="0077CC"/>
            <w:sz w:val="20"/>
            <w:u w:val="single"/>
            <w:shd w:val="clear" w:color="auto" w:fill="FFFFFF"/>
            <w:lang w:val="en-US" w:eastAsia="en-US" w:bidi="ar-SA"/>
          </w:rPr>
          <w:t>(1992) 65 B.C.L.R. (2d) 96</w:t>
        </w:r>
      </w:hyperlink>
      <w:r>
        <w:rPr>
          <w:rFonts w:ascii="arial" w:eastAsia="arial" w:hAnsi="arial" w:cs="arial"/>
          <w:color w:val="000000"/>
          <w:sz w:val="20"/>
          <w:lang w:val="en-US" w:eastAsia="en-US" w:bidi="ar-SA"/>
        </w:rPr>
        <w:t xml:space="preserve"> (B.C.C.A.); Smith v. Attorney General of British Columbia, </w:t>
      </w:r>
      <w:hyperlink r:id="rId913" w:history="1">
        <w:r>
          <w:rPr>
            <w:rFonts w:ascii="arial" w:eastAsia="arial" w:hAnsi="arial" w:cs="arial"/>
            <w:i/>
            <w:color w:val="0077CC"/>
            <w:sz w:val="20"/>
            <w:u w:val="single"/>
            <w:shd w:val="clear" w:color="auto" w:fill="FFFFFF"/>
            <w:lang w:val="en-US" w:eastAsia="en-US" w:bidi="ar-SA"/>
          </w:rPr>
          <w:t>(1988) 30 B.C.L.R. (2d) 356</w:t>
        </w:r>
      </w:hyperlink>
      <w:r>
        <w:rPr>
          <w:rFonts w:ascii="arial" w:eastAsia="arial" w:hAnsi="arial" w:cs="arial"/>
          <w:color w:val="000000"/>
          <w:sz w:val="20"/>
          <w:lang w:val="en-US" w:eastAsia="en-US" w:bidi="ar-SA"/>
        </w:rPr>
        <w:t xml:space="preserve"> (B.C.C.A.); Kirby v. British Columbia (Attorney General), </w:t>
      </w:r>
      <w:hyperlink r:id="rId914" w:history="1">
        <w:r>
          <w:rPr>
            <w:rFonts w:ascii="arial" w:eastAsia="arial" w:hAnsi="arial" w:cs="arial"/>
            <w:i/>
            <w:color w:val="0077CC"/>
            <w:sz w:val="20"/>
            <w:u w:val="single"/>
            <w:shd w:val="clear" w:color="auto" w:fill="FFFFFF"/>
            <w:lang w:val="en-US" w:eastAsia="en-US" w:bidi="ar-SA"/>
          </w:rPr>
          <w:t>(1997) 41 B.C.L.R. (3d) 45</w:t>
        </w:r>
      </w:hyperlink>
      <w:r>
        <w:rPr>
          <w:rFonts w:ascii="arial" w:eastAsia="arial" w:hAnsi="arial" w:cs="arial"/>
          <w:color w:val="000000"/>
          <w:sz w:val="20"/>
          <w:lang w:val="en-US" w:eastAsia="en-US" w:bidi="ar-SA"/>
        </w:rPr>
        <w:t xml:space="preserve"> (S.C.); Madelena v. Kunn, </w:t>
      </w:r>
      <w:hyperlink r:id="rId915" w:history="1">
        <w:r>
          <w:rPr>
            <w:rFonts w:ascii="arial" w:eastAsia="arial" w:hAnsi="arial" w:cs="arial"/>
            <w:i/>
            <w:color w:val="0077CC"/>
            <w:sz w:val="20"/>
            <w:u w:val="single"/>
            <w:shd w:val="clear" w:color="auto" w:fill="FFFFFF"/>
            <w:lang w:val="en-US" w:eastAsia="en-US" w:bidi="ar-SA"/>
          </w:rPr>
          <w:t>(1987) 35 D.L.R.(4th) 222</w:t>
        </w:r>
      </w:hyperlink>
      <w:r>
        <w:rPr>
          <w:rFonts w:ascii="arial" w:eastAsia="arial" w:hAnsi="arial" w:cs="arial"/>
          <w:color w:val="000000"/>
          <w:sz w:val="20"/>
          <w:lang w:val="en-US" w:eastAsia="en-US" w:bidi="ar-SA"/>
        </w:rPr>
        <w:t xml:space="preserve"> (B.C.S.C.); Canex Placer Ltd. v. British Columbia (Attorney General), </w:t>
      </w:r>
      <w:hyperlink r:id="rId916" w:history="1">
        <w:r>
          <w:rPr>
            <w:rFonts w:ascii="arial" w:eastAsia="arial" w:hAnsi="arial" w:cs="arial"/>
            <w:i/>
            <w:color w:val="0077CC"/>
            <w:sz w:val="20"/>
            <w:u w:val="single"/>
            <w:shd w:val="clear" w:color="auto" w:fill="FFFFFF"/>
            <w:lang w:val="en-US" w:eastAsia="en-US" w:bidi="ar-SA"/>
          </w:rPr>
          <w:t>[1975] B.C.J. No. 14</w:t>
        </w:r>
      </w:hyperlink>
      <w:r>
        <w:rPr>
          <w:rFonts w:ascii="arial" w:eastAsia="arial" w:hAnsi="arial" w:cs="arial"/>
          <w:color w:val="000000"/>
          <w:sz w:val="20"/>
          <w:lang w:val="en-US" w:eastAsia="en-US" w:bidi="ar-SA"/>
        </w:rPr>
        <w:t xml:space="preserve"> (S.C.). None of these are directly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Madelena v. Kunn the plaintiff sought to sue the Superintendent of Family and Child Services and the Ministry of Human Resources for damages. The court concluded that the minister was not a proper party. MacKinnon J. said that by virtue of s. 2(c) of the Crown Proceeding Act an action could be brought against the Crown but as there was no statute that enabled the plaintiff to sue the superintendent or the minister, those actions were dismissed. Hamilton is another case where the court held that the Attorney General could not be sued as representative of the Crown in circumstances where there was no statutory authority for such an action. In the present case, however, the Police Act expressly provides that the minister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Kirby v. British Columbia (Attorney General) the court said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at the threshold, that pursuant to s. 11 of by the Police Act... the Attorney General, on behalf of the province, is vicariously liable for torts committed by a constable (and these include members of the RCMP under s. 14, which applies here). (at par.40)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appears that no question was raised as to whether the defendant was correctly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March 28, 2000 counsel for HMQ/BC brought to my attention the unreported Court of Appeal decision in Hodgkin v. Port Alberni (City), </w:t>
      </w:r>
      <w:hyperlink r:id="rId917" w:history="1">
        <w:r>
          <w:rPr>
            <w:rFonts w:ascii="arial" w:eastAsia="arial" w:hAnsi="arial" w:cs="arial"/>
            <w:i/>
            <w:color w:val="0077CC"/>
            <w:sz w:val="20"/>
            <w:u w:val="single"/>
            <w:shd w:val="clear" w:color="auto" w:fill="FFFFFF"/>
            <w:lang w:val="en-US" w:eastAsia="en-US" w:bidi="ar-SA"/>
          </w:rPr>
          <w:t>[1996] B.C.J. No. 744</w:t>
        </w:r>
      </w:hyperlink>
      <w:r>
        <w:rPr>
          <w:rFonts w:ascii="arial" w:eastAsia="arial" w:hAnsi="arial" w:cs="arial"/>
          <w:color w:val="000000"/>
          <w:sz w:val="20"/>
          <w:lang w:val="en-US" w:eastAsia="en-US" w:bidi="ar-SA"/>
        </w:rPr>
        <w:t xml:space="preserve">, (C.A.) and in particular the remarks of Madam Justice Southin regarding the proper person to sue with respect to actions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provincial constables. All counsel received a copy of the letter from Counsel for HMQ/BC and none sought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Hodgkins v. Port Alberni the facts briefly were that the Port Alberni Fire Department had responded to a fire in a garage at the back of a house. The firefighters strung a fire hose from a hydrant across a street to the scene of the fire. The defendant Caron, an RCMP constable, was dispatched to the scene to direct traffic away from the fire hose. While the firefighters were engaged in fighting the fire the plaintiff, who was riding his bicycle, hit the fire hose, fell of his bicycle and was injured. An application by Caron to amend her defence to plead s. 21 of the Police Act was dismissed by a master on the ground that it was too late and would prejudice the plaintiff. At trial the trial judge directed that certain issues be tried before any others. In particular, he directed a trial of the issue whether members of the fire department were negligent and the issue whether the defendant Caron was negligent. The trial judge found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fire department but found the defendant Caron 100% at fault for the accident. The order that was entered following trial included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liability be apportioned one hundred percent against the Defendant, Natalie Caron;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findings by the trial judge left open the issue of whether Caron was an agent of the City of Port Alberni Fire Department and whether the City was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issue before the Court of Appeal was whether the order that determined liability, as opposed to fault, could stand given the apparent effect of s. 21 in absolving the defendant Caron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allowing the appeal Mr. Justice Hollinrake referred to s. 21 of the Police Act, reviewed the history of the matter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order as entered cannot stand. I reach this conclusion because there remains before the Court - that is, the trial court - the issue of the provincial Police Act and whether the appellant can be liable as a matter of law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trial judge has found. (par.30)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of the issue of the Police Act and its ramifications as to the liability of the appellant Caron as opposed to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clearly error to enter judgment against her on the issue of liability. I think the proper thing to do in this case is to allow the appeal to the extent of setting aside that part of the order which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liability be apportioned one hundred percent against the Defendant, Natalie Caron;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substituting therefor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AND DECLARES that the defendant Natalie Caron is one hundred percent at fault for the accident referred to in the amended statement of claim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would leave open the issue of whether the appellant Caron is liable which can only be decided when the trial has been concluded. When the trial resumes on the issues that remain outstanding it should be open to the parties if so advised to seek any amendments to the pleadings they think properly should be made to deal with the issue of who, if anyone,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appellant Caron, be it herself or any other party on a vicarious basis. (paras. 32 &amp;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Madam Justice Southin dissented because she was of the opinion that the disposition by the court left the matter "off the rails". Her Ladyship referred to s. 21 of the Police Act and the pleadings. She noted that on May 20th, 1993, the writ was amended to add "Her Majesty the Queen in Right of Canada" as a defendant. Justice Southin quoted the statement of claim in its entirety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to this action, insofar as the plaintiff alleged that the appellant was negligent in the performance of her duties as a police constable, ought to have been the Attorney General for British Columbia because, for the torts of a provincial constable, he is vicariously liable under s. 11 of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Madam Justice Southin said that the purposes of ss. 11 and 21 of the Police Act were to overcome the common law rule that the employer of a police constable is not vicariously liable for the acts of that constable and to forbid suit against a constable except in very limited circumstances. She noted that there was an agreement in place between the City of Port Alberni and the Attorney General under ss. 14 and 15 of the Police Act and that the combined effect of these sections and ss. 1,3(2)(b) and 5 was to make Ms. Caron a provincial constable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Madam Justice Southin referred to the "...rather murky aspect of constitutional law" that governs the RCMP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without deciding, that a member of the Royal Canadian Mounted Police, acting as a provincial constable, retains his or her status under the Royal Canadian Mounted Police Act, one must also ask whether the effect of whatever agreement was made between British Columbia and Canada for the Royal Canadian Mounted Police to act as the provincial police force, is to transfer all vicarious liability ...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Justice Southin referred to the motion before the master. She said it was at that time that there should have been an application to add the AG/BC as a defendant. She said that when the legislature says, as it did in s. 21 of the Police Act, that "No action ... lies..." it is the court's duty to give effect to the section, pleaded or not and not to allow technical considerations to defeat the legislative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Justice Southin said she was dissenting from the decision of the majority because, in her view, that judgment left the case "... still off the rails".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judgment proposed, it will be open to the respondent in the court below to apply to add the Attorney General. There will then, perhaps, be an argument over the application of s. 4 of the Limitation Act... The Attorney General may ask for a new trial. Who can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Madam Justice Southin was of the opinion that to put the case on the rails "this Court ought to take hold of this action by inviting an application to this Court to add the Attorney General. We could then settle the issues arising from the want of parties and the faulty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these observations concerning the correct party to name where liability is founded on s. 21 of the Police Act are in a dissenting opinion they are not in relation to the particular issue decided by the court and, in my view, they lend considerable weight to the argument that it is the AG/BC who should be named as a defendant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conclude that it is the minister [i.e., the AG/BC] not HMQ/BC who is vicariously liable for torts committed by police constables and, in the case at Bar, that includes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Having come to this conclusion, I am of the opinion that the amendment to add paragraph 5 cannot be granted because it is wrong in law. The amendment should refer to the Attorney General of British Columbia. Likewise the amendment to add paragraph 9C which relates entirely to the alleged negligent acts of RCMP officers should not be granted until the plaintiff has properly joined a party who is liable for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Accordingly, it is not necessary to deal with the other issues at this time. The court may have to consider them if and when the plaintiff applies to join the Attorney General of British Columbia and to amend the statement of claim to allege that the Attorney General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RCMP officers. It is at that time that the plaintiff may apply to add the further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paragraph 9C.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Accordingly, the plaintiff's application to amend her statement of claim to add paragraphs 5 and 9C of the proposed amendments is dismissed but without prejudice to the plaintiff's right to bring an application to join the Attorney General of British Columbia and to amend the statement of claim by the addition of paragraphs 5 and 9C which refer to the Attorney General. The other amendments are allowed as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may bring her application to amend before me. While I do not consider myself seized of this matter, given that I have heard the evidence and the submissions of the parties with respect to the other 3 issues, it may be of some assistance to the parties and more efficient if I hear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NITIKMAN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Foresters Life Insurance Co. v. Bingham Group Services Corp., [2019] B.C.J. No. 622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S175722, S175749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B.L.R. (5th) 238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863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Foresters Life Insurance Company, Plaintiff, and Bingham Group Services Corp., Mathew Bingham, Jana Fenton, Mark Stowe, and Rebecca St-Louis, also known as Rebecca St. Louis, Defendants And between The Equitable Life Insurance Company of Canada, Plaintiff, and Bingham Group Services Corp., Mathew Bingham, Jana Fenton, Mark Stowe, and Rebecca St-Louis, also known as Rebecca St. Louis,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jc w:val="both"/>
        <w:rPr>
          <w:rFonts w:ascii="arial" w:eastAsia="arial" w:hAnsi="arial" w:cs="arial"/>
          <w:sz w:val="20"/>
          <w:lang w:val="en-US" w:eastAsia="en-US" w:bidi="ar-SA"/>
        </w:rPr>
      </w:pPr>
      <w:bookmarkStart w:id="233" w:name="Legislation Cited_22"/>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4" w:name="Counsel_34"/>
      <w:bookmarkEnd w:id="2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Foresters Life Insurance Company, in Action No. S175722: M. Andrews, QC, G. Cameron, R. Dhindsa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The Equitable Life Insurance Company of Canada, in Action No. S175749: M.D. Adlem.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Bingham Group Services Corp.: K. Paciorek.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Jana Fenton and Mark Stowe: H.A. Bromley.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Matthew Bingham: N.R. MacLean.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Rebecca St-Louis: D.K. Yule,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5" w:name="Judgment_34"/>
      <w:bookmarkEnd w:id="235"/>
      <w:r>
        <w:pict>
          <v:line id="_x0000_s1203"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IS IT PLAIN AND OBVIOUS THE PLEADINGS FAIL TO ESTABLISH INDEPENDENT TORTIOUS ACTIONS BY THE INDIVIDUAL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Arguments of the Individual Defendants</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Response by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Analysis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Is it plain and obvious the law precludes a finding of liability against directors, officers or employees for actions undertaken within the course of their business duties?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Is it plain and obvious the pleadings do not allege independent tortious acts by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IS IT PLAIN AND OBVIOUS THE INDIVIDUAL DEFENDANTS DO NOT OWE A DUTY OF CARE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Arguments of the Individual Defendants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Response by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Analysis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Is it plain and obvious the Individual Defendants do not owe the Plaintiffs a duty of care?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Anns/Cooper test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Stage one of the Anns/Cooper test: does a prima facie duty of care exist?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First inquiry: Does a sufficiently analogous precedent exist that definitively determined the existence or non-existence of a duty of care in these circumstances?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Second inquiry: Is there a sufficiently proximate relationship between the Plaintiffs and the Individual Defendants such that it is just and fair to impose a duty of care?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Stage two of the Anns/Cooper test: Are there any residual policy reasons for negating the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6" w:name="JACKSON J."/>
            <w:bookmarkEnd w:id="236"/>
            <w:r>
              <w:rPr>
                <w:rFonts w:ascii="arial" w:eastAsia="arial" w:hAnsi="arial" w:cs="arial"/>
                <w:b/>
                <w:color w:val="000000"/>
                <w:sz w:val="30"/>
                <w:lang w:val="en-US" w:eastAsia="en-US" w:bidi="ar-SA"/>
              </w:rPr>
              <w:t>JACKSON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four applications were brought under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 9-5(1)(a) by three of the individual defendants in these two actions: Jana Fenton ("Fenton"), Mark Stowe ("Stowe") and Rebecca St. Louis ("St. Louis") (collectively the "Individual Defendants"). The Individual Defendants seek to strike the notices of civil claim against them on the basis that they disclose no reasonable cause of action. The applications were opposed by both plaintiffs, Foresters Life Insurance Company ("Foresters") and The Equitable Life Insurance Company of Canada ("Equitable) (collectively the "Plaintiffs"). The defendants Bingham Group Services Corp. ("BGS") and Matthew Bingham ("Bingham") took no position on the applications. Any references to the "parties" in these reasons exclude BGS and Bingham.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applications to strike a pleading as disclosing no reasonable cause of action, I am to assume "all of the facts alleged will be established in evidence":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at para. 6. The following facts arise from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are insurance companies providing creditors' group insurance, which is a form of life, disability, and critical illness insurance available to individual borrowers where the lender is the beneficiary. The defendant BGS, a licensed insurance agency, is now bankrupt. Fenton was a director and officer of BGS and its Director of Compliance. Stowe was a director and vice-president of BGS. St. Louis was BGS's Regional Director for the Province of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and BGS entered into a series of written professional services agreements whereby BGS was appointed as the Managing General Agent for each of the Plaintiffs' creditors' group insurance programs (the "Professional Services Agreements"). The Individual Defendants acted on behalf of the Plaintiffs in carrying out the professional services under the Professional Services Agreements. Under the authorization of the Professional Services Agreements, BGS contracted with dealers and sub-agents to assist in the performance of the professional services. These sub-agents and dealers were responsible for soliciting applicants and selling the Plaintiffs' creditors' group insurance policies, which BGS then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Among the dealers and sub-agents appointed by BGS were Michel Bernard ("Bernard") and his company BGA Groupe Financier Inc. ("BGA"), which operated in and around Gatineau, Quebec. Between August of 2013 and September of 2015, Bernard and BGA submitted approximately 200 fraudulent applications, which were analyzed and accepted by BGS, as well as one or more of the Individual Defendants. Acceptance by BGS meant a commission was payable by the Plaintiffs to BGS. The Plaintiffs paid the commissions to BGS, but because the applications were fraudulent, commissions were not actually due or payable. The Plaintiffs paid more than $18,000,000 in commissions to BGS, from which more than $10,000,000 was then paid to BGA, almost all of which was not validly due or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Individual Defendants argue there are two grounds to strike the pleadings as disclosing no reasonable cause of action:</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independent tortious actions by the Individual Defendants;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are for economic loss and the pleadings do not establish the Individual Defendants owed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ground was not identified in the notices of application, but was raised by the Individual Defendants during oral submissions at the hearing before me. I will begin by briefly outlining the general principles applicable for a motion to strike on the basis of no reasonable cause of action. I will then address each of the grounds relied on by the Individual Defendants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applications to strike under R. 9-5(1)(a)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 court can only strike a claim where the applicants establish it is "plain and obvious" the pleadings disclose no reasonable cause of action, has "no reasonable prospect of success" or is "certain to fail":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25; and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paras. 20-21. A plaintiff is not to be prevented from proceeding with their case because of the length and complexity of the issues, the novelty of the cause of action, or the potential for a defendant to present a strong defence: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para. 36. If there is a chance the plaintiffs might succeed, they are not to be "driven from the judgment seat":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at para. 36. I have undertaken my consideration of the applications with those principles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IS IT PLAIN AND OBVIOUS THE PLEADINGS FAIL TO ESTABLISH INDEPENDENT TORTIOUS ACTIONS BY THE INDIVIDUAL DEFENDANTS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Arguments of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Individual Defendants make two points with respect to the first ground of the applications to strike. First, relying on the rule in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[1920] 3 K.B. 497, they argue the law precludes a finding of liability against directors, officers or employees of a company for actions undertaken within the course of that employment or relationship. Their view is that the law insulates the Individual Defendants unless they have committed "independent"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Individual Defendants argue "independent" in this context is behaviour outside the employee, director or officer's usual corporate duties. The Individual Defendants submit the allegations must be "apart from any corporate liability"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at para. 71), must involve conduct that is "distinct from that of the corporation" (</w:t>
      </w:r>
      <w:r>
        <w:rPr>
          <w:rFonts w:ascii="arial" w:eastAsia="arial" w:hAnsi="arial" w:cs="arial"/>
          <w:i/>
          <w:color w:val="000000"/>
          <w:sz w:val="20"/>
          <w:lang w:val="en-US" w:eastAsia="en-US" w:bidi="ar-SA"/>
        </w:rPr>
        <w:t>Craik v. Aetna Life Insurance Co. of Canada</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[1995] O.J. No. 3286</w:t>
        </w:r>
      </w:hyperlink>
      <w:r>
        <w:rPr>
          <w:rFonts w:ascii="arial" w:eastAsia="arial" w:hAnsi="arial" w:cs="arial"/>
          <w:color w:val="000000"/>
          <w:sz w:val="20"/>
          <w:lang w:val="en-US" w:eastAsia="en-US" w:bidi="ar-SA"/>
        </w:rPr>
        <w:t xml:space="preserve"> (C.J.) at para. 20), and not be "substantially the same" as the allegations against the company "such that the two causes of action relate to the same underlying factual foundation and no significant differences between the two causes of action emerge": </w:t>
      </w:r>
      <w:r>
        <w:rPr>
          <w:rFonts w:ascii="arial" w:eastAsia="arial" w:hAnsi="arial" w:cs="arial"/>
          <w:i/>
          <w:color w:val="000000"/>
          <w:sz w:val="20"/>
          <w:lang w:val="en-US" w:eastAsia="en-US" w:bidi="ar-SA"/>
        </w:rPr>
        <w:t>Normart Management Ltd. v. West Hill Redevelopment Co.</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[1998] O.J. No. 391</w:t>
        </w:r>
      </w:hyperlink>
      <w:r>
        <w:rPr>
          <w:rFonts w:ascii="arial" w:eastAsia="arial" w:hAnsi="arial" w:cs="arial"/>
          <w:color w:val="000000"/>
          <w:sz w:val="20"/>
          <w:lang w:val="en-US" w:eastAsia="en-US" w:bidi="ar-SA"/>
        </w:rPr>
        <w:t xml:space="preserve"> (C.A.) at para. 16; </w:t>
      </w:r>
      <w:r>
        <w:rPr>
          <w:rFonts w:ascii="arial" w:eastAsia="arial" w:hAnsi="arial" w:cs="arial"/>
          <w:i/>
          <w:color w:val="000000"/>
          <w:sz w:val="20"/>
          <w:lang w:val="en-US" w:eastAsia="en-US" w:bidi="ar-SA"/>
        </w:rPr>
        <w:t>Hogarth v. Rocky Mountain Slate Inc.</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2013 ABCA 57</w:t>
        </w:r>
      </w:hyperlink>
      <w:r>
        <w:rPr>
          <w:rFonts w:ascii="arial" w:eastAsia="arial" w:hAnsi="arial" w:cs="arial"/>
          <w:color w:val="000000"/>
          <w:sz w:val="20"/>
          <w:lang w:val="en-US" w:eastAsia="en-US" w:bidi="ar-SA"/>
        </w:rPr>
        <w:t xml:space="preserve"> at para. 130. The Individual Defendants submit that in order to sustain the claims against them, the Plaintiffs must allege they undertook activity outside of their roles as the directing minds or employees of BGS and exhibited a "separate identity or interest": </w:t>
      </w:r>
      <w:r>
        <w:rPr>
          <w:rFonts w:ascii="arial" w:eastAsia="arial" w:hAnsi="arial" w:cs="arial"/>
          <w:i/>
          <w:color w:val="000000"/>
          <w:sz w:val="20"/>
          <w:lang w:val="en-US" w:eastAsia="en-US" w:bidi="ar-SA"/>
        </w:rPr>
        <w:t>Merit Consultants International Ltd. v. Chandler</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2014 BCCA 121</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Individual Defendants argue the claims against them are a disguised attempt to make them responsible for the Plaintiffs' claims against a bankrupt BGS. They submit claims against individual employees can only be pursued in limited situations, as set out by Justice Cronk in </w:t>
      </w:r>
      <w:r>
        <w:rPr>
          <w:rFonts w:ascii="arial" w:eastAsia="arial" w:hAnsi="arial" w:cs="arial"/>
          <w:i/>
          <w:color w:val="000000"/>
          <w:sz w:val="20"/>
          <w:lang w:val="en-US" w:eastAsia="en-US" w:bidi="ar-SA"/>
        </w:rPr>
        <w:t>Piedra v. Cooper Mesa Mining Corporation</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2011 ONCA 191</w:t>
        </w:r>
      </w:hyperlink>
      <w:r>
        <w:rPr>
          <w:rFonts w:ascii="arial" w:eastAsia="arial" w:hAnsi="arial" w:cs="arial"/>
          <w:color w:val="000000"/>
          <w:sz w:val="20"/>
          <w:lang w:val="en-US" w:eastAsia="en-US" w:bidi="ar-SA"/>
        </w:rPr>
        <w:t xml:space="preserv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The circumstances in which directors and officers of a corporation may be held personally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acts of the company they serve are limited. As Carthy J.A. of this court explained in </w:t>
      </w:r>
      <w:r>
        <w:rPr>
          <w:rFonts w:ascii="arial" w:eastAsia="arial" w:hAnsi="arial" w:cs="arial"/>
          <w:i/>
          <w:color w:val="000000"/>
          <w:sz w:val="20"/>
          <w:lang w:val="en-US" w:eastAsia="en-US" w:bidi="ar-SA"/>
        </w:rPr>
        <w:t>ADGA Systems International Ltd. v. Valcom Ltd</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(1999), 43 O.R. (3d) 101</w:t>
        </w:r>
      </w:hyperlink>
      <w:r>
        <w:rPr>
          <w:rFonts w:ascii="arial" w:eastAsia="arial" w:hAnsi="arial" w:cs="arial"/>
          <w:color w:val="000000"/>
          <w:sz w:val="20"/>
          <w:lang w:val="en-US" w:eastAsia="en-US" w:bidi="ar-SA"/>
        </w:rPr>
        <w:t xml:space="preserve"> (Ont. C.A.), at p. 112, leave to appeal refused, (2000), </w:t>
      </w:r>
      <w:hyperlink r:id="rId933" w:history="1">
        <w:r>
          <w:rPr>
            <w:rFonts w:ascii="arial" w:eastAsia="arial" w:hAnsi="arial" w:cs="arial"/>
            <w:i/>
            <w:color w:val="0077CC"/>
            <w:sz w:val="20"/>
            <w:u w:val="single"/>
            <w:shd w:val="clear" w:color="auto" w:fill="FFFFFF"/>
            <w:lang w:val="en-US" w:eastAsia="en-US" w:bidi="ar-SA"/>
          </w:rPr>
          <w:t>[1999] S.C.C.A. No. 124</w:t>
        </w:r>
      </w:hyperlink>
      <w:r>
        <w:rPr>
          <w:rFonts w:ascii="arial" w:eastAsia="arial" w:hAnsi="arial" w:cs="arial"/>
          <w:color w:val="000000"/>
          <w:sz w:val="20"/>
          <w:lang w:val="en-US" w:eastAsia="en-US" w:bidi="ar-SA"/>
        </w:rPr>
        <w:t xml:space="preserve"> (S.C.C.), citing </w:t>
      </w:r>
      <w:r>
        <w:rPr>
          <w:rFonts w:ascii="arial" w:eastAsia="arial" w:hAnsi="arial" w:cs="arial"/>
          <w:i/>
          <w:color w:val="000000"/>
          <w:sz w:val="20"/>
          <w:lang w:val="en-US" w:eastAsia="en-US" w:bidi="ar-SA"/>
        </w:rPr>
        <w:t>Montreal Trust Co. of Canada v. ScotiaMcLeod Inc</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(1995), 26 O.R. (3d) 481</w:t>
        </w:r>
      </w:hyperlink>
      <w:r>
        <w:rPr>
          <w:rFonts w:ascii="arial" w:eastAsia="arial" w:hAnsi="arial" w:cs="arial"/>
          <w:color w:val="000000"/>
          <w:sz w:val="20"/>
          <w:lang w:val="en-US" w:eastAsia="en-US" w:bidi="ar-SA"/>
        </w:rPr>
        <w:t xml:space="preserve"> (Ont. C.A.), at pp. 720-21, leave to appeal refused, </w:t>
      </w:r>
      <w:hyperlink r:id="rId935" w:history="1">
        <w:r>
          <w:rPr>
            <w:rFonts w:ascii="arial" w:eastAsia="arial" w:hAnsi="arial" w:cs="arial"/>
            <w:i/>
            <w:color w:val="0077CC"/>
            <w:sz w:val="20"/>
            <w:u w:val="single"/>
            <w:shd w:val="clear" w:color="auto" w:fill="FFFFFF"/>
            <w:lang w:val="en-US" w:eastAsia="en-US" w:bidi="ar-SA"/>
          </w:rPr>
          <w:t>[1996] S.C.C.A. No. 40</w:t>
        </w:r>
      </w:hyperlink>
      <w:r>
        <w:rPr>
          <w:rFonts w:ascii="arial" w:eastAsia="arial" w:hAnsi="arial" w:cs="arial"/>
          <w:color w:val="000000"/>
          <w:sz w:val="20"/>
          <w:lang w:val="en-US" w:eastAsia="en-US" w:bidi="ar-SA"/>
        </w:rPr>
        <w:t>(S.C.C.):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Absent allegations which fit within the categories described above [for instance, cases where the use of a corporate structure was a sham from the outset or cases involving findings of fraud, deceit, dishonesty or want of authority on the part of employees or officers], </w:t>
      </w:r>
      <w:r>
        <w:rPr>
          <w:rFonts w:ascii="arial" w:eastAsia="arial" w:hAnsi="arial" w:cs="arial"/>
          <w:i/>
          <w:color w:val="000000"/>
          <w:sz w:val="20"/>
          <w:lang w:val="en-US" w:eastAsia="en-US" w:bidi="ar-SA"/>
        </w:rPr>
        <w:t>officers or employees of limited companies are protected from personal liability unless it can be shown that their actions are themselves tortious or exhibit a separate identity or interest from that of the company so as to make the act or conduct complained of their own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Normart Management Ltd. v. West Hill Redevelopment Co</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(1998), 37 O.R. (3d) 97</w:t>
        </w:r>
      </w:hyperlink>
      <w:r>
        <w:rPr>
          <w:rFonts w:ascii="arial" w:eastAsia="arial" w:hAnsi="arial" w:cs="arial"/>
          <w:color w:val="000000"/>
          <w:sz w:val="20"/>
          <w:lang w:val="en-US" w:eastAsia="en-US" w:bidi="ar-SA"/>
        </w:rPr>
        <w:t xml:space="preserve"> (Ont. C.A.), at p. 102.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second argument advanced by the Individual Defendants on this ground is that the pleadings do not set out the material facts sufficient to establish "independent" tortious actions because they contain undifferentiated allegations against BGS and the Individual Defendants. The Individual Defendants say the pleadings do not distinguish between them and BGS as exemplified by numerous references to "the defendants, or one or more of them". They argue it is not enough to plead undifferentiated allegations against the company, its directors and employees: </w:t>
      </w:r>
      <w:r>
        <w:rPr>
          <w:rFonts w:ascii="arial" w:eastAsia="arial" w:hAnsi="arial" w:cs="arial"/>
          <w:i/>
          <w:color w:val="000000"/>
          <w:sz w:val="20"/>
          <w:lang w:val="en-US" w:eastAsia="en-US" w:bidi="ar-SA"/>
        </w:rPr>
        <w:t>John A. Neilson Architects Inc.</w:t>
      </w:r>
      <w:r>
        <w:rPr>
          <w:rFonts w:ascii="arial" w:eastAsia="arial" w:hAnsi="arial" w:cs="arial"/>
          <w:color w:val="000000"/>
          <w:sz w:val="20"/>
          <w:lang w:val="en-US" w:eastAsia="en-US" w:bidi="ar-SA"/>
        </w:rPr>
        <w:t>,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Response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response, the Plaintiffs agree claims against an individual director, officer or employee "must be based on the breach of a duty of care action that would support an action against the individual personally": </w:t>
      </w:r>
      <w:r>
        <w:rPr>
          <w:rFonts w:ascii="arial" w:eastAsia="arial" w:hAnsi="arial" w:cs="arial"/>
          <w:i/>
          <w:color w:val="000000"/>
          <w:sz w:val="20"/>
          <w:lang w:val="en-US" w:eastAsia="en-US" w:bidi="ar-SA"/>
        </w:rPr>
        <w:t>John A. Neilson Architects Inc.</w:t>
      </w:r>
      <w:r>
        <w:rPr>
          <w:rFonts w:ascii="arial" w:eastAsia="arial" w:hAnsi="arial" w:cs="arial"/>
          <w:color w:val="000000"/>
          <w:sz w:val="20"/>
          <w:lang w:val="en-US" w:eastAsia="en-US" w:bidi="ar-SA"/>
        </w:rPr>
        <w:t xml:space="preserve">, at para. 66. However, the Plaintiffs deny that "independence" requires them to allege that the actions of the Individual Defendants were outside their corporate duties. They further deny that the rule in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insulates the Individual Defendants from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acknowledge the pleadings must contain allegations that the Individual Defendants committed independent torts, but say they have pled material facts sufficient to satisfy that requirement. The Plaintiffs submit they have not claimed against the Individual Defendants merely because of their status as directors, officers or employees of BGS, but rather because the Individual Defendants themselves committed tortious acts. The Plaintiffs argue the requirement for alleging independent tortious actions by the Individual Defendants has been satisfied.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Analysis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Is it plain and obvious the law precludes a finding of liability against directors, officers or employees for actions undertaken within the course of their business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modern starting point with respect to the liability of employees carrying out the acts of and for their corporate employers is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the Court held that employees acting in the course of their employment and performing the very essence of their employer's contractual obligations to customers owe a duty of care to those customers. Writing for the majority, Justice Iacobucci referred to the reasons of the trial judge (at 394):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 review of the relevant jurisprudence, the trial judge held that there is no general rule in British Columbia barring an employee from being sued for a tort committed in the course of carrying out the very services for which the plaintiff had contracted with his or her employer. This was said in answer to the respondents' argument that they should be given the protection of the limitation of liability clause since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an "independent tort" in itself, but rather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very course of performing the contract between their employer and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referencing the five separate judgments of the British Columbia Court of Appeal, most of which affirmed the trial judge's view on this point, Iacobucci J. continued (at 405-406):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[employees] unquestionably owed a duty of care to the [employer's customer] when handling the transformer. I arrive at this conclusion with as little difficulty as the judges in the courts below. I do not </w:t>
      </w:r>
      <w:r>
        <w:rPr>
          <w:rFonts w:ascii="arial" w:eastAsia="arial" w:hAnsi="arial" w:cs="arial"/>
          <w:color w:val="000000"/>
          <w:sz w:val="20"/>
          <w:u w:val="single"/>
          <w:lang w:val="en-US" w:eastAsia="en-US" w:bidi="ar-SA"/>
        </w:rPr>
        <w:t>base my conclusion on</w:t>
      </w:r>
      <w:r>
        <w:rPr>
          <w:rFonts w:ascii="arial" w:eastAsia="arial" w:hAnsi="arial" w:cs="arial"/>
          <w:color w:val="000000"/>
          <w:sz w:val="20"/>
          <w:lang w:val="en-US" w:eastAsia="en-US" w:bidi="ar-SA"/>
        </w:rPr>
        <w:t xml:space="preserve"> the terms of the contract of storage or on s. 2(4) of the </w:t>
      </w:r>
      <w:r>
        <w:rPr>
          <w:rFonts w:ascii="arial" w:eastAsia="arial" w:hAnsi="arial" w:cs="arial"/>
          <w:i/>
          <w:color w:val="000000"/>
          <w:sz w:val="20"/>
          <w:lang w:val="en-US" w:eastAsia="en-US" w:bidi="ar-SA"/>
        </w:rPr>
        <w:t>Warehouse Receipt Act</w:t>
      </w:r>
      <w:r>
        <w:rPr>
          <w:rFonts w:ascii="arial" w:eastAsia="arial" w:hAnsi="arial" w:cs="arial"/>
          <w:color w:val="000000"/>
          <w:sz w:val="20"/>
          <w:lang w:val="en-US" w:eastAsia="en-US" w:bidi="ar-SA"/>
        </w:rPr>
        <w:t xml:space="preserve"> but on </w:t>
      </w:r>
      <w:r>
        <w:rPr>
          <w:rFonts w:ascii="arial" w:eastAsia="arial" w:hAnsi="arial" w:cs="arial"/>
          <w:color w:val="000000"/>
          <w:sz w:val="20"/>
          <w:u w:val="single"/>
          <w:lang w:val="en-US" w:eastAsia="en-US" w:bidi="ar-SA"/>
        </w:rPr>
        <w:t xml:space="preserve">well established principles of tort law. In all the circumstances of this case, it was reasonably foreseeable to the respondent employees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on their part in the handling of the transformer would result in damage to the [employer's customer's] property. In sum, there was such a close relationship between the parties as to give rise to a duty on the respondents to exercise reasonable care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Framed in the context of this case, the starting point is that in British Columbia, there is no general rule insulating the Individual Defendants from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they committed in the course of carrying out the very services for which the Plaintiffs had contracted with BGS. In order to succeed on this ground, the Individual Defendants must establish that post-</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the law in British Columbia has developed in a way that negates this principle. In an effort to do so, they relied on a number of cases, as did the Plaintiffs in response. I will address those cases in chronological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issue of personal liability of corporate employees arose in </w:t>
      </w:r>
      <w:r>
        <w:rPr>
          <w:rFonts w:ascii="arial" w:eastAsia="arial" w:hAnsi="arial" w:cs="arial"/>
          <w:i/>
          <w:color w:val="000000"/>
          <w:sz w:val="20"/>
          <w:lang w:val="en-US" w:eastAsia="en-US" w:bidi="ar-SA"/>
        </w:rPr>
        <w:t>Hildebrand v. Fox</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2008 BCCA 434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 xml:space="preserve">, a teacher brought an action against a principal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against the school board alleging its vicarious liability for the principal's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chambers judge dismissed the claim against the principal under the former R. 19(24) on the basis that it disclosed no reasonable cause of action. The principal argued the common law held employees harmless for acts done in the course of their employment unless they committed a tortious act which demonstrates an identity or interest separate and apart from their employer (at para. 46). The Individual Defendants make the same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his reasons, Justice Tysoe discussed the case of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In that case the plaintiff sued an opera company for breach of contract when he was denied entrance to a performance for which he had purchased a ticket. The plaintiff also sued the employee who had denied him entrance, for wrongfully inducing the opera company's breach. At para. 49, Tysoe J.A. set out the following passage from Justice McCardie's judgment in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servant who causes a breach of his master's contract with a third person seems to stand in a wholly different position. He is not a stranger. He is the alter ego of his master. His acts are in law the acts of his employer. In such a case it is the master himself, by his agent, breaking the contract he has made, and, in my view an action against the agent under the </w:t>
      </w:r>
      <w:r>
        <w:rPr>
          <w:rFonts w:ascii="arial" w:eastAsia="arial" w:hAnsi="arial" w:cs="arial"/>
          <w:i/>
          <w:color w:val="000000"/>
          <w:sz w:val="20"/>
          <w:lang w:val="en-US" w:eastAsia="en-US" w:bidi="ar-SA"/>
        </w:rPr>
        <w:t>Lumley v. Gye</w:t>
      </w:r>
      <w:r>
        <w:rPr>
          <w:rFonts w:ascii="arial" w:eastAsia="arial" w:hAnsi="arial" w:cs="arial"/>
          <w:color w:val="000000"/>
          <w:sz w:val="20"/>
          <w:lang w:val="en-US" w:eastAsia="en-US" w:bidi="ar-SA"/>
        </w:rPr>
        <w:t xml:space="preserve"> [2 E. &amp; B. 216] principle must therefore fail, just as it would fail if brought against the master himself for wrongfully procuring a breach of his own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hold that if a servant acting bona fide within the scope of his authority procures or causes the breach of a contract between his employer and a third person, he does not thereby become liable to an action of tort at the suit of the person whose contract has thereby been broken. ... Nothing that I have said today is, I hope, inconsistent with the rule that a director or a servant who actually takes part in or actually authorizes such torts as assault, trespass to property, nuisance, or the like may be liable in damages as a joint participant in one of such recognized heads of tortious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allowing the plaintiff's appeal, Tysoe J.A. remarked at paras. 70-71: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reviewed these authorities at some length to demonstrate that there does not appear to be a clear consensus as to what the law is or should be in connection with personal liability of employees. The law is relatively clear that, based on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an employee of a company which has breached a contract is not personally liable for the tort of inducing breach of contract or for another claim that is a disguised attempt to make a non-party liable on a contract. That is not the situation in this case. Based on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ADGA Systems</w:t>
      </w:r>
      <w:r>
        <w:rPr>
          <w:rFonts w:ascii="arial" w:eastAsia="arial" w:hAnsi="arial" w:cs="arial"/>
          <w:color w:val="000000"/>
          <w:sz w:val="20"/>
          <w:lang w:val="en-US" w:eastAsia="en-US" w:bidi="ar-SA"/>
        </w:rPr>
        <w:t xml:space="preserve">, it is at least arguable that the principle in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does not extend to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where the negligent act or omission occurred in the performance by the employee of a contract between the employee's corporate employer and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my review of these authorities, it is my view that it is not plain and obvious that the statement of claim does not disclose a cause of action against Mr. Fox on the ground that it fails to demonstrate that he had an identity or interest separate and apart from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Framed in the context of this case, based on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 xml:space="preserve"> it is at least arguable the principle in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does not extend to insulate the Individual Defendants from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their actions, even where the negligent act or omission occurred during the performance of a contract between BGS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This issue arose again in </w:t>
      </w:r>
      <w:r>
        <w:rPr>
          <w:rFonts w:ascii="arial" w:eastAsia="arial" w:hAnsi="arial" w:cs="arial"/>
          <w:i/>
          <w:color w:val="000000"/>
          <w:sz w:val="20"/>
          <w:lang w:val="en-US" w:eastAsia="en-US" w:bidi="ar-SA"/>
        </w:rPr>
        <w:t>John A. Neilson Architects Inc</w:t>
      </w:r>
      <w:r>
        <w:rPr>
          <w:rFonts w:ascii="arial" w:eastAsia="arial" w:hAnsi="arial" w:cs="arial"/>
          <w:color w:val="000000"/>
          <w:sz w:val="20"/>
          <w:lang w:val="en-US" w:eastAsia="en-US" w:bidi="ar-SA"/>
        </w:rPr>
        <w:t xml:space="preserve">. in the context of an appeal involving a joinder application. In that case Justice Neilson had to consider whether a possible cause of action had been pled justifying the addition of several individuals as defendants who had been principals of the proposed corporate defendants. In considering the issue, Neilson J.A. affirmed the principle articulated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and the limited exception carved out in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Similarly here, it is not plain and obvious that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individual respondents personally would be excluded under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exception to the general principle outlined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The fact that a director, officer or employee was acting within the course of employment and the corporation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preclude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employee personally. However, in my view, the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principle requires that claim against the individual must be based on the breach of a duty of care that would support an action against the individual personally.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lays down the general rule that personal claims in tort, at least for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advanced against employees, officers and directors.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employees in that case in physically damaging the plaintiff's transformer illustrates the breach of duty personal to them. As emphasized in the passage from </w:t>
      </w:r>
      <w:r>
        <w:rPr>
          <w:rFonts w:ascii="arial" w:eastAsia="arial" w:hAnsi="arial" w:cs="arial"/>
          <w:i/>
          <w:color w:val="000000"/>
          <w:sz w:val="20"/>
          <w:lang w:val="en-US" w:eastAsia="en-US" w:bidi="ar-SA"/>
        </w:rPr>
        <w:t>ScotiaMcLeod</w:t>
      </w:r>
      <w:r>
        <w:rPr>
          <w:rFonts w:ascii="arial" w:eastAsia="arial" w:hAnsi="arial" w:cs="arial"/>
          <w:color w:val="000000"/>
          <w:sz w:val="20"/>
          <w:lang w:val="en-US" w:eastAsia="en-US" w:bidi="ar-SA"/>
        </w:rPr>
        <w:t xml:space="preserve"> quoted above, the facts giving rise to personal liability must be specifically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leave to appeal ref'd </w:t>
      </w:r>
      <w:hyperlink r:id="rId939" w:history="1">
        <w:r>
          <w:rPr>
            <w:rFonts w:ascii="arial" w:eastAsia="arial" w:hAnsi="arial" w:cs="arial"/>
            <w:i/>
            <w:color w:val="0077CC"/>
            <w:sz w:val="20"/>
            <w:u w:val="single"/>
            <w:shd w:val="clear" w:color="auto" w:fill="FFFFFF"/>
            <w:lang w:val="en-US" w:eastAsia="en-US" w:bidi="ar-SA"/>
          </w:rPr>
          <w:t>[2013] S.C.C.A. No. 376</w:t>
        </w:r>
      </w:hyperlink>
      <w:r>
        <w:rPr>
          <w:rFonts w:ascii="arial" w:eastAsia="arial" w:hAnsi="arial" w:cs="arial"/>
          <w:color w:val="000000"/>
          <w:sz w:val="20"/>
          <w:lang w:val="en-US" w:eastAsia="en-US" w:bidi="ar-SA"/>
        </w:rPr>
        <w:t xml:space="preserve">, the Court again considered the question of whether an "employed" status shields employees from the consequences of what would otherwise constitute tortious conduct. At the outset of her reasons on this issue, Justice Newbury noted that "the case law concerning the liability of employees who on the orders of or at the request of their employer commit torts or other wrongful acts that injure a third party, is not fully developed", noting also that one reason for this was that "many of the cases have arisen only in the context of applications to strike out pleadings and have not been decided on the merits":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at para. 57. After considering a number of the same authorities relied on by the Individual Defendants, Newbury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Nevertheless, it appears to be the law in Canada that as long as tortious conduct on the part of an employee or agent of a corporation (or any other employer) is properly pleaded and proven as an "independent" tort by the employee or agent, the wrongdoer can be held personally liable notwithstanding that he or she may have been acting in the best interests of (and at the behest of) the employer or principal. I see no reason in principle or policy why such liability should be restricted to cases involving physical damage (as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may have suggested in 1920), or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referred to in </w:t>
      </w:r>
      <w:r>
        <w:rPr>
          <w:rFonts w:ascii="arial" w:eastAsia="arial" w:hAnsi="arial" w:cs="arial"/>
          <w:i/>
          <w:color w:val="000000"/>
          <w:sz w:val="20"/>
          <w:lang w:val="en-US" w:eastAsia="en-US" w:bidi="ar-SA"/>
        </w:rPr>
        <w:t>London Drugs, Hildebrand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Certainly the Ontario Court of Appeal did not so restrict it in </w:t>
      </w:r>
      <w:r>
        <w:rPr>
          <w:rFonts w:ascii="arial" w:eastAsia="arial" w:hAnsi="arial" w:cs="arial"/>
          <w:i/>
          <w:color w:val="000000"/>
          <w:sz w:val="20"/>
          <w:lang w:val="en-US" w:eastAsia="en-US" w:bidi="ar-SA"/>
        </w:rPr>
        <w:t>ADGA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Hogarth v. Rocky Mountain Slate Inc</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2013 ABCA 57</w:t>
        </w:r>
      </w:hyperlink>
      <w:r>
        <w:rPr>
          <w:rFonts w:ascii="arial" w:eastAsia="arial" w:hAnsi="arial" w:cs="arial"/>
          <w:color w:val="000000"/>
          <w:sz w:val="20"/>
          <w:lang w:val="en-US" w:eastAsia="en-US" w:bidi="ar-SA"/>
        </w:rPr>
        <w:t xml:space="preserve"> at para. 103; </w:t>
      </w:r>
      <w:r>
        <w:rPr>
          <w:rFonts w:ascii="arial" w:eastAsia="arial" w:hAnsi="arial" w:cs="arial"/>
          <w:i/>
          <w:color w:val="000000"/>
          <w:sz w:val="20"/>
          <w:lang w:val="en-US" w:eastAsia="en-US" w:bidi="ar-SA"/>
        </w:rPr>
        <w:t>Schembri v. Way</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2012 ONCA 620</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Correia v. Canac Kitchens</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2008 ONCA 506</w:t>
        </w:r>
      </w:hyperlink>
      <w:r>
        <w:rPr>
          <w:rFonts w:ascii="arial" w:eastAsia="arial" w:hAnsi="arial" w:cs="arial"/>
          <w:color w:val="000000"/>
          <w:sz w:val="20"/>
          <w:lang w:val="en-US" w:eastAsia="en-US" w:bidi="ar-SA"/>
        </w:rPr>
        <w:t xml:space="preserve"> at paras. 86-8; and </w:t>
      </w:r>
      <w:r>
        <w:rPr>
          <w:rFonts w:ascii="arial" w:eastAsia="arial" w:hAnsi="arial" w:cs="arial"/>
          <w:i/>
          <w:color w:val="000000"/>
          <w:sz w:val="20"/>
          <w:lang w:val="en-US" w:eastAsia="en-US" w:bidi="ar-SA"/>
        </w:rPr>
        <w:t>Unisys Canada Inc. v. York Three Associates Inc</w:t>
      </w:r>
      <w:r>
        <w:rPr>
          <w:rFonts w:ascii="arial" w:eastAsia="arial" w:hAnsi="arial" w:cs="arial"/>
          <w:color w:val="000000"/>
          <w:sz w:val="20"/>
          <w:lang w:val="en-US" w:eastAsia="en-US" w:bidi="ar-SA"/>
        </w:rPr>
        <w:t xml:space="preserve">. (2001) (ON CA), </w:t>
      </w:r>
      <w:hyperlink r:id="rId942" w:history="1">
        <w:r>
          <w:rPr>
            <w:rFonts w:ascii="arial" w:eastAsia="arial" w:hAnsi="arial" w:cs="arial"/>
            <w:i/>
            <w:color w:val="0077CC"/>
            <w:sz w:val="20"/>
            <w:u w:val="single"/>
            <w:shd w:val="clear" w:color="auto" w:fill="FFFFFF"/>
            <w:lang w:val="en-US" w:eastAsia="en-US" w:bidi="ar-SA"/>
          </w:rPr>
          <w:t>150 O.A.C. 49</w:t>
        </w:r>
      </w:hyperlink>
      <w:r>
        <w:rPr>
          <w:rFonts w:ascii="arial" w:eastAsia="arial" w:hAnsi="arial" w:cs="arial"/>
          <w:color w:val="000000"/>
          <w:sz w:val="20"/>
          <w:lang w:val="en-US" w:eastAsia="en-US" w:bidi="ar-SA"/>
        </w:rPr>
        <w:t xml:space="preserve"> (Ont. C.A.)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Individual Defendants also relied on </w:t>
      </w:r>
      <w:r>
        <w:rPr>
          <w:rFonts w:ascii="arial" w:eastAsia="arial" w:hAnsi="arial" w:cs="arial"/>
          <w:i/>
          <w:color w:val="000000"/>
          <w:sz w:val="20"/>
          <w:lang w:val="en-US" w:eastAsia="en-US" w:bidi="ar-SA"/>
        </w:rPr>
        <w:t>Merit Consultants International Ltd. v. Chandler</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2014 BCCA 121</w:t>
        </w:r>
      </w:hyperlink>
      <w:r>
        <w:rPr>
          <w:rFonts w:ascii="arial" w:eastAsia="arial" w:hAnsi="arial" w:cs="arial"/>
          <w:color w:val="000000"/>
          <w:sz w:val="20"/>
          <w:lang w:val="en-US" w:eastAsia="en-US" w:bidi="ar-SA"/>
        </w:rPr>
        <w:t xml:space="preserve"> as support for the proposition they could not be held liable for tortious conduct on the basis of their status as directors. However, in </w:t>
      </w:r>
      <w:r>
        <w:rPr>
          <w:rFonts w:ascii="arial" w:eastAsia="arial" w:hAnsi="arial" w:cs="arial"/>
          <w:i/>
          <w:color w:val="000000"/>
          <w:sz w:val="20"/>
          <w:lang w:val="en-US" w:eastAsia="en-US" w:bidi="ar-SA"/>
        </w:rPr>
        <w:t>Merit</w:t>
      </w:r>
      <w:r>
        <w:rPr>
          <w:rFonts w:ascii="arial" w:eastAsia="arial" w:hAnsi="arial" w:cs="arial"/>
          <w:color w:val="000000"/>
          <w:sz w:val="20"/>
          <w:lang w:val="en-US" w:eastAsia="en-US" w:bidi="ar-SA"/>
        </w:rPr>
        <w:t xml:space="preserve">, Newbury J.A. did not attempt to "reconcile all the case law" because she was able to dispose of the issues on the basis of the specific facts of the case. She found the case before her to be "at the far 'no liability' end of the spectrum of directors' personal liability": </w:t>
      </w:r>
      <w:r>
        <w:rPr>
          <w:rFonts w:ascii="arial" w:eastAsia="arial" w:hAnsi="arial" w:cs="arial"/>
          <w:i/>
          <w:color w:val="000000"/>
          <w:sz w:val="20"/>
          <w:lang w:val="en-US" w:eastAsia="en-US" w:bidi="ar-SA"/>
        </w:rPr>
        <w:t>Merit</w:t>
      </w:r>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Many of the other cases relied on by the Individual Defendants were from Ontario and Alberta. While these cases may assist in providing a definitive answer to the question of director liability if it becomes necessary to do so at trial, they are not binding in British Columbia and therefore do not assist in answering the question before me, namely whether it is plain and obvious no reasonable cause of action exists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has been acknowledged that the personal liability of corporate officers, directors, and employees is a complex topic: </w:t>
      </w:r>
      <w:r>
        <w:rPr>
          <w:rFonts w:ascii="arial" w:eastAsia="arial" w:hAnsi="arial" w:cs="arial"/>
          <w:i/>
          <w:color w:val="000000"/>
          <w:sz w:val="20"/>
          <w:lang w:val="en-US" w:eastAsia="en-US" w:bidi="ar-SA"/>
        </w:rPr>
        <w:t>John A. Neilson Architects Inc.</w:t>
      </w:r>
      <w:r>
        <w:rPr>
          <w:rFonts w:ascii="arial" w:eastAsia="arial" w:hAnsi="arial" w:cs="arial"/>
          <w:color w:val="000000"/>
          <w:sz w:val="20"/>
          <w:lang w:val="en-US" w:eastAsia="en-US" w:bidi="ar-SA"/>
        </w:rPr>
        <w:t xml:space="preserve">, at para. 66. It is not my role on these applications to determine whether the law permits a cause of action against the Individual Defendants for actions undertaken as part of their corporate duties, but rather to determine whether the Individual Defendants have proven it is plain and obvious that the answer to that question is no. In my view, it is at least arguable that the principle in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does not extend to the circumstances of this case. It is not plain and obvious the law in British Columbia insulates directors, officers, and employees against claims involving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where the complained of behaviour is the very essence of their company's contractual obligations to its customers.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Is it plain and obvious the pleadings do not allege independent tortious acts by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turn to the second argument of the Individual Defendants with respect to this ground of their applications. In my view, it cannot be said that the alleged acts and omissions do not constitute "independent" tortious activity such that the Plaintiffs' claims are certain to fail: </w:t>
      </w:r>
      <w:r>
        <w:rPr>
          <w:rFonts w:ascii="arial" w:eastAsia="arial" w:hAnsi="arial" w:cs="arial"/>
          <w:i/>
          <w:color w:val="000000"/>
          <w:sz w:val="20"/>
          <w:lang w:val="en-US" w:eastAsia="en-US" w:bidi="ar-SA"/>
        </w:rPr>
        <w:t>Holmes v. United Furniture Warehouse Limited Partnership</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2012 BCCA 226</w:t>
        </w:r>
      </w:hyperlink>
      <w:r>
        <w:rPr>
          <w:rFonts w:ascii="arial" w:eastAsia="arial" w:hAnsi="arial" w:cs="arial"/>
          <w:color w:val="000000"/>
          <w:sz w:val="20"/>
          <w:lang w:val="en-US" w:eastAsia="en-US" w:bidi="ar-SA"/>
        </w:rPr>
        <w:t xml:space="preserve"> at para. 20. The pleadings do not pursue claims against the Individual Defendants based on their </w:t>
      </w:r>
      <w:r>
        <w:rPr>
          <w:rFonts w:ascii="arial" w:eastAsia="arial" w:hAnsi="arial" w:cs="arial"/>
          <w:i/>
          <w:color w:val="000000"/>
          <w:sz w:val="20"/>
          <w:lang w:val="en-US" w:eastAsia="en-US" w:bidi="ar-SA"/>
        </w:rPr>
        <w:t>status</w:t>
      </w:r>
      <w:r>
        <w:rPr>
          <w:rFonts w:ascii="arial" w:eastAsia="arial" w:hAnsi="arial" w:cs="arial"/>
          <w:color w:val="000000"/>
          <w:sz w:val="20"/>
          <w:lang w:val="en-US" w:eastAsia="en-US" w:bidi="ar-SA"/>
        </w:rPr>
        <w:t xml:space="preserve"> as directors, officers or employees of BGS, which I accept might be precluded: </w:t>
      </w:r>
      <w:r>
        <w:rPr>
          <w:rFonts w:ascii="arial" w:eastAsia="arial" w:hAnsi="arial" w:cs="arial"/>
          <w:i/>
          <w:color w:val="000000"/>
          <w:sz w:val="20"/>
          <w:lang w:val="en-US" w:eastAsia="en-US" w:bidi="ar-SA"/>
        </w:rPr>
        <w:t>Merit</w:t>
      </w:r>
      <w:r>
        <w:rPr>
          <w:rFonts w:ascii="arial" w:eastAsia="arial" w:hAnsi="arial" w:cs="arial"/>
          <w:color w:val="000000"/>
          <w:sz w:val="20"/>
          <w:lang w:val="en-US" w:eastAsia="en-US" w:bidi="ar-SA"/>
        </w:rPr>
        <w:t>, at para. 14. The pleadings are replete with references to responsibilities of and actions taken by the Individual Defendants themselves. For example, the Foresters' notice of civil claim states: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31(b) - "Bingham, Stowe, Fenton, and St. Louis, or one or more of them, were responsible for overseeing the vetting and analysis applications submitted by BGA";</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31(c) - "Each of Bingham, Stowe, Fenton, and St. Louis were responsible for ensuring that BGA and its senior leadership complied with all applicable rules, regulations, and best practices in soliciting, preparing, and submitting applications for creditors group insurance";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31(e) - "Bingham, Stowe, Fenton, and St. Louis, or one or more of them, were responsible for reviewing the business provided by BGA and taking reasonable care that it was honest and genuine business";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31(f) - "Bingham and St. Louis had direct discussions and involvement with Bernard and did, or in the alternative, could and should have accessed detailed information from Bernard at any material time regarding the business, affairs, and practices of BGA, including all applications for creditors' group insurance obtained by BGA";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NOCC para. 33 - "Foresters Life relied entirely on BGS and its representatives Bingham, Stowe, Fenton, and St. Louis to take reasonable care to see that BGA was acting in an ethical and proper manner, and that applications submitted by BGA were valid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38 - "The Certificate Applications were analyzed and accepted by BGS and one or more of its representatives Bingham, Stowe, Fenton, and St. Louis";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47 - "Between August 2013 and September 2015, the Defendants, or one or more of them, represented to Foresters Life that the Certificate Applications were valid applications for insurance from actual individuals who wished to obtain insurance and pay premiums therefore";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48 - "Further, in 2012, 2014, and 2015, through the provision of written BGS "Procedure Guides" to Foresters Life, the Defendants, or one or more of them, made representations to Foresters Life that BGS had internal programs in place to ensure that applications for certificates of insurance, including the Certificate Applications: Had legitimate banking information for applications; had legitimate conduct and identifying information for applicants and creditors including telephone numbers and addresses, and if such information was missing or did not appear accurate or legitimate, BGS would contact the Dealer, Sub-Agent or Sub-Contractor who had submitted the application to ensure the application was legitimate and complete";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49 - "The Defendants, or one or more of them, made the Representation of Validity and the Representations of Oversight in the course of performing the MGA Professional Services";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52 - "The Defendants were negligent in making the Representation of Validity and the Representations of Oversight, which were false, inaccurate, and misleading, in that the Certificate Applications were fictitious and fraudulent, and the Defendants did not take reasonable or any care to determine whether the Certificate Applications were valid or contained legitimate information or otherwise contained the information required of an application before a policy of insurance ought to have issued";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NOCC para. 53 - "The Defendants ought reasonably to have foreseen that Foresters Life would rely on the Representation of Validity and the Representations of Oversight because of BGS' appointment as Foresters Life's exclusive managing agent for its creditors group insurance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Equitable made virtually the same factual allegations in its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With respect to the Individual Defendants' argument regarding a lack of particularization of the allegations, a lack of precision is not a proper basis to strike the pleading. As noted by Justice Frankel in </w:t>
      </w:r>
      <w:r>
        <w:rPr>
          <w:rFonts w:ascii="arial" w:eastAsia="arial" w:hAnsi="arial" w:cs="arial"/>
          <w:i/>
          <w:color w:val="000000"/>
          <w:sz w:val="20"/>
          <w:lang w:val="en-US" w:eastAsia="en-US" w:bidi="ar-SA"/>
        </w:rPr>
        <w:t>Chang Estate v. Chang</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2010 BCCA 111</w:t>
        </w:r>
      </w:hyperlink>
      <w:r>
        <w:rPr>
          <w:rFonts w:ascii="arial" w:eastAsia="arial" w:hAnsi="arial" w:cs="arial"/>
          <w:color w:val="000000"/>
          <w:sz w:val="20"/>
          <w:lang w:val="en-US" w:eastAsia="en-US" w:bidi="ar-SA"/>
        </w:rPr>
        <w:t xml:space="preserve">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19(11) [now Rule 9-5(1)] must be read in light of Rule 19(11.1) which states that "particulars need only be pleaded to the extent that they are known at the date of pleading, but further particulars may be delivered after they become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case before me is distinguishable from </w:t>
      </w:r>
      <w:r>
        <w:rPr>
          <w:rFonts w:ascii="arial" w:eastAsia="arial" w:hAnsi="arial" w:cs="arial"/>
          <w:i/>
          <w:color w:val="000000"/>
          <w:sz w:val="20"/>
          <w:lang w:val="en-US" w:eastAsia="en-US" w:bidi="ar-SA"/>
        </w:rPr>
        <w:t>Marshall v. United Furniture Warehouse Limited Partnership</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2013 BCSC 2050</w:t>
        </w:r>
      </w:hyperlink>
      <w:r>
        <w:rPr>
          <w:rFonts w:ascii="arial" w:eastAsia="arial" w:hAnsi="arial" w:cs="arial"/>
          <w:color w:val="000000"/>
          <w:sz w:val="20"/>
          <w:lang w:val="en-US" w:eastAsia="en-US" w:bidi="ar-SA"/>
        </w:rPr>
        <w:t xml:space="preserve">, aff'd </w:t>
      </w:r>
      <w:hyperlink r:id="rId946" w:history="1">
        <w:r>
          <w:rPr>
            <w:rFonts w:ascii="arial" w:eastAsia="arial" w:hAnsi="arial" w:cs="arial"/>
            <w:i/>
            <w:color w:val="0077CC"/>
            <w:sz w:val="20"/>
            <w:u w:val="single"/>
            <w:shd w:val="clear" w:color="auto" w:fill="FFFFFF"/>
            <w:lang w:val="en-US" w:eastAsia="en-US" w:bidi="ar-SA"/>
          </w:rPr>
          <w:t>2015 BCCA 252</w:t>
        </w:r>
      </w:hyperlink>
      <w:r>
        <w:rPr>
          <w:rFonts w:ascii="arial" w:eastAsia="arial" w:hAnsi="arial" w:cs="arial"/>
          <w:color w:val="000000"/>
          <w:sz w:val="20"/>
          <w:lang w:val="en-US" w:eastAsia="en-US" w:bidi="ar-SA"/>
        </w:rPr>
        <w:t xml:space="preserve">, upon which the Individual Defendants relied. In that case, as noted at para. 65 by Justice Fisher, several of the defendants had been included in the notice of civil claim solely on the basis of their ownership interest in other corporate defendants. The pleadings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did not identify specific acts alleged to have been undertaken by the individuals, providing a basis for their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This case is also distinguishable from </w:t>
      </w:r>
      <w:r>
        <w:rPr>
          <w:rFonts w:ascii="arial" w:eastAsia="arial" w:hAnsi="arial" w:cs="arial"/>
          <w:i/>
          <w:color w:val="000000"/>
          <w:sz w:val="20"/>
          <w:lang w:val="en-US" w:eastAsia="en-US" w:bidi="ar-SA"/>
        </w:rPr>
        <w:t>Digital.Doc Services (Canada) Inc. v. Future Shop Ltd.</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[1997] B.C.J. No. 1689</w:t>
        </w:r>
      </w:hyperlink>
      <w:r>
        <w:rPr>
          <w:rFonts w:ascii="arial" w:eastAsia="arial" w:hAnsi="arial" w:cs="arial"/>
          <w:color w:val="000000"/>
          <w:sz w:val="20"/>
          <w:lang w:val="en-US" w:eastAsia="en-US" w:bidi="ar-SA"/>
        </w:rPr>
        <w:t xml:space="preserve">, cited by the Individual Defendants. That case involved a claim against directors and officers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corporate defendant to breach its contract with the plaintiff, which is a recognized exception to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referred to in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Piedra</w:t>
      </w:r>
      <w:r>
        <w:rPr>
          <w:rFonts w:ascii="arial" w:eastAsia="arial" w:hAnsi="arial" w:cs="arial"/>
          <w:color w:val="000000"/>
          <w:sz w:val="20"/>
          <w:lang w:val="en-US" w:eastAsia="en-US" w:bidi="ar-SA"/>
        </w:rPr>
        <w:t>, also relied on by the Individual Defendants, the plaintiffs did not plead the material facts necessary to anchor the imposition of private law duties of care and to establish breaches of those duties. I will address the duty of care issue in the next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a review of the related case law, in my view, it cannot be said that the Plaintiffs' claims are certain to fail because the alleged acts and omissions do not amount to "independent" tortious activity. It is not plain and obvious the pleadings fail to establish independent tortious actions by the individual Defendants. I will turn now to my analysis of the duty of care arguments raised by the Individual Defendants in support of their applications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IS IT PLAIN AND OBVIOUS THE INDIVIDUAL DEFENDANTS DO NOT OWE A DUTY OF CARE TO THE PLAINTIFFS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Arguments of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With respect to the second ground to strike the pleadings as disclosing no reasonable cause of action, the Individual Defendants make two arguments: first, they say the Plaintiffs' claims are for economic loss, which requires a close and direct relationship between the parties in order to establish a duty of care. They argue the relationship between the Plaintiffs and the Individual Defendants is novel and not analogous to previously recognized relationships where a duty of care has been found. They submit I must therefore undertake a full duty of care analysis, which will lead me to conclude there is insufficient proximity to ground a duty of care in this case and that I should strike the claims on that basis. In the alternative, the Individual Defendants argue even if I find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imposing a duty of care in these circumstances would discourage people from serving as corporate directors and a duty of care should therefore be rejected on residual policy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Individual Defendants' second argument in support of this ground is that the pleadings do not establish the Individual Defendants are insurance professionals who undertook responsibility for the Plaintiffs' interests. The Individual Defendants say there are factual "gaps" in the pleadings between the standard of care and the breaches alleged, which are fatal to the Plaintiffs' claims for negligent performance of professional services. They say that while the pleadings assert the Individual Defendants "breached the standard of care required of an insurance administration professional", the pleadings do not allege the Individual Defendants are insurance administration professionals such that the duties pled would apply, or that the Individual Defendants undertook responsibility for the Plaintiffs' interests. Such material facts, according to the Individual Defendants, are essential to formulate a complete cause of action and if omitted, a cause of action is not effectively pleaded: </w:t>
      </w:r>
      <w:r>
        <w:rPr>
          <w:rFonts w:ascii="arial" w:eastAsia="arial" w:hAnsi="arial" w:cs="arial"/>
          <w:i/>
          <w:color w:val="000000"/>
          <w:sz w:val="20"/>
          <w:lang w:val="en-US" w:eastAsia="en-US" w:bidi="ar-SA"/>
        </w:rPr>
        <w:t>Micka v. Oliver &amp; District Community Economic Development Society</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2008 BCSC 1623</w:t>
        </w:r>
      </w:hyperlink>
      <w:r>
        <w:rPr>
          <w:rFonts w:ascii="arial" w:eastAsia="arial" w:hAnsi="arial" w:cs="arial"/>
          <w:color w:val="000000"/>
          <w:sz w:val="20"/>
          <w:lang w:val="en-US" w:eastAsia="en-US" w:bidi="ar-SA"/>
        </w:rPr>
        <w:t xml:space="preserve"> at para.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Response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second ground put forward by the Individual Defendants, the Plaintiffs acknowledge their claims are for economic loss, but argue these claims can be sustained. According to the Plaintiffs, there is precedent for recognizing a duty of care owed in circumstances analogous to this case. In the event I disagree, they say a full duty of care analysis leads to the conclusion that it is not plain and obvious the Individual Defendants did not owe a duty of care to the Plaintiffs with respect to the professional services they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response to the Individual Defendants' second argument, the Plaintiffs argue the relational facts pled could arguably be viewed as inviting the Plaintiffs' reasonable reliance and a corresponding duty on the Individual Defendants to take reasonable care. They argue those relational facts preclude a finding that it is plain and obvious that the Individual Defendants did not assume responsibility for the Plaintiffs' interests. Insofar as any material facts have been omitted, according to the Plaintiffs, such deficiencies are technical drafting matters which can be easily cured by amendment.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Analysis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Is it plain and obvious the Individual Defendants do not owe the Plaintiffs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Proximity has been a consistent component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throughout its history: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paras. 22 and 32. Where a plaintiff makes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physical damage, a finding that the harm was reasonably foreseeable is often sufficient to establish the proximity necessary to impose a duty of care. Justice Taylor commented on the possible reason for that correlation in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Perhaps that is because reasonable reliance by the one party, and knowledge of reliance by the other, can in such cases usually be assumed. It was, of course, the impossibility of intermediate examination of the product which resulted in reliance by the consumer on the manufacturer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Reliance on the carefulness of another is reasonably to be expected as a general rule when it is foreseeable that a person may suffer personal injury or physical property damage as a result of the carelessness of another, subject, no doubt, to exception where such reliance would not be reasonable or expected, by reason, for instance, of the existence of some special knowledge, contractual arrangements, or legal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While recovery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physical damage to persons or property has long been accepted, the same cannot be said of recovery for economic loss. The relatively recent development of recovery in tort for economic loss was noted by Justice Vancise in </w:t>
      </w:r>
      <w:r>
        <w:rPr>
          <w:rFonts w:ascii="arial" w:eastAsia="arial" w:hAnsi="arial" w:cs="arial"/>
          <w:i/>
          <w:color w:val="000000"/>
          <w:sz w:val="20"/>
          <w:lang w:val="en-US" w:eastAsia="en-US" w:bidi="ar-SA"/>
        </w:rPr>
        <w:t>Advanced Process Solutions Inc. v. Delta-T Canada Corp.</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2011 SKCA 92</w:t>
        </w:r>
      </w:hyperlink>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historical reluctance of the courts to allow recovery in tort for pure economic loss is changing. The courts have more recently begun to recognize instances where pure economic loss could be recoverable. See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2nd ed. (Toronto: Irwin Law, 2003) where Philip H. Osborne discusses the current position of the courts with respect to recoverability for pure economic loss. The author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House of Lords in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launched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into the field of economic loss by recognizing that in certain circumstances liability may be imposed for pure economic loss caused by negligent misrepresentation. It was the first step in extending the reach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to economic loss. Since that decision, the courts have been involved in the yet unfinished task of defining the scope and extent of liability for economic loss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In this process they have been assisted by the insight of Professor Feldthusen, who has pointed out that economic loss cases can best be analyzed by grouping them into categories that give rise to similar policy concerns and similar solutions. These categories include negligent misrepresentation, negligent performance of service, relational economic loss, and claims for economic loss arising from the supply of poor quality goods and structures. The Supreme Court has relied on both this framework of analysis and the general test of a duty of care to define the appropriate scope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While it is now recognized that recovery is available for damage suffered as pure economic loss, the proximity requirement in the context of such a claim is not satisfied simply by finding the economic loss was reasonably foreseeable. Reasonable foreseeability and sufficient proximity, while related, involve independent inquiries: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at para. 72. At the hearing before me the Individual Defendants did not argue the harm suffered by the Plaintiffs was not reasonably foreseeable. Instead, their submissions focussed on an insufficiently "close and direct" relationship between the parties and a corresponding lack of proximity. It is that element of the duty of care analysis to which I now turn.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The Anns/Cooper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While </w:t>
      </w:r>
      <w:r>
        <w:rPr>
          <w:rFonts w:ascii="arial" w:eastAsia="arial" w:hAnsi="arial" w:cs="arial"/>
          <w:i/>
          <w:color w:val="000000"/>
          <w:sz w:val="20"/>
          <w:lang w:val="en-US" w:eastAsia="en-US" w:bidi="ar-SA"/>
        </w:rPr>
        <w:t>McAlister (Donoghue) v. Stevenson</w:t>
      </w:r>
      <w:r>
        <w:rPr>
          <w:rFonts w:ascii="arial" w:eastAsia="arial" w:hAnsi="arial" w:cs="arial"/>
          <w:color w:val="000000"/>
          <w:sz w:val="20"/>
          <w:lang w:val="en-US" w:eastAsia="en-US" w:bidi="ar-SA"/>
        </w:rPr>
        <w:t xml:space="preserve">, [1932] A.C. 562 (U.K. H.L.) launched the principle that a person could be liable for reasonably foreseeable harm they caused, "it also anticipated that not all reasonably foreseeable harm might be caught":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21. The issue that arises on these applications is whether it is plain and obvious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extend to the relationship between the Plaintiffs and the Individual Defendants. This consideration involves applying the principled framework for assessing whether an extension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 to a "novel" situation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need for the law to be stable and flexible to emerging or changing societal needs and expectations, while also avoiding "the spectre of unlimited damages" is well recognized: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Kamahap</w:t>
      </w:r>
      <w:r>
        <w:rPr>
          <w:rFonts w:ascii="arial" w:eastAsia="arial" w:hAnsi="arial" w:cs="arial"/>
          <w:color w:val="000000"/>
          <w:sz w:val="20"/>
          <w:lang w:val="en-US" w:eastAsia="en-US" w:bidi="ar-SA"/>
        </w:rPr>
        <w:t xml:space="preserve">, at paras. 19-22;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31. What has become known as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and its proximity analysis, is the law's answer to that paradox. The question of whether a duty of care in tort exists is to be determined through an application of a two part test first articulated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[1978] A.C. 728 (U.K.H.L.) and affirmed by the Supreme Court of Canada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proximity analysis established in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which involves policy considerations, is the framework to be applied in determining whether the relationship between the parties is sufficiently proximate to warrant imposing a duty of care: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paras. 25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has often been undertaken in the context of an allegation that a public body owes a private duty of care, its application is not restricted to that situation.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is to be applied whenever a duty of care is being asserted in a novel relational context, whether against a public or private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Plaintiffs' claims are for damages and loss arising from commissions paid on account of fraudulent insurance policies, unearned administration costs, loss of profits and other costs, and constitute claims for pure economic loss: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[1992] B.C.J. No. 1550</w:t>
        </w:r>
      </w:hyperlink>
      <w:r>
        <w:rPr>
          <w:rFonts w:ascii="arial" w:eastAsia="arial" w:hAnsi="arial" w:cs="arial"/>
          <w:color w:val="000000"/>
          <w:sz w:val="20"/>
          <w:lang w:val="en-US" w:eastAsia="en-US" w:bidi="ar-SA"/>
        </w:rPr>
        <w:t xml:space="preserve"> (C.A.) at para. 12. The Individual Defendants argue this would be a novel application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 Therefore, the imposition of a duty of care will depend on the outcome of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which was set out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two-stage duty of care test established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was briefly re-stated and summarized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test for determining the existence of a private duty of care owed by a public authority is known as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The test requires a court to address the analysis by considering the following series of questions: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sufficiently analogous precedent exist that definitively found the existence or non-existence of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suffered by the plaintiff reasonably foreseeable;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yes;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relationship of sufficient proximity between the plaintiff and the defendant such that it would be just to impose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arises;</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any residual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established in question/step 3, aside from any policy considerations that arise naturally out of a consideration of proximity.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 then a novel duty of care is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One year after deciding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the Court of Appeal had an opportunity to address the interplay between the proximity analysis as directed in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and the "plain and obvious" standard to be applied on a non-evidentiary motion to strike, in </w:t>
      </w:r>
      <w:r>
        <w:rPr>
          <w:rFonts w:ascii="arial" w:eastAsia="arial" w:hAnsi="arial" w:cs="arial"/>
          <w:i/>
          <w:color w:val="000000"/>
          <w:sz w:val="20"/>
          <w:lang w:val="en-US" w:eastAsia="en-US" w:bidi="ar-SA"/>
        </w:rPr>
        <w:t>Burke v. Watson &amp; Barnard</w:t>
      </w:r>
      <w:r>
        <w:rPr>
          <w:rFonts w:ascii="arial" w:eastAsia="arial" w:hAnsi="arial" w:cs="arial"/>
          <w:color w:val="000000"/>
          <w:sz w:val="20"/>
          <w:lang w:val="en-US" w:eastAsia="en-US" w:bidi="ar-SA"/>
        </w:rPr>
        <w:t xml:space="preserve"> (A Firm), </w:t>
      </w:r>
      <w:hyperlink r:id="rId955" w:history="1">
        <w:r>
          <w:rPr>
            <w:rFonts w:ascii="arial" w:eastAsia="arial" w:hAnsi="arial" w:cs="arial"/>
            <w:i/>
            <w:color w:val="0077CC"/>
            <w:sz w:val="20"/>
            <w:u w:val="single"/>
            <w:shd w:val="clear" w:color="auto" w:fill="FFFFFF"/>
            <w:lang w:val="en-US" w:eastAsia="en-US" w:bidi="ar-SA"/>
          </w:rPr>
          <w:t>2016 BCCA 439</w:t>
        </w:r>
      </w:hyperlink>
      <w:r>
        <w:rPr>
          <w:rFonts w:ascii="arial" w:eastAsia="arial" w:hAnsi="arial" w:cs="arial"/>
          <w:color w:val="000000"/>
          <w:sz w:val="20"/>
          <w:lang w:val="en-US" w:eastAsia="en-US" w:bidi="ar-SA"/>
        </w:rPr>
        <w:t xml:space="preserve">. In allowing the appeal brought by the land surveyor from the chambers decision refusing to strike the claim, the Court cautioned that there are two separate inquiries to be undertaken when a proximity analysis arises in the context of a motion to strike: </w:t>
      </w:r>
      <w:r>
        <w:rPr>
          <w:rFonts w:ascii="arial" w:eastAsia="arial" w:hAnsi="arial" w:cs="arial"/>
          <w:i/>
          <w:color w:val="000000"/>
          <w:sz w:val="20"/>
          <w:lang w:val="en-US" w:eastAsia="en-US" w:bidi="ar-SA"/>
        </w:rPr>
        <w:t>Burke</w:t>
      </w:r>
      <w:r>
        <w:rPr>
          <w:rFonts w:ascii="arial" w:eastAsia="arial" w:hAnsi="arial" w:cs="arial"/>
          <w:color w:val="000000"/>
          <w:sz w:val="20"/>
          <w:lang w:val="en-US" w:eastAsia="en-US" w:bidi="ar-SA"/>
        </w:rPr>
        <w:t xml:space="preserve">, at para. 45. The first inquiry considers whether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and should be determined applying the two part analysis set out by the Supreme Court of Canada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If the proximity analysis leads to the conclusion that no duty of care is owed, the claim is to be struck, since if no duty of care is owed it is plain and obvious there is no reasonable cause of action alleged. The Court in </w:t>
      </w:r>
      <w:r>
        <w:rPr>
          <w:rFonts w:ascii="arial" w:eastAsia="arial" w:hAnsi="arial" w:cs="arial"/>
          <w:i/>
          <w:color w:val="000000"/>
          <w:sz w:val="20"/>
          <w:lang w:val="en-US" w:eastAsia="en-US" w:bidi="ar-SA"/>
        </w:rPr>
        <w:t>Burke</w:t>
      </w:r>
      <w:r>
        <w:rPr>
          <w:rFonts w:ascii="arial" w:eastAsia="arial" w:hAnsi="arial" w:cs="arial"/>
          <w:color w:val="000000"/>
          <w:sz w:val="20"/>
          <w:lang w:val="en-US" w:eastAsia="en-US" w:bidi="ar-SA"/>
        </w:rPr>
        <w:t xml:space="preserve"> at para. 45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analysis leads to a conclusion that the duty of care exists or the factual matrix is insufficient to determine if such a duty exists, then the claim will not be struck, as was the case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and cases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do not interpret this passage as altering the onus on a motion to strike. The burden remains on the party seeking to strike the claim, here the Individual Defendants, to establish a negative, namely that no reasonable cause of action is or can be pled: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 xml:space="preserve">, at para. 21. My role sitting as the chambers judge is to determine whether the Individual Defendants have discharged their burden. It is not my role on these applications to determine the question which will ultimately be decided by the trial judge, namely whether a duty of care arose in this case. I am only to consider whether it is plain and obvious it did not. With that in mind, I turn to the proximity analysis by applying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as summarized by the Court of Appeal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a) </w:t>
      </w:r>
      <w:r>
        <w:rPr>
          <w:rFonts w:ascii="arial" w:eastAsia="arial" w:hAnsi="arial" w:cs="arial"/>
          <w:b/>
          <w:i/>
          <w:color w:val="000000"/>
          <w:sz w:val="20"/>
          <w:u w:val="single"/>
          <w:lang w:val="en-US" w:eastAsia="en-US" w:bidi="ar-SA"/>
        </w:rPr>
        <w:t>Stage one of the Anns/Cooper test</w:t>
      </w:r>
      <w:r>
        <w:rPr>
          <w:rFonts w:ascii="arial" w:eastAsia="arial" w:hAnsi="arial" w:cs="arial"/>
          <w:b/>
          <w:i/>
          <w:color w:val="000000"/>
          <w:sz w:val="20"/>
          <w:lang w:val="en-US" w:eastAsia="en-US" w:bidi="ar-SA"/>
        </w:rPr>
        <w:t>: does a prima facie duty of care exist?</w:t>
      </w:r>
    </w:p>
    <w:p>
      <w:pPr>
        <w:spacing w:before="120" w:line="260" w:lineRule="atLeast"/>
        <w:ind w:left="1800"/>
        <w:rPr>
          <w:rFonts w:ascii="arial" w:eastAsia="arial" w:hAnsi="arial" w:cs="arial"/>
          <w:sz w:val="20"/>
          <w:lang w:val="en-US" w:eastAsia="en-US" w:bidi="ar-SA"/>
        </w:rPr>
      </w:pPr>
      <w:r>
        <w:rPr>
          <w:rFonts w:ascii="arial" w:eastAsia="arial" w:hAnsi="arial" w:cs="arial"/>
          <w:b/>
          <w:i/>
          <w:color w:val="000000"/>
          <w:sz w:val="20"/>
          <w:lang w:val="en-US" w:eastAsia="en-US" w:bidi="ar-SA"/>
        </w:rPr>
        <w:t>(1) First inquiry: Does a sufficiently analogous precedent exist that definitively determined the existence or non-existence of a duty of care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first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involves an inquiry into whether the existence of a duty of care has already been conclusively determined in the context of the same or a sufficiently analogous relationship: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at para. 52. In considering this question, more than a simple precedent is required. The duty of care "must be well-established in the jurisprudence in order to negate the need for a full duty of care analysis": </w:t>
      </w:r>
      <w:r>
        <w:rPr>
          <w:rFonts w:ascii="arial" w:eastAsia="arial" w:hAnsi="arial" w:cs="arial"/>
          <w:i/>
          <w:color w:val="000000"/>
          <w:sz w:val="20"/>
          <w:lang w:val="en-US" w:eastAsia="en-US" w:bidi="ar-SA"/>
        </w:rPr>
        <w:t>Burke</w:t>
      </w:r>
      <w:r>
        <w:rPr>
          <w:rFonts w:ascii="arial" w:eastAsia="arial" w:hAnsi="arial" w:cs="arial"/>
          <w:color w:val="000000"/>
          <w:sz w:val="20"/>
          <w:lang w:val="en-US" w:eastAsia="en-US" w:bidi="ar-SA"/>
        </w:rPr>
        <w:t>,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certain cases, previously recognized proximate relationships have been expressed as broad categories, for example, solicitor-client and doctor-patient relationships. The duty of care owed by insurance agents and brokers to their clients is also well recognized. In </w:t>
      </w:r>
      <w:r>
        <w:rPr>
          <w:rFonts w:ascii="arial" w:eastAsia="arial" w:hAnsi="arial" w:cs="arial"/>
          <w:i/>
          <w:color w:val="000000"/>
          <w:sz w:val="20"/>
          <w:lang w:val="en-US" w:eastAsia="en-US" w:bidi="ar-SA"/>
        </w:rPr>
        <w:t>Fletcher v. Manitoba Public Insurance Co.</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at 217: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within the insurance industry, as also within the courts, private insurance agents and brokers are viewed as more than mere salespeople... The Continuing Legal Education Society of British Columbia's 1985 Seminar on Insurance Law focused on the services they provide, (at p. 6.1.03):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services of a competent agent or broker will include, in addition to advice on insurance, and the brokering or placing of insurance on behalf of the client, an active interest and involvement in loss prevention and a claims supervisory service to assist your client in the satisfactory settlement of the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entirely appropriate to hold private insurance agents and brokers to a stringent duty to provide both information and advice to their customers. They are, after all, licensed professionals who specialize in helping clients with risk assessment and in tailoring insurance policies to fit the particular needs of their customers. Their service is highly personalized, concentrating on the specific circumstances of each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However, I must examine the relationship in the particular factual context in which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 is sought to be imposed in this case in order to examine whether a "special relationship", one that is sufficiently proximate to warrant the imposition of a duty of care, exists. This was the direction given by the majority of the Court in </w:t>
      </w:r>
      <w:r>
        <w:rPr>
          <w:rFonts w:ascii="arial" w:eastAsia="arial" w:hAnsi="arial" w:cs="arial"/>
          <w:i/>
          <w:color w:val="000000"/>
          <w:sz w:val="20"/>
          <w:lang w:val="en-US" w:eastAsia="en-US" w:bidi="ar-SA"/>
        </w:rPr>
        <w:t>Deloitte &amp; Touche v. Livent Inc. (Receiver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2017 SCC 63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This Court has on occasion defined previously established categories of proximity in broad terms.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for example, the Court listed "[t]he duty of care of the motorist to other users of the highway; the duty of care of the doctor to his patient; the duty of care of the solicitor to her client" (para. 25). Proximate relationships will not always, however, be identified so generally. In particular, whether proximity exists between two parties at large, or whether it inheres only for particular purposes or in relation to particular actions, will depend upon the nature of the particular relationship at issue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Haig</w:t>
      </w:r>
      <w:r>
        <w:rPr>
          <w:rFonts w:ascii="arial" w:eastAsia="arial" w:hAnsi="arial" w:cs="arial"/>
          <w:color w:val="000000"/>
          <w:sz w:val="20"/>
          <w:lang w:val="en-US" w:eastAsia="en-US" w:bidi="ar-SA"/>
        </w:rPr>
        <w:t>, at p. 479). Indeed, and as we explain below, factors which support recognizing "novel" proximate relationships do so based upon the characteristics of the parties' relationship and the circumstances of each particular case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paras. 34-35).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It follows that, where a party seeks to base a finding of proximity upon a previously established or analogous category, a court should be attentive to the particular factors which justified recognizing that prior category in order to determine whether the relationship at issue is, in fact, truly the same as or analogous to that which was previously recognized. And, by corollary, courts should avoid identifying established categories in an overly broad manner because, again, residual policy considerations are not considered where proximity is found on the basis of an established category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39). Analytically, this makes sense. For a court to have previously recognized a proximate relationship, second-stage residual policy considerations must already have been taken into account. When, therefore, a court relies on an established category of proximity, it follows "that there are no overriding policy considerations that would [negate] the duty of care"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 consequence of this approach, however, is that a finding of proximity based upon a previously established or analogous category must be grounded not merely upon the identity of the parties, but upon examination of the particular relationship at issue in each case. Otherwise, courts risk recognizing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duties of care without any examination of pertinent second-stage residual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None of the parties were able to direct me to a line of authority that had conclusively determined whether or not a duty of care exists in the context of the specific relationship of directors, officers, and employees providing professional administrative insurance services to their company's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Plaintiffs relied on </w:t>
      </w:r>
      <w:r>
        <w:rPr>
          <w:rFonts w:ascii="arial" w:eastAsia="arial" w:hAnsi="arial" w:cs="arial"/>
          <w:i/>
          <w:color w:val="000000"/>
          <w:sz w:val="20"/>
          <w:lang w:val="en-US" w:eastAsia="en-US" w:bidi="ar-SA"/>
        </w:rPr>
        <w:t>North Waterloo Farmers Mutual Insurance Co. v. Wylie</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[1989] O.J. No. 1493</w:t>
        </w:r>
      </w:hyperlink>
      <w:r>
        <w:rPr>
          <w:rFonts w:ascii="arial" w:eastAsia="arial" w:hAnsi="arial" w:cs="arial"/>
          <w:color w:val="000000"/>
          <w:sz w:val="20"/>
          <w:lang w:val="en-US" w:eastAsia="en-US" w:bidi="ar-SA"/>
        </w:rPr>
        <w:t xml:space="preserve"> (H.C.J.) as being sufficiently analogous to this case to negate the need for a full duty of care analysis. In </w:t>
      </w:r>
      <w:r>
        <w:rPr>
          <w:rFonts w:ascii="arial" w:eastAsia="arial" w:hAnsi="arial" w:cs="arial"/>
          <w:i/>
          <w:color w:val="000000"/>
          <w:sz w:val="20"/>
          <w:lang w:val="en-US" w:eastAsia="en-US" w:bidi="ar-SA"/>
        </w:rPr>
        <w:t>Wylie</w:t>
      </w:r>
      <w:r>
        <w:rPr>
          <w:rFonts w:ascii="arial" w:eastAsia="arial" w:hAnsi="arial" w:cs="arial"/>
          <w:color w:val="000000"/>
          <w:sz w:val="20"/>
          <w:lang w:val="en-US" w:eastAsia="en-US" w:bidi="ar-SA"/>
        </w:rPr>
        <w:t>, Justice White described the basis for the duty owed by insurance agents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The duty of a broker such as Mr. Wylie was, in relation to the plaintiff insurers, one of the highest: good faith. He was, in effect, the insured's application form to the insurers for insurance.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make a disclosure of material information was the cause of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Wylie</w:t>
      </w:r>
      <w:r>
        <w:rPr>
          <w:rFonts w:ascii="arial" w:eastAsia="arial" w:hAnsi="arial" w:cs="arial"/>
          <w:color w:val="000000"/>
          <w:sz w:val="20"/>
          <w:lang w:val="en-US" w:eastAsia="en-US" w:bidi="ar-SA"/>
        </w:rPr>
        <w:t xml:space="preserve"> involved an action by a group of insurers against their individual insurance agents which is similar, but not identical, to the relationship between the parties in this case. Here, the Plaintiffs contracted with BGS for the professional insurance administration services which were, the claims allege, carried out by the Individual Defendants. The absence of a direct contractual relationship between Plaintiffs and the Individual Defendants does not negate the otherwise analogous circumstances of </w:t>
      </w:r>
      <w:r>
        <w:rPr>
          <w:rFonts w:ascii="arial" w:eastAsia="arial" w:hAnsi="arial" w:cs="arial"/>
          <w:i/>
          <w:color w:val="000000"/>
          <w:sz w:val="20"/>
          <w:lang w:val="en-US" w:eastAsia="en-US" w:bidi="ar-SA"/>
        </w:rPr>
        <w:t>Wylie</w:t>
      </w:r>
      <w:r>
        <w:rPr>
          <w:rFonts w:ascii="arial" w:eastAsia="arial" w:hAnsi="arial" w:cs="arial"/>
          <w:color w:val="000000"/>
          <w:sz w:val="20"/>
          <w:lang w:val="en-US" w:eastAsia="en-US" w:bidi="ar-SA"/>
        </w:rPr>
        <w:t xml:space="preserve">, since it is clear proximity does not require a direct contractual relationship: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at para. 49. In addition, the nature of the insurance services provided by the agents in </w:t>
      </w:r>
      <w:r>
        <w:rPr>
          <w:rFonts w:ascii="arial" w:eastAsia="arial" w:hAnsi="arial" w:cs="arial"/>
          <w:i/>
          <w:color w:val="000000"/>
          <w:sz w:val="20"/>
          <w:lang w:val="en-US" w:eastAsia="en-US" w:bidi="ar-SA"/>
        </w:rPr>
        <w:t>Wylie</w:t>
      </w:r>
      <w:r>
        <w:rPr>
          <w:rFonts w:ascii="arial" w:eastAsia="arial" w:hAnsi="arial" w:cs="arial"/>
          <w:color w:val="000000"/>
          <w:sz w:val="20"/>
          <w:lang w:val="en-US" w:eastAsia="en-US" w:bidi="ar-SA"/>
        </w:rPr>
        <w:t xml:space="preserve"> were similar to the services provided by BGS and the Individual Defendants in this case, namely assessment, disclosure and advice about the potential risk associated with binding policies to prospective insureds. In my view, the imposition of a duty of care on licensed insurance professionals towards the insurers for whom they are carrying out professional insurance services is not dependent on the nature of the insurance product of service being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may be that the relationship between the Plaintiffs and Individual Defendants in this case is analogous to the relationship between the parties in </w:t>
      </w:r>
      <w:r>
        <w:rPr>
          <w:rFonts w:ascii="arial" w:eastAsia="arial" w:hAnsi="arial" w:cs="arial"/>
          <w:i/>
          <w:color w:val="000000"/>
          <w:sz w:val="20"/>
          <w:lang w:val="en-US" w:eastAsia="en-US" w:bidi="ar-SA"/>
        </w:rPr>
        <w:t>Wylie</w:t>
      </w:r>
      <w:r>
        <w:rPr>
          <w:rFonts w:ascii="arial" w:eastAsia="arial" w:hAnsi="arial" w:cs="arial"/>
          <w:color w:val="000000"/>
          <w:sz w:val="20"/>
          <w:lang w:val="en-US" w:eastAsia="en-US" w:bidi="ar-SA"/>
        </w:rPr>
        <w:t xml:space="preserve"> where a duty of care was recognized. However, as noted above a single non-binding precedent does not definitively answer the issue: </w:t>
      </w:r>
      <w:r>
        <w:rPr>
          <w:rFonts w:ascii="arial" w:eastAsia="arial" w:hAnsi="arial" w:cs="arial"/>
          <w:i/>
          <w:color w:val="000000"/>
          <w:sz w:val="20"/>
          <w:lang w:val="en-US" w:eastAsia="en-US" w:bidi="ar-SA"/>
        </w:rPr>
        <w:t>Burke</w:t>
      </w:r>
      <w:r>
        <w:rPr>
          <w:rFonts w:ascii="arial" w:eastAsia="arial" w:hAnsi="arial" w:cs="arial"/>
          <w:color w:val="000000"/>
          <w:sz w:val="20"/>
          <w:lang w:val="en-US" w:eastAsia="en-US" w:bidi="ar-SA"/>
        </w:rPr>
        <w:t xml:space="preserve">, at para. 43. Therefore, I will now undertake a full duty of care analysis as urged by the Individual Defendants by addressing the second inquiry of the first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b/>
          <w:i/>
          <w:color w:val="000000"/>
          <w:sz w:val="20"/>
          <w:lang w:val="en-US" w:eastAsia="en-US" w:bidi="ar-SA"/>
        </w:rPr>
        <w:t>(2) Second inquiry: Is there a sufficiently proximate relationship between the Plaintiffs and the Individual Defendants such that it is just and fair to impose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next inquiry in accordance with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involves a full duty of care analysis. As noted by Justice Smith in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The proximity inquiry is concerned with the quality of the relationship that makes it fair to impose "an obligation [on the defendant] to be mindful of the plaintiff's legitimate interests in conducting his or her affairs"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 24). The inquiry focuses on whether the relationship between the plaintiff and the defendant was sufficiently close and direct to make the imposition of a private law duty of care fair and just. Evaluating the closeness of a relationship may involve looking at factors such as "expectations, representations, reliance, and the property or other interests involved ... to determine whether it is just and fair having regard to that relationship to impose a duty of care" (</w:t>
      </w:r>
      <w:r>
        <w:rPr>
          <w:rFonts w:ascii="arial" w:eastAsia="arial" w:hAnsi="arial" w:cs="arial"/>
          <w:i/>
          <w:color w:val="000000"/>
          <w:sz w:val="20"/>
          <w:lang w:val="en-US" w:eastAsia="en-US" w:bidi="ar-SA"/>
        </w:rPr>
        <w:t xml:space="preserve">Cooper </w:t>
      </w:r>
      <w:r>
        <w:rPr>
          <w:rFonts w:ascii="arial" w:eastAsia="arial" w:hAnsi="arial" w:cs="arial"/>
          <w:color w:val="000000"/>
          <w:sz w:val="20"/>
          <w:lang w:val="en-US" w:eastAsia="en-US" w:bidi="ar-SA"/>
        </w:rPr>
        <w:t>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Burke</w:t>
      </w:r>
      <w:r>
        <w:rPr>
          <w:rFonts w:ascii="arial" w:eastAsia="arial" w:hAnsi="arial" w:cs="arial"/>
          <w:color w:val="000000"/>
          <w:sz w:val="20"/>
          <w:lang w:val="en-US" w:eastAsia="en-US" w:bidi="ar-SA"/>
        </w:rPr>
        <w:t>,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examination of whether the "necessary degree of proximity" exists is to be undertaken in the context of the causes of action that arise from the pleadings, in this case negligent misrepresentation and negligent performance of a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the Supreme Court of Canada considered proximity in the context of claims of negligent misrepresentation and negligent performance of a service. The majority judgment includes the following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cases of pure economic loss arising from negligent misrepresentation or performance of a service, two factors are determinative in the proximity analysis: the defendant's undertaking and the plaintiff's reliance. Where the defendant undertakes to provide a representation or service in circumstances that invite the plaintiff's reasonable reliance, the defendant becomes obligated to take reasonable care. And, the plaintiff has a right to rely on the defendant's undertaking to do so (W. N. Hohfeld, "Some Fundamental Legal Conceptions as Applied in Judicial Reasoning" (1913), 23 </w:t>
      </w:r>
      <w:r>
        <w:rPr>
          <w:rFonts w:ascii="arial" w:eastAsia="arial" w:hAnsi="arial" w:cs="arial"/>
          <w:i/>
          <w:color w:val="000000"/>
          <w:sz w:val="20"/>
          <w:lang w:val="en-US" w:eastAsia="en-US" w:bidi="ar-SA"/>
        </w:rPr>
        <w:t>Yale L.J</w:t>
      </w:r>
      <w:r>
        <w:rPr>
          <w:rFonts w:ascii="arial" w:eastAsia="arial" w:hAnsi="arial" w:cs="arial"/>
          <w:color w:val="000000"/>
          <w:sz w:val="20"/>
          <w:lang w:val="en-US" w:eastAsia="en-US" w:bidi="ar-SA"/>
        </w:rPr>
        <w:t>. 16, at pp. 49-50). These corollary rights and obligations create a relationship of proximity (</w:t>
      </w:r>
      <w:r>
        <w:rPr>
          <w:rFonts w:ascii="arial" w:eastAsia="arial" w:hAnsi="arial" w:cs="arial"/>
          <w:i/>
          <w:color w:val="000000"/>
          <w:sz w:val="20"/>
          <w:lang w:val="en-US" w:eastAsia="en-US" w:bidi="ar-SA"/>
        </w:rPr>
        <w:t>Haig</w:t>
      </w:r>
      <w:r>
        <w:rPr>
          <w:rFonts w:ascii="arial" w:eastAsia="arial" w:hAnsi="arial" w:cs="arial"/>
          <w:color w:val="000000"/>
          <w:sz w:val="20"/>
          <w:lang w:val="en-US" w:eastAsia="en-US" w:bidi="ar-SA"/>
        </w:rPr>
        <w:t xml:space="preserve">, at p. 477; </w:t>
      </w:r>
      <w:r>
        <w:rPr>
          <w:rFonts w:ascii="arial" w:eastAsia="arial" w:hAnsi="arial" w:cs="arial"/>
          <w:i/>
          <w:color w:val="000000"/>
          <w:sz w:val="20"/>
          <w:lang w:val="en-US" w:eastAsia="en-US" w:bidi="ar-SA"/>
        </w:rPr>
        <w:t>Caparo Industries plc. v. Dickman</w:t>
      </w:r>
      <w:r>
        <w:rPr>
          <w:rFonts w:ascii="arial" w:eastAsia="arial" w:hAnsi="arial" w:cs="arial"/>
          <w:color w:val="000000"/>
          <w:sz w:val="20"/>
          <w:lang w:val="en-US" w:eastAsia="en-US" w:bidi="ar-SA"/>
        </w:rPr>
        <w:t xml:space="preserve">, [1990] 1 All E.R. 568 (H.L.), at pp. 637-38; </w:t>
      </w:r>
      <w:r>
        <w:rPr>
          <w:rFonts w:ascii="arial" w:eastAsia="arial" w:hAnsi="arial" w:cs="arial"/>
          <w:i/>
          <w:color w:val="000000"/>
          <w:sz w:val="20"/>
          <w:lang w:val="en-US" w:eastAsia="en-US" w:bidi="ar-SA"/>
        </w:rPr>
        <w:t>Glanzer v. Shepard</w:t>
      </w:r>
      <w:r>
        <w:rPr>
          <w:rFonts w:ascii="arial" w:eastAsia="arial" w:hAnsi="arial" w:cs="arial"/>
          <w:color w:val="000000"/>
          <w:sz w:val="20"/>
          <w:lang w:val="en-US" w:eastAsia="en-US" w:bidi="ar-SA"/>
        </w:rPr>
        <w:t xml:space="preserve">, 135 N.E. 275 (N.Y. 1922) at pp. 275-76;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174 N.E. 441 (N.Y. 1931), at pp. 445-46; E. J. Weinrib, "The Disintegration of Duty" (2006), 31 </w:t>
      </w:r>
      <w:r>
        <w:rPr>
          <w:rFonts w:ascii="arial" w:eastAsia="arial" w:hAnsi="arial" w:cs="arial"/>
          <w:i/>
          <w:color w:val="000000"/>
          <w:sz w:val="20"/>
          <w:lang w:val="en-US" w:eastAsia="en-US" w:bidi="ar-SA"/>
        </w:rPr>
        <w:t>Adv. Q</w:t>
      </w:r>
      <w:r>
        <w:rPr>
          <w:rFonts w:ascii="arial" w:eastAsia="arial" w:hAnsi="arial" w:cs="arial"/>
          <w:color w:val="000000"/>
          <w:sz w:val="20"/>
          <w:lang w:val="en-US" w:eastAsia="en-US" w:bidi="ar-SA"/>
        </w:rPr>
        <w:t>. 212, at p. 230).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Therefore, proximity can be established if the relational context set out in the pleadings is sufficient to conclude the Individual Defendants "inferentially assumed responsibility" for the Plaintiffs' interests: </w:t>
      </w:r>
      <w:r>
        <w:rPr>
          <w:rFonts w:ascii="arial" w:eastAsia="arial" w:hAnsi="arial" w:cs="arial"/>
          <w:i/>
          <w:color w:val="000000"/>
          <w:sz w:val="20"/>
          <w:lang w:val="en-US" w:eastAsia="en-US" w:bidi="ar-SA"/>
        </w:rPr>
        <w:t>Burke</w:t>
      </w:r>
      <w:r>
        <w:rPr>
          <w:rFonts w:ascii="arial" w:eastAsia="arial" w:hAnsi="arial" w:cs="arial"/>
          <w:color w:val="000000"/>
          <w:sz w:val="20"/>
          <w:lang w:val="en-US" w:eastAsia="en-US" w:bidi="ar-SA"/>
        </w:rPr>
        <w:t xml:space="preserve">, at para. 72. The underlying question is whether a duty of care should be imposed, taking into account all relevant factors disclosed by the circumstances: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(S.C.C.), the Court addressed the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that support a finding of reasonable reliance, citing with approval Professor Bruce Feldthusen's </w:t>
      </w:r>
      <w:r>
        <w:rPr>
          <w:rFonts w:ascii="arial" w:eastAsia="arial" w:hAnsi="arial" w:cs="arial"/>
          <w:i/>
          <w:color w:val="000000"/>
          <w:sz w:val="20"/>
          <w:lang w:val="en-US" w:eastAsia="en-US" w:bidi="ar-SA"/>
        </w:rPr>
        <w:t xml:space="preserve">Economic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(3rd ed. 1994), at para. 43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Professor Feldthusen (at pp. 62-63) sets out five general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reasonable reliance; namely:</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who possessed special skill, judgment or knowledge.</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specific enquiry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the exception of the second </w:t>
      </w:r>
      <w:r>
        <w:rPr>
          <w:rFonts w:ascii="arial" w:eastAsia="arial" w:hAnsi="arial" w:cs="arial"/>
          <w:i/>
          <w:color w:val="000000"/>
          <w:sz w:val="20"/>
          <w:lang w:val="en-US" w:eastAsia="en-US" w:bidi="ar-SA"/>
        </w:rPr>
        <w:t>general indicia/reasonable reliance</w:t>
      </w:r>
      <w:r>
        <w:rPr>
          <w:rFonts w:ascii="arial" w:eastAsia="arial" w:hAnsi="arial" w:cs="arial"/>
          <w:color w:val="000000"/>
          <w:sz w:val="20"/>
          <w:lang w:val="en-US" w:eastAsia="en-US" w:bidi="ar-SA"/>
        </w:rPr>
        <w:t xml:space="preserve">, these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are expressly articulated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allegation that the Individual Defendants were insurance professionals, with special skill, judgment, and knowledge, can be plainly inferred from the context of the pleadings, including the multiple references to the duties of insurance professionals. Even if not expressly articulated, the pleadings communicate the Plaintiffs' claims are founded on the factual allegation that the Individual Defendants owed the duties of insurance professionals in carrying out the services BGS contracted with the Plaintiffs to provide under the Professional Services Agreements, because they were insurance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On a motion to strike pleadings as disclosing no cause of action, I am to read the pleadings "as generously as possible and to accommodate any inadequacies in the form of the allegations which are merely the result of drafting deficiencies":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451, cited with approval by Frankel J.A. in </w:t>
      </w:r>
      <w:r>
        <w:rPr>
          <w:rFonts w:ascii="arial" w:eastAsia="arial" w:hAnsi="arial" w:cs="arial"/>
          <w:i/>
          <w:color w:val="000000"/>
          <w:sz w:val="20"/>
          <w:lang w:val="en-US" w:eastAsia="en-US" w:bidi="ar-SA"/>
        </w:rPr>
        <w:t>Chang Estate</w:t>
      </w:r>
      <w:r>
        <w:rPr>
          <w:rFonts w:ascii="arial" w:eastAsia="arial" w:hAnsi="arial" w:cs="arial"/>
          <w:color w:val="000000"/>
          <w:sz w:val="20"/>
          <w:lang w:val="en-US" w:eastAsia="en-US" w:bidi="ar-SA"/>
        </w:rPr>
        <w:t>, para. 40. Without conceding amendment of the pleadings was necessary, counsel for Equitable provided me with a draft amended notice of civil claim which addressed the material factual gap alleged by the Individual Defendants. Counsel for Foresters indicated he could easily prepare a similar amendment to his client's pleading. I was also advised the Individual Defendants have admitted they were insurance professionals in their responses to the notices of civil claim, although I do not rely on that advice in formulating my conclusions. In my view, any factual deficiencies in the pleadings are technical drafting errors and can easily be cured by amendment. While I do not order amendment of the pleadings, I grant the Plaintiffs leave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say the nature of the relationship between the parties provides a relational context upon which the trial judge could conclude it is fair and just to impose a duty of care. I cannot conclude it is plain and obvious they are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noted by Chief Justice McLachlin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asserted basis for proximity is grounded in specific conduct and interactions, ruling a claim out at the proximity stage may be difficult. So long as there is a reasonable prospect that the asserted interactions could, if true, result in a finding of sufficient proximity, and the statute does not exclude that possibility, the matter must be allowed to proceed to trial, subject to any policy considerations that may negate the prima facie duty of care at the second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it is not plain and obvious the court would refuse to draw such an inference from the relational facts pled in this case. It is a matter that requires a full evidentiary basis for determination.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b) </w:t>
      </w:r>
      <w:r>
        <w:rPr>
          <w:rFonts w:ascii="arial" w:eastAsia="arial" w:hAnsi="arial" w:cs="arial"/>
          <w:b/>
          <w:i/>
          <w:color w:val="000000"/>
          <w:sz w:val="20"/>
          <w:u w:val="single"/>
          <w:lang w:val="en-US" w:eastAsia="en-US" w:bidi="ar-SA"/>
        </w:rPr>
        <w:t>Stage two of the Anns/Cooper test:</w:t>
      </w:r>
      <w:r>
        <w:rPr>
          <w:rFonts w:ascii="arial" w:eastAsia="arial" w:hAnsi="arial" w:cs="arial"/>
          <w:b/>
          <w:i/>
          <w:color w:val="000000"/>
          <w:sz w:val="20"/>
          <w:lang w:val="en-US" w:eastAsia="en-US" w:bidi="ar-SA"/>
        </w:rPr>
        <w:t xml:space="preserve"> Are there any residual policy reasons for negating the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Having found it is not plain and obvious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I will now consider whether there are any residual policy reasons for negating the imposition of a duty of care on the Individual Defendants. If it is plain and obvious these policy reasons exist, the Plaintiffs' claims should be struck: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At this stage of the proximity analysis, the focus is on the policy considerations beyond the immediate relationship of the parties. The majority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described those policy considerations in the following terms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not concerned with the relationship between the parties, but with the effect of recognizing a duty of care on other legal obligations, the legal system and society more generally. Does the law already provide a remedy? Would recognition of the duty of care create the spectre of unlimited liability to an unlimited class? Are there other reasons of broad policy that suggest that the duty of care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None of these residual policy considerations were relied on by the Individual Defendants. Instead, they argued the imposition of a duty of care in these circumstances would discourage individuals from being willing to serve as corporate directors. In my view, this concern is at best speculative at this stage of the proceeding and is not a residual policy consideration I would rely on as precluding the imposition of a duty of care. If such a residual policy consideration is to be established by the Individual Plaintiffs, in my view, it would require an evidentiary foundation which is not available on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the foregoing reasons, I find it is not plain and obvious the Individual Defendants did not owe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conclusion, the Individual Defendants' applications to strike the pleadings against them as disclosing no reasonable cause of action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grant leave to the Plaintiffs to amend their respective pleadings within 45 days of these reasons to address any factual deficiencies asserted by the Individual Defendants during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JACKSON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Gadsby v. British Columbia (Attorney General), [2019] B.C.J. No. 1780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 Matthews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28 and August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S177350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1780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1596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Elizabeth Gadsby (Gadsby) and Seaview Villa Estates Ltd. (Seaview), Plaintiffs, and Her Majesty the Queen in Right of the Province of British Columbia/BC Ministry of The Attorney General (BCAG), Cove Mortgage Ltd./CMIC Mortgage Investment Corp. (Cove/CMIC), Andrew Bury, Lawyer, Gowlings WLG (Bury), Landquest Realty Corp. (Landquest), Richard Osborne, President, Landquest Realty Corp. (Osborne), Jason Zroback, Selling Realtor, Landquest Realty Corp. (Zroback), Ken Tiderleigh, Agent For Buyer (Tiderleigh) (Deceased), Crown Point Developments, The Strongman Group (Strongman Group), Gerry Strongman (Gerry), Marc Strongman, Buyer (Marc), 1042635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7" w:name="Keywords_34"/>
      <w:bookmarkEnd w:id="237"/>
      <w:r>
        <w:rPr>
          <w:rFonts w:ascii="arial" w:eastAsia="arial" w:hAnsi="arial" w:cs="arial"/>
          <w:b/>
          <w:color w:val="000000"/>
          <w:sz w:val="20"/>
          <w:lang w:val="en-US" w:eastAsia="en-US" w:bidi="ar-SA"/>
        </w:rPr>
        <w:t xml:space="preserve">Civil litigation — Civil procedure — Disposition without trial — Dismissal of action — Frivolous, vexatious or abuse of process — Application by some defendants for dismissal of the action against them as an abuse of process allowed — Plaintiff sued mortgagee, lender's lawyer in the foreclosure proceedings and the realtors acting on the court ordered sale for conspiracy,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the duty of good faith and honest performance alleged of improvident sale — Claims were largely attempts to re-litigate the court-order approved sale and thus engaged the doctrine of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8" w:name="Case Summary_34"/>
            <w:bookmarkEnd w:id="2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some defendants for dismissal of the action against them as an abuse of process. The defendants were the mortgagee, the company which arranged the mortgage, the lender's lawyer in the foreclosure proceedings and the realtors acting on the court ordered sale. The plaintiff owned a development property. After completion of phase one, the plaintiff defaulted on the mortgage. The property was foreclosed. The mortgagee obtained an order approving the sale of the property for $550,000. The plaintiff commenced the present action alleging the defendants engaged in a conspiracy to drive the price of the property down and then had it sold by court-approved sale at this lower price. The plaintiff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several of the defendants and breach of the duty of good faith and honest performance against several others in relation to these foreclosure matters. The defendants argued the plaintiffs' claims were an abuse of process because they attempted to re-litigate matters already addressed in the court-approved order for sale of the plaintiff's property and sought relief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no duty of care was owed at 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9" w:name="Holdings of Court_30"/>
            <w:bookmarkEnd w:id="23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were largely attempts to re-litigate the court-order approved sale and thus engaged the doctrine of abuse of process. The providence of the sale had been litigated and resulted in the orders granting the order for sale and dismissing the plaintiff's appeal from the order. The plaintiff did not include any factual assertions to support a claim of fraud on the court or any particulars of fraud beyond the fact that the property sold for below market price that would warrant a re-determination of this issue. The alleged new matters were not new matters but attempts to re-litigate the approval of the sale. They were not matters which demonstrated fraud or dishonesty in the proceedings leading up to and including the approval of the sale, and they did not call into question the fairness of the approval of the sale proceedings. The pleadings in relation to the conspiracy claim were also inadequate and the conspiracy claim as pleaded disclosed no cause of action. The plaintiff had not led any evidence in relation to lack of good faith or dishonest performance of the mortgagee with respect to the sale. The lack of any contractual relations between the plaintiff and the other defendant was sufficient to dismiss these claims. The claim against the mortgagee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an attempt to re-litigate the court-approved sale. The pleaded particulars of the claim related to facts that were or should have been raised when the providence of the sale was considered. There was no duty of care on a lender who was foreclosing to protect the borrower. The mortgagee's lawyer owed no duty of care owed to the plaintiff in the foreclosure proceedings.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also deficient.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0" w:name="Legislation Cited_23"/>
      <w:bookmarkEnd w:id="2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9-5(1), Rule 9-6(a), Rule 9-6(c),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1" w:name="Counsel_35"/>
      <w:bookmarkEnd w:id="2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appearing on her own behalf and on behalf of Seaview Villa Estates Ltd.: J. Gadsby.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Andrew Bury, Lawyer, Gowlings WLG: V.G.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Cove Mortgage Ltd./CMIC Mortgage Investment Corp.: A.J. Pearson.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Landquest Realty Corp., Richard Osborne, Jason Zroback: D.J. Marks.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2" w:name="Judgment_35"/>
      <w:bookmarkEnd w:id="242"/>
      <w:r>
        <w:pict>
          <v:line id="_x0000_s1208"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3" w:name="S. MATTHEWS J. (orally)"/>
            <w:bookmarkEnd w:id="243"/>
            <w:r>
              <w:rPr>
                <w:rFonts w:ascii="arial" w:eastAsia="arial" w:hAnsi="arial" w:cs="arial"/>
                <w:b/>
                <w:color w:val="000000"/>
                <w:sz w:val="30"/>
                <w:lang w:val="en-US" w:eastAsia="en-US" w:bidi="ar-SA"/>
              </w:rPr>
              <w:t>S. MATTHEWS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were given orally after hearing applications brought by several defendants to dismiss the plaintiffs' claims relating to the sale of the plaintiffs' development property. I have edited the reasons delivered orally without changing the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common argument running through all of the applications is that the plaintiffs' claims are an abuse of process because they attempt to re-litigate matters already addressed in the court-approved order for sale of the plaintiffs' property and seek relief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no duty of care is owed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Joan Gadsby, through her corporation, the plaintiff Seaview Villa Estates Ltd., owned property in Sechelt, British Columbia, to which I will refer to as the Seaview property. Ms. Gadsby and Seaview had completed Phase 1 of a residential development on the Seaview property and were working towards the next phase when they were no longer able to make the mortgage payments. The Seaview property was foreclosed. The defendants Cove Mortgage Ltd. and CMIC Mortgage Investment Corp., to whom I will refer to as Cove and CMIC, sought and were granted an order for conduct of sale followed some years later by an order approving the sale of the Seaview property for $550,000.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Gadsby and Seaview subsequently filed this claim in which they allege that the defendants engaged in a conspiracy to drive the price of their Seaview property down and then have the Seaview property sold by court-approved sale at this lower price. Ms. Gadsby and Seaview also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several of the defendants and breach of the duty of good faith and honest performance against several others in relation to these foreclosure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Three sets of defendants have brought these applications to dismiss. The first set is the lender, CMIC, and Cove, a company which arranged the mortgage; the second is CMIC's lawyer and his law firm in the foreclosure proceedings, Andrew Bury and Gowlings WLG, to whom I will refer to as Mr. Bury and Gowlings; and the third set is the realtors on the court-ordered sale, Landquest Realty Corp., Jason Zroback, and Richard Osborne, to whom I will refer as the Landquest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Some defendants did not appear on this application. Mr. Justice Davies dismissed the claims against the defendant British Columbia, Ministry of the Attorney General, on an earlier application. That is under appeal. The defendant named as Ken Tiderleigh, whose name is actually Tiderington, is deceased. The defendants Strongman Group, Mark Strongman, and 1042635 B.C. Ltd., to whom I will refer as the Strongman defendants, have delivered an application to have the claims against them dismissed, but the application did not proceed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Seaview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2007, Ms. Gadsby, through Seaview, borrowed money from CMIC for the purposes of a phase strata development on the Seaview property. The loan was secured by a mortgage arranged by Cove.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26, 2010, Seaview entered into a multiple listing contract with Landquest Realty Ltd. for the Seaview property, with Richard Osborne as one of the designated licensees. In October 2010, at the request of Ms. Gadsby, all parties to the listing agreement entered into an unconditional release of Seaview from the terms and conditions of the 2010 listing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of November 2010, Seaview was in default under the mortgage. In February 2011, foreclosure proceedings were commenced by CMIC against Seaview and Ms. Gadsby. On May 30, 2011, Master Scarth granted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and provided for a seven month redemption period, ending January 1, 2012. The redemption amount was set at $1,058,645.34. On November 17, 2011, Mr. Justice McEwan made an order granting conduct of the sale of the Seaview property to the second mortgagee, the Business Development Bank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9, 2012, Master Tokarek made orders that the redemption period be extended to June 2012, and that the second mortgagee's conduct of sale be continued until that time, after which CMIC would have exclusive conduct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Seaview property did not sell during this extended redemption period. On August 1, 2012, Master Tokarek, unreported Vancouver docket H110201, dismissed an application brought by Ms. Gadsby and Seaview to further extend the redemption period by three months. In doing so, Master Tokarek addressed Ms. Gadsby's arguments that the Seaview property was improperly being sold below market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Ms. Gadsby forcefully submits that the listing price is nothing more than a low ball offer that is so drastically below the market value that it would do nothing but prejudice her and that she knows in her heart and through her contacts and through her experience that the property is worth substantially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What she cannot explain and did not explain, despite my offering her several opportunities to do so, was the incongruity of saying this is a low-ball fire sale price that is $2 million below market value on the one hand, and not being able to explain why there was not one single expression of interest in this property at that incredibly low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There can be no question but that this property has been properly marketed, that there is been an extensive and more than adequate, in fact, a most generous redemption period provided to Ms. Gadsby, and that, in fact, the submissions made by Ms. Gadsby today are simply yet another effort to repeat what I recall as being the same arguments made before me and what counsel advised were the same arguments made before others during the course of the various steps taken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August 1, 2012 hearing, CMIC's lawyer, Andrew Bury, addressed Ms. Gadsby's concerns that the content of the marketing of the Seaview property would inspire low-ball offers because of the use of the term "court-ordered sale". Mr. Bury gave his assurance that the term would not be used in the marketing of the Seaview property. Mr. Bury deposed that he advised the listing realtor at the time not to use the term. Despite this instruction, the term was used in listings in both January and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7, 2014, CMIC entered into a multiple listing contract with Landquest for the purposes of listing and selling the Seaview property. Jason Zroback, a realtor at Landquest, was the designated licensee. From August 8, 2014, to February 11, 2015, the listing price was $899,000. On May 6, 2015, the listing price was dropped to $549,000.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late May 2015, CMIC entered into a contract of purchase and sale for the Seaview property with Crown Point Development for the price of $550,000. On July 10, 2015, Crown Point assigned the contract to the defendant 1042635 B.C. Ltd. The Crown Point offer was the only offer that CMIC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Gadsby argues that she had an appraisal that valued the land alone at $1,876,000 and the entire project, not including Phase 1, at over $3 million. She claims that many persons were interested in purchasing the property for a sum much closer to the appraised price than the approved sale price of $550,000. For example, she deposed that she had a conditional offer on October 23, 2012, from an out-of-country buyer at $2,950,000, but the sale did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August 1, 2012 reasons, Master Tokarek addressed these types of efforts made by Ms. Gadsby as communicated to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At present, there is nothing before the court to suggest that [Ms. Gadsby will salvage the situation]. She has appeared before with a suggestion of an offer or a prospective purchaser. That did not materialize. She says she has 26 people lined up who are interested in buying, but nothing concrete in terms of evidence before me in that respect. I do not have any written expressions of intentions, offers to purchase, or expressions of interest. I do not have anything other than Ms. Gadsby saying yet again, "I have people, I can find people who will buy this property and we can all make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You have had indulgences with respect to effectively interfering for a short period of time -- I do not mean that disrespectfully, "interfering" is a neutral word -- in the sale process by having the . . . back up to $2.75 for a while so that you could do something. The court has bent over to try to accommodate you with respect to every reasonable plan that you have put forward, every suggestion that you wanted, from a seven-month redemption period initially to the marketing effort, as I have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application for court approval of the sale was heard by Master Harper on July 27, 2015. Ms. Gadsby and Seaview opposed the application and sought an adjournment. One of the reasons for seeking the adjournment was so that Ms. Gadsby could complete a joint venture co-guarantor agreement between Seaview and Wolfgang Duntz, the CEO of Bowen Island Properties. Ms. Gadsby said this agreement would return a profit of $6.1 million on the Seaview property development. Another reason she advanced was that Seaview's lawyer, who Ms. Gadsby described to this Court on these applications as the "non-litigation lawyer", was on holidays. This lawyer was not Seaview's lawyer of record on the foreclosure proceedings and had not represented Seaview on the foreclosure proceedings in court up to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Master Harper dismissed the adjournment application and granted the order approving the sale. On the same day that the sale was approved, after the application, Ms. Gadsby learned that the assignee on the approved sale was a numbered company incorporated by the defendant Marc Strongman. In 2013 Ms. Gadsby met with Mr. Strongman as she was looking for an investor or purchaser for the Seaview property. She alleges that Mr. Strongman told her it was not the right project for him or his group. She alleges that he used confidential information she provided to him in 2013 to become the successful assignee purchaser at a below-market price of $550,000.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Gadsby and Seaview appealed the order of Master Harper. The appeal was dismissed by Mr. Justice Leask on August 7, 2015. They did not appeal Mr. Justice Leask's order. The Seaview property was sold August 11, 2015. The selling price was well below the indebtedness to CMIC.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Seaview development foreclosure proceedings form the basis of Ms. Gadsby and Seaview's claims in this matter. This action is related to an action that Ms. Gadsby and Seaview previously brought against several of these defendants regarding Ms. Gadsby's long-time residence in North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North Vancouver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about 2008, Ms. Gadsby took out a third mortgage on her residential home in North Vancouver from CMIC. By 2010, Ms. Gadsby was unable to meet the mortgage obligations on her home and foreclosure proceedings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May 2011,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granted in the North Vancouver property foreclosure. The redemption period lapsed. In January 2012, Master Scarth granted an order for conduct of sale and granted CMIC conduct of the sale, but delayed implementation of the order until June 2012. In July 2012, the home was listed for sale. The home did not sell until March 2013, when Master McDiarmid approved a sale for $876,100 after a competitive bid process. Ms. Gadsby's appeal of Master McDiarmid's order approving the sale and application to stay the order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November 2016, Ms. Gadsby and Seaview filed a notice of civil claim against Cove Mortgage Ltd. and CMIC, their lawyer Mr. Bury, the listing realtor, the agent for the successful bidder, and the unnamed secret bidder alleging collusion and conspiracy to mislead the court during the foreclosure proceedings and to fraudulently cause the home to be sold for much less than the true market value between. As evidence of this, Ms. Gadsby asserted that the North Vancouver property resold a few months after Master McDiarmid's order for approximately $200,000 more than the $876,100 approved selling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 June 15, 2017, Mr. Justice Groves dismissed the claim pertaining to the sale of the North Vancouver property as against most of the defendants, including Cove and CMIC, Mr. Bury, and Gowlings under Rule 9-6, because the claim was brought out of time: </w:t>
      </w:r>
      <w:r>
        <w:rPr>
          <w:rFonts w:ascii="arial" w:eastAsia="arial" w:hAnsi="arial" w:cs="arial"/>
          <w:i/>
          <w:color w:val="000000"/>
          <w:sz w:val="20"/>
          <w:lang w:val="en-US" w:eastAsia="en-US" w:bidi="ar-SA"/>
        </w:rPr>
        <w:t>Gadsby v. B.C. (Ministry of Attorney General)</w:t>
      </w:r>
      <w:r>
        <w:rPr>
          <w:rFonts w:ascii="arial" w:eastAsia="arial" w:hAnsi="arial" w:cs="arial"/>
          <w:color w:val="000000"/>
          <w:sz w:val="20"/>
          <w:lang w:val="en-US" w:eastAsia="en-US" w:bidi="ar-SA"/>
        </w:rPr>
        <w:t>, unreported, Vancouver Docket S1610729. Having reached that conclusion, Mr. Justice Groves determined that was not necessary to address the matter under the Rule 9-7 summary trial rule and so did not rule on the substance of the conspiracy claim. Mr. Justice Groves did, however, observe that there was no evidence of a conspiracy and pointed out that Cove and CMIC sustained a shortfall of $700,000 on the mortgages of Ms. Gadsby's home and the Seaview property. Justice Groves commented that it would not make sense for Cove and CMIC to conspire to harm themselves in that manner, and it would not be in the interests of justice for Ms. Gadsby to continue the litigation in search of evidence of a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Ms. Gadsby appealed. On October 30, 2017, Mr. Justice Goepel ordered that security for costs in the amount of $5,000 be posted by Ms. Gadsby: </w:t>
      </w:r>
      <w:r>
        <w:rPr>
          <w:rFonts w:ascii="arial" w:eastAsia="arial" w:hAnsi="arial" w:cs="arial"/>
          <w:i/>
          <w:color w:val="000000"/>
          <w:sz w:val="20"/>
          <w:lang w:val="en-US" w:eastAsia="en-US" w:bidi="ar-SA"/>
        </w:rPr>
        <w:t>Gadsby v. British Columbia (Ministry of Attorney General)</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2017 BCCA 375</w:t>
        </w:r>
      </w:hyperlink>
      <w:r>
        <w:rPr>
          <w:rFonts w:ascii="arial" w:eastAsia="arial" w:hAnsi="arial" w:cs="arial"/>
          <w:color w:val="000000"/>
          <w:sz w:val="20"/>
          <w:lang w:val="en-US" w:eastAsia="en-US" w:bidi="ar-SA"/>
        </w:rPr>
        <w:t xml:space="preserve">. On July 11, 2018, the appeal was placed on the inactive list. Ms. Gadsby's application to reinstate her appeal was dismissed by Madam Justice MacKenzie on January 29, 2019, in an unreported decision, </w:t>
      </w:r>
      <w:r>
        <w:rPr>
          <w:rFonts w:ascii="arial" w:eastAsia="arial" w:hAnsi="arial" w:cs="arial"/>
          <w:i/>
          <w:color w:val="000000"/>
          <w:sz w:val="20"/>
          <w:lang w:val="en-US" w:eastAsia="en-US" w:bidi="ar-SA"/>
        </w:rPr>
        <w:t>Gadsby v. British Columbia</w:t>
      </w:r>
      <w:r>
        <w:rPr>
          <w:rFonts w:ascii="arial" w:eastAsia="arial" w:hAnsi="arial" w:cs="arial"/>
          <w:color w:val="000000"/>
          <w:sz w:val="20"/>
          <w:lang w:val="en-US" w:eastAsia="en-US" w:bidi="ar-SA"/>
        </w:rPr>
        <w:t>, Court of Appeal Docket CA44576. This appears to have brought the North Vancouver property litigation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Gadsby and Seaview commenced this action on August 4, 2017. Ms. Gadsby and Seaview plead conspiracy against all defendants. They allege that the defendants conspired to deliver the Seaview property to the defendant 1042635 B.C. Ltd. at substantially below market value, thereby depriving Ms. Gadsby of her economic interest in the Seaview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Gadsby and Seaview make the following claims in addition to the conspiracy claim:</w:t>
      </w:r>
      <w:r>
        <w:rPr>
          <w:rFonts w:ascii="arial" w:eastAsia="arial" w:hAnsi="arial" w:cs="arial"/>
          <w:sz w:val="20"/>
          <w:lang w:val="en-US" w:eastAsia="en-US" w:bidi="ar-SA"/>
        </w:rPr>
        <w:cr/>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Strongman defendants: unjust enrichment by using information given to them in confidence by Ms. Gadsby to their own benefit and contrary to their duties of honest performance and good faith in business dealings;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Mr. Bury and Gowlings: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marketing activities and low-ball sale of the Seaview property deceived and manipulated the court and represented malicious abuse of the court process;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Bury was negligent and failed in his duty as an officer of the court to ensure that the rights of Ms. Gadsby, a self-represented litigant, were protected, and that she receive a standard of fair treatment by the court;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Mr. Bury breached his duty of care and good faith and honest performance and permitted professional conduct contrary to the Law Society's </w:t>
      </w:r>
      <w:r>
        <w:rPr>
          <w:rFonts w:ascii="arial" w:eastAsia="arial" w:hAnsi="arial" w:cs="arial"/>
          <w:i/>
          <w:color w:val="000000"/>
          <w:sz w:val="20"/>
          <w:lang w:val="en-US" w:eastAsia="en-US" w:bidi="ar-SA"/>
        </w:rPr>
        <w:t>Code of Professional Conduct for British Columbia</w:t>
      </w:r>
      <w:r>
        <w:rPr>
          <w:rFonts w:ascii="arial" w:eastAsia="arial" w:hAnsi="arial" w:cs="arial"/>
          <w:color w:val="000000"/>
          <w:sz w:val="20"/>
          <w:lang w:val="en-US" w:eastAsia="en-US" w:bidi="ar-SA"/>
        </w:rPr>
        <w:t xml:space="preserve"> by unethical conduct in court, including his assurance to the court that the phrase "court-ordered sale" would not be used in the marketing of the property;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Cove and CMIC:</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actions of Mr. Bury;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their duty of good faith and honest performance, and fairness in respect to its first mortgage on Seaview.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claims against the Landquest defendants are not set out in the cause of action section of the notice of civil claim, but there is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Landquest Realty and Mr. Zroback, as well as the conspiracy claims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not describe the claims against British Columbia, as they have been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CMIC applied for security for costs in this matter. Mr. Justice Crossin granted the application and observed that the conspiracy claim regarding the Seaview property mirrors in many ways the plaintiffs' claim in relation to the North Vancouver foreclosure proceedings. Mr. Justice Crossin's reasons are reported at </w:t>
      </w:r>
      <w:r>
        <w:rPr>
          <w:rFonts w:ascii="arial" w:eastAsia="arial" w:hAnsi="arial" w:cs="arial"/>
          <w:i/>
          <w:color w:val="000000"/>
          <w:sz w:val="20"/>
          <w:lang w:val="en-US" w:eastAsia="en-US" w:bidi="ar-SA"/>
        </w:rPr>
        <w:t>Gadsby v. British Columbia (Attorney General)</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2018 BCSC 81</w:t>
        </w:r>
      </w:hyperlink>
      <w:r>
        <w:rPr>
          <w:rFonts w:ascii="arial" w:eastAsia="arial" w:hAnsi="arial" w:cs="arial"/>
          <w:color w:val="000000"/>
          <w:sz w:val="20"/>
          <w:lang w:val="en-US" w:eastAsia="en-US" w:bidi="ar-SA"/>
        </w:rPr>
        <w:t xml:space="preserve"> at para. 27. His reasons for ordering security for costs included that this claim was revisiting and rearguing the positions Ms. Gadsby took before the court during both foreclosure proceedings and he could not discern any material facts in the claim that supported the allegations concerning CMIC. He held that while the matter might well evolve by the time it eventually reached the court, the apparent weakness of the claim supported the security for costs order (paras. 38-42).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March 2019, Mr. Justice Davies struck the plaintiffs' claim against British Columbia and the Attorney General under Rule 9-5(1)(a). Amongst other reasons for doing so, Davies J. found that the pleadings against the Attorney General were collateral attacks upon existing orders because they sought to re-litigate the court-approved sale. Mr. Justice Davies was not prepared to find that those pleadings could be rectified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applications to dismiss the claim are brought by CMIC, Cove, Andrew Bury, and Gowlings pursuant to the summary trial rule,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Landquest defendants have brought their application pursuant to Rule 9-5(1), dismissal for failing to disclose a cause of action, or Rule 9-6(a) and (c), summary judgment. The central sub-rules of these rules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Judgment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Rule 9-5 -- Striking Pleadings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Rule 9-6 -- Summary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recently described in </w:t>
      </w:r>
      <w:r>
        <w:rPr>
          <w:rFonts w:ascii="arial" w:eastAsia="arial" w:hAnsi="arial" w:cs="arial"/>
          <w:i/>
          <w:color w:val="000000"/>
          <w:sz w:val="20"/>
          <w:lang w:val="en-US" w:eastAsia="en-US" w:bidi="ar-SA"/>
        </w:rPr>
        <w:t>Beach Estate v. Beach</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2019 BCCA 277</w:t>
        </w:r>
      </w:hyperlink>
      <w:r>
        <w:rPr>
          <w:rFonts w:ascii="arial" w:eastAsia="arial" w:hAnsi="arial" w:cs="arial"/>
          <w:color w:val="000000"/>
          <w:sz w:val="20"/>
          <w:lang w:val="en-US" w:eastAsia="en-US" w:bidi="ar-SA"/>
        </w:rPr>
        <w:t>, Rule 9-5 looks to the pleadings only and no evidence is admissible. Under Rule 9-6, evidence is reviewed but is not weighed. Under Rule 9-7, evidence is reviewed and must be weighed: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Rule 9-5 is a challenge on the pleadings. Rule 9-6 is a challenge on a limited review of evidence. A defendant can succeed on a Rule 9-6 application by showing the case pleaded by the plaintiff is unsound or by adducing sworn evidence that gives a complete answer to the plaintiff's case: </w:t>
      </w:r>
      <w:r>
        <w:rPr>
          <w:rFonts w:ascii="arial" w:eastAsia="arial" w:hAnsi="arial" w:cs="arial"/>
          <w:i/>
          <w:color w:val="000000"/>
          <w:sz w:val="20"/>
          <w:lang w:val="en-US" w:eastAsia="en-US" w:bidi="ar-SA"/>
        </w:rPr>
        <w:t>B &amp; L Holdings Inc. v. SNFW Fitness BC Ltd.</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2018 BCCA 221</w:t>
        </w:r>
      </w:hyperlink>
      <w:r>
        <w:rPr>
          <w:rFonts w:ascii="arial" w:eastAsia="arial" w:hAnsi="arial" w:cs="arial"/>
          <w:color w:val="000000"/>
          <w:sz w:val="20"/>
          <w:lang w:val="en-US" w:eastAsia="en-US" w:bidi="ar-SA"/>
        </w:rPr>
        <w:t xml:space="preserve"> at para. 46, quoting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(1981), 25 B.C.L.R. 330</w:t>
      </w:r>
      <w:r>
        <w:rPr>
          <w:rFonts w:ascii="arial" w:eastAsia="arial" w:hAnsi="arial" w:cs="arial"/>
          <w:color w:val="000000"/>
          <w:sz w:val="20"/>
          <w:lang w:val="en-US" w:eastAsia="en-US" w:bidi="ar-SA"/>
        </w:rPr>
        <w:t xml:space="preserve"> at 335; </w:t>
      </w:r>
      <w:r>
        <w:rPr>
          <w:rFonts w:ascii="arial" w:eastAsia="arial" w:hAnsi="arial" w:cs="arial"/>
          <w:i/>
          <w:color w:val="000000"/>
          <w:sz w:val="20"/>
          <w:lang w:val="en-US" w:eastAsia="en-US" w:bidi="ar-SA"/>
        </w:rPr>
        <w:t>International Taoist Church of Canada v. Ching Chong Taoist Association of Hong Kong Ltd.</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 14. Such evidence generally is adduced in the form of an affidavit. If the court is satisfied that the plaintiff is bound to lose or the claim has no chance of success, the defendant must succeed on the Rule 9-6 application: </w:t>
      </w:r>
      <w:r>
        <w:rPr>
          <w:rFonts w:ascii="arial" w:eastAsia="arial" w:hAnsi="arial" w:cs="arial"/>
          <w:i/>
          <w:color w:val="000000"/>
          <w:sz w:val="20"/>
          <w:lang w:val="en-US" w:eastAsia="en-US" w:bidi="ar-SA"/>
        </w:rPr>
        <w:t>Canada v. Lameman</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paras. 10-11. Conversely, if the plaintiff submits evidence contradicting the defendant's evidence in some material respect or if the defendant's evidence in support of the Rule 9-6 application fails to meet all of the causes of action raised by the plaintiff's pleadings, the application must be dismissed: </w:t>
      </w:r>
      <w:r>
        <w:rPr>
          <w:rFonts w:ascii="arial" w:eastAsia="arial" w:hAnsi="arial" w:cs="arial"/>
          <w:i/>
          <w:color w:val="000000"/>
          <w:sz w:val="20"/>
          <w:lang w:val="en-US" w:eastAsia="en-US" w:bidi="ar-SA"/>
        </w:rPr>
        <w:t>B &amp; L Holdings Inc</w:t>
      </w:r>
      <w:r>
        <w:rPr>
          <w:rFonts w:ascii="arial" w:eastAsia="arial" w:hAnsi="arial" w:cs="arial"/>
          <w:color w:val="000000"/>
          <w:sz w:val="20"/>
          <w:lang w:val="en-US" w:eastAsia="en-US" w:bidi="ar-SA"/>
        </w:rPr>
        <w:t xml:space="preserve">. at para. 46, quoting </w:t>
      </w:r>
      <w:r>
        <w:rPr>
          <w:rFonts w:ascii="arial" w:eastAsia="arial" w:hAnsi="arial" w:cs="arial"/>
          <w:i/>
          <w:color w:val="000000"/>
          <w:sz w:val="20"/>
          <w:lang w:val="en-US" w:eastAsia="en-US" w:bidi="ar-SA"/>
        </w:rPr>
        <w:t>Progressive Construction Ltd</w:t>
      </w:r>
      <w:r>
        <w:rPr>
          <w:rFonts w:ascii="arial" w:eastAsia="arial" w:hAnsi="arial" w:cs="arial"/>
          <w:color w:val="000000"/>
          <w:sz w:val="20"/>
          <w:lang w:val="en-US" w:eastAsia="en-US" w:bidi="ar-SA"/>
        </w:rPr>
        <w:t>. at 335.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Although an application under Rule 9-6 invokes the court's consideration of evidence, it is not a summary trial: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at para. 32. The judge is not permitted to weigh evidence on a Rule 9-6 application beyond determining whether it is incontrovertible: any further weighing may only be done in a trial: </w:t>
      </w:r>
      <w:r>
        <w:rPr>
          <w:rFonts w:ascii="arial" w:eastAsia="arial" w:hAnsi="arial" w:cs="arial"/>
          <w:i/>
          <w:color w:val="000000"/>
          <w:sz w:val="20"/>
          <w:lang w:val="en-US" w:eastAsia="en-US" w:bidi="ar-SA"/>
        </w:rPr>
        <w:t>Tran v. Le</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2017 BCCA 222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paras. 8-12.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summary trial procedure is of course covered in Rule 9-7. It is just that - a trial in summary form based on affidavit evidence, answers to interrogatories, evidence taken at examinations for discovery, and admissions in addition to other forms of evidence (Rule 9-7(5)).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Because it is a trial, the chambers judge hearing a Rule 9-7 application must weigh the evidence, make findings of fact and apply the law thereto unless the conditions set out in Rule 9-7(15)(a)(i) or (ii) are found to exist. The burden of proof to apply is the traditional civil burden of proof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this passage explains, while each of these rules exist to prevent claims that are clearly without merit from proceeding to trial, they work differently. Rule 9-7 is a trial on the merits. A Rule 9-6 application focuses on whether the claim is factually without merit and engages evidence. A Rule 9-5 application focuses on whether the claim is unable to succeed as a matter of law and does not engage evidence: </w:t>
      </w:r>
      <w:r>
        <w:rPr>
          <w:rFonts w:ascii="arial" w:eastAsia="arial" w:hAnsi="arial" w:cs="arial"/>
          <w:i/>
          <w:color w:val="000000"/>
          <w:sz w:val="20"/>
          <w:lang w:val="en-US" w:eastAsia="en-US" w:bidi="ar-SA"/>
        </w:rPr>
        <w:t>Edgar v. The British Columbia Institute of Technology</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2015 BCSC 710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Leger v. Metro Vancouver YWCA</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2013 BCSC 2021</w:t>
        </w:r>
      </w:hyperlink>
      <w:r>
        <w:rPr>
          <w:rFonts w:ascii="arial" w:eastAsia="arial" w:hAnsi="arial" w:cs="arial"/>
          <w:color w:val="000000"/>
          <w:sz w:val="20"/>
          <w:lang w:val="en-US" w:eastAsia="en-US" w:bidi="ar-SA"/>
        </w:rPr>
        <w:t xml:space="preserve"> at para.16;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test for striking pleadings under Rule 9-5(1)(a) is that the court may do so if, assuming the material facts stated in the notice of civil claim can be proved and are true, it is "plain and obvious" the plaintiff's pleadings disclose no reasonable cause of action or have no reasonable prospect of success: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A pleading will be struck out if it does not establish a cause of action and does not advance a claim known in law, or if the pleadings are without substance in that they are "groundless, fanciful, and trifle with the court's time": </w:t>
      </w:r>
      <w:r>
        <w:rPr>
          <w:rFonts w:ascii="arial" w:eastAsia="arial" w:hAnsi="arial" w:cs="arial"/>
          <w:i/>
          <w:color w:val="000000"/>
          <w:sz w:val="20"/>
          <w:lang w:val="en-US" w:eastAsia="en-US" w:bidi="ar-SA"/>
        </w:rPr>
        <w:t>Dempsey et al. v. Envision Credit Union et al.</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at para.17. However, the characterization of a claim as novel or pushing the envelope should not result in dismissal under Rule 9-5. The law must evolve and all the claims must be left for the laboratory of a trial court: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On a Rule 9-6 application, in considering whether there is a genuine issue for trial, the court must assume that uncontested material facts as pleaded by the plaintiff are true. Matters of fact cannot be weighed, and inferences from the facts must be viewed in a light most favourable to the plaintiff: </w:t>
      </w:r>
      <w:r>
        <w:rPr>
          <w:rFonts w:ascii="arial" w:eastAsia="arial" w:hAnsi="arial" w:cs="arial"/>
          <w:i/>
          <w:color w:val="000000"/>
          <w:sz w:val="20"/>
          <w:lang w:val="en-US" w:eastAsia="en-US" w:bidi="ar-SA"/>
        </w:rPr>
        <w:t>Sandhu v. Sun Life Assurance Company of Canada</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2016 BCSC 1077</w:t>
        </w:r>
      </w:hyperlink>
      <w:r>
        <w:rPr>
          <w:rFonts w:ascii="arial" w:eastAsia="arial" w:hAnsi="arial" w:cs="arial"/>
          <w:color w:val="000000"/>
          <w:sz w:val="20"/>
          <w:lang w:val="en-US" w:eastAsia="en-US" w:bidi="ar-SA"/>
        </w:rPr>
        <w:t xml:space="preserve"> at para. 12. If the court is satisfied that there is no genuine issue for trial, then it must dismiss the claim: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 matter will be suitable for summary trial under Rule 9-7, unless the court is unable to find the facts necessary to decide the issues of fact or law or it would be unjust to decide the issues summarily. In some circumstances, it may be unjust to decide a case summarily even if, on the whole of the evidence, it is possible to find the necessary facts: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at 385-86; and </w:t>
      </w:r>
      <w:r>
        <w:rPr>
          <w:rFonts w:ascii="arial" w:eastAsia="arial" w:hAnsi="arial" w:cs="arial"/>
          <w:i/>
          <w:color w:val="000000"/>
          <w:sz w:val="20"/>
          <w:lang w:val="en-US" w:eastAsia="en-US" w:bidi="ar-SA"/>
        </w:rPr>
        <w:t>Creyke v. Creyke</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2016 BCCA 499</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summarized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30- 31, citing </w:t>
      </w:r>
      <w:r>
        <w:rPr>
          <w:rFonts w:ascii="arial" w:eastAsia="arial" w:hAnsi="arial" w:cs="arial"/>
          <w:i/>
          <w:color w:val="000000"/>
          <w:sz w:val="20"/>
          <w:lang w:val="en-US" w:eastAsia="en-US" w:bidi="ar-SA"/>
        </w:rPr>
        <w:t xml:space="preserve">Inspiration Management Ltd. v. McDermid St. Lawrence Ltd. </w:t>
      </w:r>
      <w:hyperlink r:id="rId6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whether it would be unjust to proceed summarily depends on several factors: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 of delay;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taking the case forward to a conventional trial;</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litigation;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credibility is a critical factor;</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summary trial may create an unnecessary complexity;</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would result in litigating in slices; and</w:t>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Gadsby and Seaview argue that her claims against Cove, CMIC, Mr. Bury and Gowlings are not suitable for summary determination because they are large and complex; she has not had sufficient oral discovery; she seeks a jury trial to overcome the failings of the justice system; and summary trials are an unfair strategic tactic to pre-emptively dismiss self-represented litigants'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regard to the size of the claims, it is true that the amount of money involved if Ms. Gadsby and Seaview were to succeed is large. She claims that the property was sold for an amount that is millions below its true value and her interest in it, and also that the sale caused her to lose her long-time residence worth over a million dollars. However, this is not a case where a summary trial risks cutting off meritorious claims, for reasons I will explain in more detail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addition, the defendants have financial interests. The defendant CMIC recovered $550,000 against indebtedness valued at over one million dollars at the time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granted. The difference has not been repaid by Ms. Gadsby or Seaview. CMIC and Cove continue to expend money on legal proceedings, including this one. Ms. Gadsby and Seaview seek a two-week jury trial. Cove and CMIC do not wish to pay legal fees to defend what they see as meritless re-litigation of the foreclosure proceedings and the order approving the sale. Mr. Bury and Gowlings make the same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regard to discovery evidence, on May 29, 2019, Ms. Gadsby and Seaview produced a list of documents. On June 3, 2019, CMIC and Cove produced its list of documents. On June 24, 2019, Landquest, Mr. Osborne, and Mr. Zroback produced their lists of documents. Mr. Bury stated that his client produced a list of documents prior to Mr. Bury's examination for discovery on June 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Gadsby has not requested the documents listed on the applicant defendants' lists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June 7, 2019, Ms. Gadsby examined Ms. Heather Briglio, the president of CMIC and Cove, for discovery. CMIC and Cove provided dates for examinations for discovery in April and May 2019 but Ms. Gadsby declined to proceed at that time, even though she knew that CMIC and Cove sought to bring on this summary trial application. On June 14, 2019, Ms. Gadsby examined Mr. Bury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Accordingly, both sets of Rule 9-7 applicants have produced persons to be discovered. Ms. Gadsby claims that they were not prepared well and that she needs more discovery of different persons. She chose the person whom she discovered on behalf of Cove and CMIC. With regard to Mr. Bury, the fact that she found him ill prepared for his examination for discovery is not a reason that a Rule 9-7 summary trial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examinations for discovery of Mr. Zroback and Mr. Osborne were scheduled for today, August 14, 2019, pending the outcome of Landquest's application to have the claims against those defendants dismissed under Rule 9-5 or 9-6. Given the plea of conspiracy, these outstanding examinations for discovery have the potential of impacting the suitability for summary trial determination. However, since Ms. Gadsby concedes that the parties were not acting in conspiracy, but rather independently, and given that no matter what discoveries are done, the conspiracy claim is an attempt to re-litigate the providence of the court-ordered and court-approved sale, I conclude that the incomplete nature of the discoveries against the Landquest defendants do not affect the suitability of determining the issues pursuant to Rule 9-7 on the applications of Cove, CMIC, Mr. Bury, and Gowlings.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Because of my determination, explained below, that these claims are largely attempts to re-litigate the court-order approved sale, there is little factual evidence that needs to be considered to address the applications of Cove, CMIC, Mr. Bury, and Gowlings. None of the evidence needs to be weighed. The applications of Cove, CMIC, Mr. Bury, and Gowlings are suitable for summary trial disposition.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conspiracy claim brought by Ms. Gadsby and Seaview against all the defendants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[Ms. Gadsby and Seaview] claim that the defendants, through a series of unlawful acts described above, conspired among themselves, and with yet unidentified others, to deliver title of the subject property for the remaining Seaview land for development of planned phases 2 to 4 to a numbered company, the defendant No. 1042635 B.C. Ltd., purposely incorporated July 13, 2015 and listing the defendant Marc Strongman as its Director, to purchase the remaining Seaview land at substantially below market value thereby cheating the plaintiff GADSBY, Seaview's sole shareholder and President, who had invested $3,026,000 in Seaview's future planned phases as of December 31, 2014 out of its economic interests in the property and in so doing misled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Ms. Gadsby's and Seaview's application response, Ms. Gadsby clarified that while the word "conspired" was used, "I did not say there was a conspiracy, nor did I say there was an alleged fraud. My use of the word 'conspired' in this context meant defendants working together in a harmful way to my detriment and in particular to erode my economic interest in my Seaview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the hearing of these matters on August 12, 2019, Ms. Gadsby stated that she is no longer pursuing her conspiracy claim against the defendants, because she has concluded that the defendants were acting independently of each other. Despite that clear statement, she made extensive submissions on the importance of her discovery, after Master Harper made her order approving the sale, that the assignee under the contract of purchase and sale was the numbered company controlled by Marc Strongman. It is difficult to conceive how this evidence is relevant to the claims she advances against CMIC and Cove, unless as part of the 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Given the lack of clarity of the position of Ms. Gadsby in this regard, I will consider the conspiracy claim as set out in the notice of civil claim as well as Ms. Gadsby's stated intention to amend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conspiracy claim cannot be maintained for a number of reasons. Its shortcomings are such that it can be struck based on the pleadings alone, or because the deficient pleadings do not raise a genuine issue for trial, or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First, the conspiracy claim is an attempt to re-litigate the court-approved sale, and so engages the doctrine of abuse of process: </w:t>
      </w:r>
      <w:r>
        <w:rPr>
          <w:rFonts w:ascii="arial" w:eastAsia="arial" w:hAnsi="arial" w:cs="arial"/>
          <w:i/>
          <w:color w:val="000000"/>
          <w:sz w:val="20"/>
          <w:lang w:val="en-US" w:eastAsia="en-US" w:bidi="ar-SA"/>
        </w:rPr>
        <w:t>M.Y. Sundae v. International Dairy Queen, Inc.</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2018 BCCA 427</w:t>
        </w:r>
      </w:hyperlink>
      <w:r>
        <w:rPr>
          <w:rFonts w:ascii="arial" w:eastAsia="arial" w:hAnsi="arial" w:cs="arial"/>
          <w:color w:val="000000"/>
          <w:sz w:val="20"/>
          <w:lang w:val="en-US" w:eastAsia="en-US" w:bidi="ar-SA"/>
        </w:rPr>
        <w:t xml:space="preserve"> at paras. 23-25. This doctrine exists to prevent misuse of the court's procedure in a way that would be manifestly unfair to a party or bring the administration of justice into disrepute, as well as to achieve the broader policy objective of avoiding the multiplicity of proceedings and re-litigation of matters that are the subject of a final and binding order: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23, 35-38.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stated by Justice Binnie for the court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18, addressing the related doctrine of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law rightly seeks a finality to litigation. To advance that objective, it requires litigants to put their best foot forward to establish the truth of their allegations when first called upon to do so. A litigant, to use the vernacular, is only entitled to one bite at the cherry. The appellant chose the ESA as her forum. She lost. An issue, once decided, should not generally be re-litigated to the benefit of the losing party and the harassment of the winner. A person should only be vexed once in the same cause. Duplicative litigation, potential inconsistent results, undue costs, and inconclusive proceedings are to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conspiracy claim is based on the assertion that the defendants purposely drove the price below market value and that the Seaview property could have been sold for a much better price. This is a way of saying that the sale was improvident. The providence of this sale is a matter that has been litigated and resulted in the orders of Master Harper granting the order for sale, and of Justice Leask dismissing the appeal from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Nederland Holdings Inc. v. British Columbia</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2018 BCCA 373</w:t>
        </w:r>
      </w:hyperlink>
      <w:r>
        <w:rPr>
          <w:rFonts w:ascii="arial" w:eastAsia="arial" w:hAnsi="arial" w:cs="arial"/>
          <w:color w:val="000000"/>
          <w:sz w:val="20"/>
          <w:lang w:val="en-US" w:eastAsia="en-US" w:bidi="ar-SA"/>
        </w:rPr>
        <w:t xml:space="preserve"> at para. 9-12, the Court of Appeal considered circumstances in which the appellants claimed against the defendants in conspiracy for driving down the price of a recreational development property on a lake in Lake Country, British Columbia. The sale of the recreational development property in that case was approved by the British Columbia Supreme Court and an appeal from that decision was dismissed. The debtors brought an action claiming a conspiracy to suppress the value of the property. That action was dismissed by Associate Chief Justice Cullen. The Court of Appeal dismissed the appeal from his order and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It is apparent, as noted by Cullen A.C.J., that the appellants have thoroughly, comprehensively, and relentlessly pursued a remedy for their perceived grievances over what is now the past decade (RFJ at para. 47). At its core, the appellants' grievance is that the Tofino Property was wrongly foreclosed and sold. The current proceedings are based on the theory that the Tofino Property was sold at an improvident price as a result of a far-flung conspiracy that had an improvident sale as its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Justice Savage for the court quashed the appeal on the grounds that it was manifestly devoid of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facts of </w:t>
      </w:r>
      <w:r>
        <w:rPr>
          <w:rFonts w:ascii="arial" w:eastAsia="arial" w:hAnsi="arial" w:cs="arial"/>
          <w:i/>
          <w:color w:val="000000"/>
          <w:sz w:val="20"/>
          <w:lang w:val="en-US" w:eastAsia="en-US" w:bidi="ar-SA"/>
        </w:rPr>
        <w:t>Nederland</w:t>
      </w:r>
      <w:r>
        <w:rPr>
          <w:rFonts w:ascii="arial" w:eastAsia="arial" w:hAnsi="arial" w:cs="arial"/>
          <w:color w:val="000000"/>
          <w:sz w:val="20"/>
          <w:lang w:val="en-US" w:eastAsia="en-US" w:bidi="ar-SA"/>
        </w:rPr>
        <w:t xml:space="preserve"> are similar to this case. The providence of the court-ordered sale of the Seaview property has been determined, and Ms. Gadsby and Seaview are barred from basing any of their claims on the alleged improvidence of the sale. Restating a claim which has been adjudicated as a different cause of action does not stop the second claim from being an abuse of process: </w:t>
      </w:r>
      <w:r>
        <w:rPr>
          <w:rFonts w:ascii="arial" w:eastAsia="arial" w:hAnsi="arial" w:cs="arial"/>
          <w:i/>
          <w:color w:val="000000"/>
          <w:sz w:val="20"/>
          <w:lang w:val="en-US" w:eastAsia="en-US" w:bidi="ar-SA"/>
        </w:rPr>
        <w:t>M.Y. Sundae</w:t>
      </w:r>
      <w:r>
        <w:rPr>
          <w:rFonts w:ascii="arial" w:eastAsia="arial" w:hAnsi="arial" w:cs="arial"/>
          <w:color w:val="000000"/>
          <w:sz w:val="20"/>
          <w:lang w:val="en-US" w:eastAsia="en-US" w:bidi="ar-SA"/>
        </w:rPr>
        <w:t xml:space="preserve"> at paras. 22 and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also note the reasoning of Mr. Justice Davies in this action when he struck a similar claim against the Attorney General. At para. 22 of his reasons, he observed that Ms. Gadsby and Seaview's pleadings were, "for the most part, a reframing of the issues that have already been addressed by the courts, either by way of initial application or by way of appeal. They cannot be reheard in this forum, they cannot be re-litigated. They are collateral attacks upon existing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Gadsby and Seaview argue that their claims are not re-litigation, but rather new matters based on new facts and new causes of action. I do not accept this argument because they are about whether the sale of the Seaview property was provident.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However, that is not the end of the matter as there are circumstances in which re-litigation will be permitted, despite the abuse of process doctrine. Avoiding re-litigation must be balanced against fairness and other circumstances the case presents that may allow matters that are already the subject of findings of fact or law to nonetheless proceed. In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the Court explained at para. 52 that permitting re-litigation serves the integrity of the judicial system in certain circumstances, for example:</w:t>
      </w:r>
      <w:r>
        <w:rPr>
          <w:rFonts w:ascii="arial" w:eastAsia="arial" w:hAnsi="arial" w:cs="arial"/>
          <w:sz w:val="20"/>
          <w:lang w:val="en-US" w:eastAsia="en-US" w:bidi="ar-SA"/>
        </w:rPr>
        <w:cr/>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proceeding is tainted by fraud or dishonesty;</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fresh new evidence previously unavailable conclusively impeaches the original results; or</w:t>
      </w:r>
    </w:p>
    <w:p>
      <w:pPr>
        <w:numPr>
          <w:numId w:val="4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 dictates that the original results should not be binding in the new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Gadsby and Seaview argue that their discovery of the actual purchaser for the Seaview property was Marc Strongman, through a numbered company, is a new matter. By that, I understand them to argue that this is fresh evidence justifying re-litigation. Ms. Gadsby alleges that Marc Strongman had prior confidential knowledge of the plans Ms. Gadsby had for the Seaview property and that the failure to disclose this to the court on the approval of the sale amounts to a fraud on the court. Similarly, Ms. Gadsby and Seaview argue that the use of the term "court-ordered sale" by realtors engaged by Mr. Bury is contrary to the assurances that Mr. Bury gave to the court and is fraud on the court in relation to the court-approved sale. Finally, they argue that she had found a purchaser, Mr. Duntz, prior to the court-approved sale, but the defendants pushed forward the approval of the sale in order to prevent this from coming to fruition.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regard to the fact of the assignment to the Strongman numbered company with whom Ms. Gadsby had previous discussions about the Seaview property, Ms. Gadsby initially argued that the contract of purchase and sale of the Seaview property did not permit assignment and this was not disclosed. Cove and CMIC pointed to the clause of the contract that permitted assignment so long as it was done prior to the court's approval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Gadsby and Seaview do not advance any principle of law or rationale that precludes the Strongman numbered company from being the purchaser by assignment, or evidence that would call into question whether the assignment of the contract affected the providence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evidence that this was fraud on the court that should permit re-litigation of the providence of the sale. If the Strongman defendants' involvement was capable of affecting the providence of the sale, Ms. Gadsby would have brought it to the attention of Mr. Justice Leask at the appeal of the order of Master Harper. She learned of the information after Master Harper's order, but before she filed an appeal. In her notice of civil claim in this case, she sets out in detail the arguments she made before Master Harper and Mr. Justice Leask. The Strongman assignment is not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Gadsby and Seaview do not include any factual assertions to support this claim of fraud on the court, or any particulars of fraud beyond the fact that the Seaview property sold for below market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regard to use of the term "court-ordered sale" in the marketing material, it is true that despite its assurances to Master Tokarek that the language would not be used in marketing the Seaview property, it was used by the realtor in January and February 2013. Mr. Bury has deposed that he instructed the realtor to not use the wording. Ms. Gadsby brought an application that was heard by Master Scarth in relation to this in March 2013, seeking an order that the property be taken off the market for a minimum of three months to discourage vultures and predators who would have seen the court-ordered sale terminology. During the time period when the court-ordered sale language was used, no offers were made. Master Scarth did not grant the relief sought. The offer that was approved was made over two years later. Ms. Gadsby raised the court-ordered sale issue before Master Harper and before Mr. Justice Leask. This issue is not new and it is not an issue that calls into question whether the court-approved sale process was fair or whether there was information the court should have had before, but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Finally, with regard to Mr. Duntz, Ms. Gadsby claims that she had lined up this joint venture partner commencing in February 2015. She claims that the joint venture would have put the project in a position to qualify for financing with which she would have been able to pay out Cove and CMIC. She needed more time to complete the joint venture co-guarantor agreement. She sought an adjournment of the hearing to approve the sale on this basis. Master Harper refused the adjournment. She raised this as part of her argument before Mr. Justice Leask on appeal of the order approving the sale. Mr. Justice Leask did not accede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conclude that the matters that Ms. Gadsby and Seaview refer to as new matters are not new matters and are attempts to re-litigate the approval of the sale. They are not matters which demonstrate fraud or dishonesty in the proceedings leading up to and including the approval of the sale, and they do not call into question the fairness of the approval of the sale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Cove and CMIC also argued that Ms. Gadsby and Seaview failed to plead the legal elements of a conspiracy claim, either in form or in substance. As stated in </w:t>
      </w:r>
      <w:r>
        <w:rPr>
          <w:rFonts w:ascii="arial" w:eastAsia="arial" w:hAnsi="arial" w:cs="arial"/>
          <w:i/>
          <w:color w:val="000000"/>
          <w:sz w:val="20"/>
          <w:lang w:val="en-US" w:eastAsia="en-US" w:bidi="ar-SA"/>
        </w:rPr>
        <w:t>Youyi Group Holdings (Canada) Ltd. v Brentwood Lanes Canada Ltd.</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2019 BCSC 739</w:t>
        </w:r>
      </w:hyperlink>
      <w:r>
        <w:rPr>
          <w:rFonts w:ascii="arial" w:eastAsia="arial" w:hAnsi="arial" w:cs="arial"/>
          <w:color w:val="000000"/>
          <w:sz w:val="20"/>
          <w:lang w:val="en-US" w:eastAsia="en-US" w:bidi="ar-SA"/>
        </w:rPr>
        <w:t xml:space="preserve"> at paras. 116-122, citing </w:t>
      </w:r>
      <w:r>
        <w:rPr>
          <w:rFonts w:ascii="arial" w:eastAsia="arial" w:hAnsi="arial" w:cs="arial"/>
          <w:i/>
          <w:color w:val="000000"/>
          <w:sz w:val="20"/>
          <w:lang w:val="en-US" w:eastAsia="en-US" w:bidi="ar-SA"/>
        </w:rPr>
        <w:t>Cement LaFarge v. B.C. Lightweight Aggregate</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471-472, the tort of civil conspiracy arises in two possible situations:</w:t>
      </w:r>
      <w:r>
        <w:rPr>
          <w:rFonts w:ascii="arial" w:eastAsia="arial" w:hAnsi="arial" w:cs="arial"/>
          <w:sz w:val="20"/>
          <w:lang w:val="en-US" w:eastAsia="en-US" w:bidi="ar-SA"/>
        </w:rPr>
        <w:cr/>
      </w:r>
    </w:p>
    <w:p>
      <w:pPr>
        <w:numPr>
          <w:numId w:val="4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where the predominant purpose of the defendants' conduct is to cause injury to the plaintiff, or</w:t>
      </w:r>
    </w:p>
    <w:p>
      <w:pPr>
        <w:numPr>
          <w:numId w:val="4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that conduct is directed towards the plaintiff (alone or together with others), and the defendants should know in the circumstances that injury to the plaintiff is likely to and does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pleadings do not allege either situation. While Ms. Gadsby and Seaview state the sale of the Seaview property caused them injury, it is not said to have been the primary purpose of the sale, nor is there an allegation that the conduct of the defendants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conspiracy claim is an abuse of process. The pleadings in relation to it are inadequate and Ms. Gadsby has indicated that she is dropping her conspiracy claim. For these reasons, the conspiracy pleading is suitable to be dismissed pursuant to Rule 9-7 as against Cove, CMIC, Mr. Bury, and Gowlings.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the conspiracy claim as pleaded discloses no cause of action. The Landquest defendants' application to strike it pursuant to Rule 9-5(1)(a) and (d) is granted.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Breach of Duty of Good Faith and Honest Performance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Gadsby and Seaview claim a breach of good faith and duty of honest performance against each group of applicant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Against Cove and CMIC, they claim there was a breach of good faith and honest performance by permitting the foreclosure proceedings to continue and for the actions of Mr. Bury.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 contractual relationship is necessary to ground a claim for breach of good faith and honest performance, because the performance aspect of honest performance relates to performance of a contract: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xml:space="preserve"> at paras. 63-65 and 72-74. The mortgage was a contract between CMIC and Ms. Gadsby and Seaview. However, all of the allegations pertaining to dishonest performance and lack of good faith relate to the foreclosure proceedings. A mortgagee is permitted to bring foreclosure proceedings so the commencement of them and the continuation of them are not, on their own, bad faith or dishonest performance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Gadsby asserts that Cove and CMIC had the ability, up to the court approval of the sale, to stop that process so that the Seaview property would not be sold at under-market value. They allege that by not doing so, especially after Ms. Gadsby lined up Mr. Duntz, they breached their duty of good faith and honest performance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These claims also amount to re-litigating the court-approved sale and must be dismissed for this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despite the document discovery and examinations for discovery that have taken place, Ms. Gadsby and Seaview have not led any evidence in relation to lack of good faith or dishonest performance of the mortgage. These claims can also be dismissed against CMIC and Cove pursuant to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for Ms. Gadsby and Seaview's claims of breach of good faith and duty of honest performance against Mr. Bury and the Landquest defendants, except Mr. Osborne, they plainly and obviously cannot succeed as these are duties which govern contractual performance and there are no allegations of any contracts between Ms. Gadsby or Seaview and any of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lack of any contractual relations between these parties is sufficient to dismiss these claims against Mr. Bury and Gowlings under Rule 9-7, as sought in their application, and against Landquest and Mr. Zroback as disclosing no reasonable claim under Rule 9-5(1)(a), as sought in their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claims against Cove and CMIC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Cove and CMIC argue that there is no merit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as there is no duty of care owed by a lender to a borrower. The borrower's protection in foreclosure is the ability to have the court impose a sale process. Ms. Gadsby and Seaview had every opportunity to do so. They say that as the court-ordered process was followed, Cove and CMIC adhered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Woods Lake Development Ltd. v. Renascence Enterprises (Woods Lake) Corp.</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2011 BCSC 849</w:t>
        </w:r>
      </w:hyperlink>
      <w:r>
        <w:rPr>
          <w:rFonts w:ascii="arial" w:eastAsia="arial" w:hAnsi="arial" w:cs="arial"/>
          <w:color w:val="000000"/>
          <w:sz w:val="20"/>
          <w:lang w:val="en-US" w:eastAsia="en-US" w:bidi="ar-SA"/>
        </w:rPr>
        <w:t xml:space="preserve"> at para. 15, Master Young, now Madam Justice Young, reviewed the authorities pertaining to the obligations of a mortgagee who has a court-ordered conduct of sale. Those authorities provide variously that there is no duty on a mortgagee to take reasonable care to obtain the "true market value": </w:t>
      </w:r>
      <w:r>
        <w:rPr>
          <w:rFonts w:ascii="arial" w:eastAsia="arial" w:hAnsi="arial" w:cs="arial"/>
          <w:i/>
          <w:color w:val="000000"/>
          <w:sz w:val="20"/>
          <w:lang w:val="en-US" w:eastAsia="en-US" w:bidi="ar-SA"/>
        </w:rPr>
        <w:t>Cuckmere Brick Company v. Mutual Finance</w:t>
      </w:r>
      <w:r>
        <w:rPr>
          <w:rFonts w:ascii="arial" w:eastAsia="arial" w:hAnsi="arial" w:cs="arial"/>
          <w:color w:val="000000"/>
          <w:sz w:val="20"/>
          <w:lang w:val="en-US" w:eastAsia="en-US" w:bidi="ar-SA"/>
        </w:rPr>
        <w:t xml:space="preserve">, [1971] 2 All E.R. 633 (C.A.), and that the "practical implication" is that lenders may sell below market value and pursue the borrower for the deficiency without running the risk of being sued for failure to do so properly, because the court monitors the sale process and determines whether the sale is provident: </w:t>
      </w:r>
      <w:r>
        <w:rPr>
          <w:rFonts w:ascii="arial" w:eastAsia="arial" w:hAnsi="arial" w:cs="arial"/>
          <w:i/>
          <w:color w:val="000000"/>
          <w:sz w:val="20"/>
          <w:lang w:val="en-US" w:eastAsia="en-US" w:bidi="ar-SA"/>
        </w:rPr>
        <w:t>Columbia Trust Company v. Larsen</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(1986), 6 B.C.L.R. (2d) 369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conclude that the claim against Cove and CMIC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an attempt to re-litigate the court-approved sale. The pleaded particulars of the claim relate to facts that were or should have been in front of the court when the providence of the sale was considered. As the authorities referred to in </w:t>
      </w:r>
      <w:r>
        <w:rPr>
          <w:rFonts w:ascii="arial" w:eastAsia="arial" w:hAnsi="arial" w:cs="arial"/>
          <w:i/>
          <w:color w:val="000000"/>
          <w:sz w:val="20"/>
          <w:lang w:val="en-US" w:eastAsia="en-US" w:bidi="ar-SA"/>
        </w:rPr>
        <w:t>Woods Lake</w:t>
      </w:r>
      <w:r>
        <w:rPr>
          <w:rFonts w:ascii="arial" w:eastAsia="arial" w:hAnsi="arial" w:cs="arial"/>
          <w:color w:val="000000"/>
          <w:sz w:val="20"/>
          <w:lang w:val="en-US" w:eastAsia="en-US" w:bidi="ar-SA"/>
        </w:rPr>
        <w:t xml:space="preserve"> explain, the court-ordered process and the requirement for court approval of the sale serve to protect the respondent in a foreclosure proceeding. There is no duty of care on a lender who is foreclosing to protect the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Cove and CMIC are not available in law. They are properly dismissed under Rule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claims against Mr. Bury and Gowlings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Mr. Bury and Gowlings adopt the submissions of Cove and CMIC pertaining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them for their actions in the sale of the Seaview property at the price it was sold. Those claims are dismissed under Rule 9-7 for the same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With regard to the submission of a duty of care owed by Mr. Bury and Gowlings to ensure that Ms. Gadsby had a fair hearing, Ms. Gadsby relies on </w:t>
      </w:r>
      <w:r>
        <w:rPr>
          <w:rFonts w:ascii="arial" w:eastAsia="arial" w:hAnsi="arial" w:cs="arial"/>
          <w:i/>
          <w:color w:val="000000"/>
          <w:sz w:val="20"/>
          <w:lang w:val="en-US" w:eastAsia="en-US" w:bidi="ar-SA"/>
        </w:rPr>
        <w:t>Pintea v. Johns</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2017 SCC 23</w:t>
        </w:r>
      </w:hyperlink>
      <w:r>
        <w:rPr>
          <w:rFonts w:ascii="arial" w:eastAsia="arial" w:hAnsi="arial" w:cs="arial"/>
          <w:color w:val="000000"/>
          <w:sz w:val="20"/>
          <w:lang w:val="en-US" w:eastAsia="en-US" w:bidi="ar-SA"/>
        </w:rPr>
        <w:t>, in which the Supreme Court of Canada held that a party who did not have actual knowledge of orders made against him could not be found in contempt of those orders. In the course of its five-paragraph judgment, the Supreme Court of Canada endorsed the Canadian Judicial Council's "Statement of Principles on Self-Represented Litigants and Accused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Mr. Bury and Gowlings submit there is no duty of care owed by counsel to opposing litigants, i.e., from a lender's lawyer to a borrower. They rely on </w:t>
      </w:r>
      <w:r>
        <w:rPr>
          <w:rFonts w:ascii="arial" w:eastAsia="arial" w:hAnsi="arial" w:cs="arial"/>
          <w:i/>
          <w:color w:val="000000"/>
          <w:sz w:val="20"/>
          <w:lang w:val="en-US" w:eastAsia="en-US" w:bidi="ar-SA"/>
        </w:rPr>
        <w:t>Gateway Building Management Limited v. Manjit Singh Randhawa</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2013 BCSC 350</w:t>
        </w:r>
      </w:hyperlink>
      <w:r>
        <w:rPr>
          <w:rFonts w:ascii="arial" w:eastAsia="arial" w:hAnsi="arial" w:cs="arial"/>
          <w:color w:val="000000"/>
          <w:sz w:val="20"/>
          <w:lang w:val="en-US" w:eastAsia="en-US" w:bidi="ar-SA"/>
        </w:rPr>
        <w:t xml:space="preserve"> at paras. 21-22; and </w:t>
      </w:r>
      <w:r>
        <w:rPr>
          <w:rFonts w:ascii="arial" w:eastAsia="arial" w:hAnsi="arial" w:cs="arial"/>
          <w:i/>
          <w:color w:val="000000"/>
          <w:sz w:val="20"/>
          <w:lang w:val="en-US" w:eastAsia="en-US" w:bidi="ar-SA"/>
        </w:rPr>
        <w:t>0976820 B.C. Ltd. v Leung</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2018 BCSC 1725</w:t>
        </w:r>
      </w:hyperlink>
      <w:r>
        <w:rPr>
          <w:rFonts w:ascii="arial" w:eastAsia="arial" w:hAnsi="arial" w:cs="arial"/>
          <w:color w:val="000000"/>
          <w:sz w:val="20"/>
          <w:lang w:val="en-US" w:eastAsia="en-US" w:bidi="ar-SA"/>
        </w:rPr>
        <w:t xml:space="preserve"> at paras. 39-43 for the proposition that a lawyer does not owe a duty of care to opposing parties or to parties with opposing interests to that of their client. I accept this statement of law and I conclude that </w:t>
      </w:r>
      <w:r>
        <w:rPr>
          <w:rFonts w:ascii="arial" w:eastAsia="arial" w:hAnsi="arial" w:cs="arial"/>
          <w:i/>
          <w:color w:val="000000"/>
          <w:sz w:val="20"/>
          <w:lang w:val="en-US" w:eastAsia="en-US" w:bidi="ar-SA"/>
        </w:rPr>
        <w:t>Pintea</w:t>
      </w:r>
      <w:r>
        <w:rPr>
          <w:rFonts w:ascii="arial" w:eastAsia="arial" w:hAnsi="arial" w:cs="arial"/>
          <w:color w:val="000000"/>
          <w:sz w:val="20"/>
          <w:lang w:val="en-US" w:eastAsia="en-US" w:bidi="ar-SA"/>
        </w:rPr>
        <w:t xml:space="preserve"> does not create any duty on lawyers with regard to how they interact with self-represented litigants on the other side of cases. Accordingly, there can be no duty of care owed to Ms. Gadsby and Seaview by Mr. Bury or Gowlings.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This aspect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Mr. Bury and Gowlings is also appropriately dismissed under Rule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claims against the Landquest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Gadsby and Seaview only specifically plead conspiracy against the Landquest defendants in the cause of action section of their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However, they also make allegations pertaining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another section of the notice of civil claim against Landquest Realty and Mr. Zroback, but not Mr. Osborne, in relation to the 2014 listing of the Seaview property. Ms. Gadsby and Seaview claim Landquest Realty and Mr. Zroback breached their duty of care towards them as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Beacock v. Moreno</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2019 BCSC 955</w:t>
        </w:r>
      </w:hyperlink>
      <w:r>
        <w:rPr>
          <w:rFonts w:ascii="arial" w:eastAsia="arial" w:hAnsi="arial" w:cs="arial"/>
          <w:color w:val="000000"/>
          <w:sz w:val="20"/>
          <w:lang w:val="en-US" w:eastAsia="en-US" w:bidi="ar-SA"/>
        </w:rPr>
        <w:t xml:space="preserve"> at para. 109, the court held that in order to succeed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a realtor defendant, the plaintiff must prove, on a balance of probabilities that:</w:t>
      </w:r>
      <w:r>
        <w:rPr>
          <w:rFonts w:ascii="arial" w:eastAsia="arial" w:hAnsi="arial" w:cs="arial"/>
          <w:sz w:val="20"/>
          <w:lang w:val="en-US" w:eastAsia="en-US" w:bidi="ar-SA"/>
        </w:rPr>
        <w:cr/>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realtor defendants were possessed of special skill;</w:t>
      </w:r>
    </w:p>
    <w:p>
      <w:pPr>
        <w:numPr>
          <w:numId w:val="4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realtor defendants undertook to apply that skill for the assistance of the plaintiff;</w:t>
      </w:r>
    </w:p>
    <w:p>
      <w:pPr>
        <w:numPr>
          <w:numId w:val="4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relied on such skill;</w:t>
      </w:r>
    </w:p>
    <w:p>
      <w:pPr>
        <w:numPr>
          <w:numId w:val="5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realtor defendants fell below the requisite standard of care of a reasonably prudent brokerage and real estate agent at the material time; and</w:t>
      </w:r>
    </w:p>
    <w:p>
      <w:pPr>
        <w:numPr>
          <w:numId w:val="5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as a result of the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normal course, given these criteria, a realtor will only owe a duty of care to his or her client or principal and not to any third party it has no direct relationship with. An example of such a third party relationship is between a realtor and a property owner in a court-ordered sale process in which the owner does not have conduct of sale. There are strong policy reasons against finding such an extended duty of care, as it would place a realtor in a conflict of interest between a party having conduct of sale and the property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Gadsby and Seaview do not plead that Landquest or Mr. Zroback undertook to apply their skill to assist them, nor that they relied on their skills. Nor did they plead particulars of how these defendants fell below the requisite standard of care or how Ms. Gadsby and Seaview suffered damages as a result of the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If those shortfalls in the pleadings were addressed, it may be possible for a party to argue that, notwithstanding that they were not in a direct relationship with the realtor, factors (a) to (c) can be made out so as to establish a duty of care between the parties. In such a case, it would be necessary to consider whether there is any relational proximity, as contemplated by factors (b) and (c), to establish a duty of care between either the plaintiff and Landquest or Mr. Zroback: </w:t>
      </w:r>
      <w:r>
        <w:rPr>
          <w:rFonts w:ascii="arial" w:eastAsia="arial" w:hAnsi="arial" w:cs="arial"/>
          <w:i/>
          <w:color w:val="000000"/>
          <w:sz w:val="20"/>
          <w:lang w:val="en-US" w:eastAsia="en-US" w:bidi="ar-SA"/>
        </w:rPr>
        <w:t>Burke v. Watson &amp; Barnard (A Firm)</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2016 BCCA 439</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Ms. Gadsby and Seaview do not plead relational proximity or any facts that would support relational proximity, and without this, there can be no duty of care: </w:t>
      </w:r>
      <w:r>
        <w:rPr>
          <w:rFonts w:ascii="arial" w:eastAsia="arial" w:hAnsi="arial" w:cs="arial"/>
          <w:i/>
          <w:color w:val="000000"/>
          <w:sz w:val="20"/>
          <w:lang w:val="en-US" w:eastAsia="en-US" w:bidi="ar-SA"/>
        </w:rPr>
        <w:t>Burke</w:t>
      </w:r>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intended to be advanced as a cause of action despite not being included in the cause of action section of the notice of civil claim, are deficient. Accordingly, it is appropriate to strike the claim against Landquest and Mr. Zroback under Rule 9-5(1)(a) as disclosing no reasonable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leave be given to amend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above, Ms. Gadsby advised the Court that she would not be pursuing her conspiracy allegations, but would be amending her pleadings. She advised that she is pretty sure of the amendments she seeks to make, but will not finalize them until she has had further discoveries of CMIC, Cove and Mr. Bury. These defendants have advised that they will object to further discoveries.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Ms. Gadsby advised the Court that her intended the amendments she will make relate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sharp practice on the part of Mr. Bury, breaches of assurances to the court, Mr. Bury referring to her as "a mistress of delay and BS", maliciousness, and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 court will consider whether a defective pleading can be corrected by amendment when striking the claim: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paras. 27-28. This is especially so if the claim is brought by a self-represented litigant, as stated in </w:t>
      </w:r>
      <w:r>
        <w:rPr>
          <w:rFonts w:ascii="arial" w:eastAsia="arial" w:hAnsi="arial" w:cs="arial"/>
          <w:i/>
          <w:color w:val="000000"/>
          <w:sz w:val="20"/>
          <w:lang w:val="en-US" w:eastAsia="en-US" w:bidi="ar-SA"/>
        </w:rPr>
        <w:t>Beach Estate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This error also affected the judge's decision to not permit Nancy to make amendments to her pleadings. It is not disputed that the judge was correct in finding Nancy's pleading in respect of the Settlement Agreement inadequate and defective. Nor is it disputed that the judge correctly reached the same conclusion concerning the amended pleading Nancy proffered at the hearing. However, it seems to me that in the situation of a defective pleading on an issue that does not reach the "no triable issue" threshold, in a claim brought by a self-represented litigant (at least), the proper course would be to strike the pleading and permit the litigant to seek appropriate amendments. This is the practice in the Supreme Court in these matters: </w:t>
      </w:r>
      <w:r>
        <w:rPr>
          <w:rFonts w:ascii="arial" w:eastAsia="arial" w:hAnsi="arial" w:cs="arial"/>
          <w:i/>
          <w:color w:val="000000"/>
          <w:sz w:val="20"/>
          <w:lang w:val="en-US" w:eastAsia="en-US" w:bidi="ar-SA"/>
        </w:rPr>
        <w:t>Ahmed v. Assu</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2014 BCSC 1768</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Sechelt Nation v. Bell Pole</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2013 BCSC 892</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Leighton v. Canada (Attorney General)</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2012 BCSC 961</w:t>
        </w:r>
      </w:hyperlink>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Strata Plan LMS3259 v. Sze Hang Holding Inc.</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2009 BCSC 473</w:t>
        </w:r>
      </w:hyperlink>
      <w:r>
        <w:rPr>
          <w:rFonts w:ascii="arial" w:eastAsia="arial" w:hAnsi="arial" w:cs="arial"/>
          <w:color w:val="000000"/>
          <w:sz w:val="20"/>
          <w:lang w:val="en-US" w:eastAsia="en-US" w:bidi="ar-SA"/>
        </w:rPr>
        <w:t xml:space="preserve"> at para. 40; and </w:t>
      </w:r>
      <w:r>
        <w:rPr>
          <w:rFonts w:ascii="arial" w:eastAsia="arial" w:hAnsi="arial" w:cs="arial"/>
          <w:i/>
          <w:color w:val="000000"/>
          <w:sz w:val="20"/>
          <w:lang w:val="en-US" w:eastAsia="en-US" w:bidi="ar-SA"/>
        </w:rPr>
        <w:t>Ferstay v. Dywidag Systems International</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2008 BCSC 793</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have considered this approach, especially since Ms. Gadsby indicated she intends to abandon the conspiracy claim and amend her pleadings. However, I have decided against permitting amendments after striking the claims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First, all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fail on whether a duty of care is owed. That is not a failure that can be addressed by amendments with the possible exception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pleading against Landquest and Mr. Zroback.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While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Landquest and Mr. Zroback is the type of claim where the court could consider expanding the existing duty of care if Ms. Gadsby and Seaview plead relational proximity, this is not an amendment to the pleadings that Ms. Gadsby stated she was intending to make. In addition, if the pleading were amended, it would still amount to an abuse of process regarding the court-ordered sale, because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that they brought in a low-ball offer resulting in an improvident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regard to Ms. Gadsby's intention to amend to plead sharp practice with regard to Mr. Bury, such amendments do not change the complexion of her claim, as she has already made claims about Mr. Bury breaching his duties under the Law Society's Code of Professional Conduct for British Columbia. The existing pleadings and the suggested pleading of sharp practice both relate to matters which I have determined are an attempt to re-litigate the court-approved sale. I understand her intended amendments of maliciousness and dishonesty to be to the same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approach Ms. Gadsby's assertions that she can and will amend her pleadings to include new matters and not to simply to restate matters in an attempt to re-litigate with skepticism. As a review of other court proceedings and judgments of masters and judges of the court makes clear, Ms. Gadsby has made the same submissions over and over again. There is nothing substantively new in her submissions before this court. For many years, she has been trying to save or recoup her investment in her Seaview property and to address losing her North Vancouver residence. She is doing so based on the same factual arguments that have been argued, heard, and rejected by the courts on several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my view, this case falls squarely into the type of situation described in </w:t>
      </w:r>
      <w:r>
        <w:rPr>
          <w:rFonts w:ascii="arial" w:eastAsia="arial" w:hAnsi="arial" w:cs="arial"/>
          <w:i/>
          <w:color w:val="000000"/>
          <w:sz w:val="20"/>
          <w:lang w:val="en-US" w:eastAsia="en-US" w:bidi="ar-SA"/>
        </w:rPr>
        <w:t>Nederland</w:t>
      </w:r>
      <w:r>
        <w:rPr>
          <w:rFonts w:ascii="arial" w:eastAsia="arial" w:hAnsi="arial" w:cs="arial"/>
          <w:color w:val="000000"/>
          <w:sz w:val="20"/>
          <w:lang w:val="en-US" w:eastAsia="en-US" w:bidi="ar-SA"/>
        </w:rPr>
        <w:t xml:space="preserve"> as not meriting the opportunity to amend. The Court of Appeal upheld Associate Chief Justice Cullen's decision to not allow any further amendments at para. 12 in similar circumstances to the present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Counsel for the appellants below acknowledged that their pleadings were deficient and the civil conspiracy could not be sustained. As Cullen A.C.J. said, "I am left with no more than vague assertions that sustainable pleadings could be drafted" against a backdrop of "serial, speculative, fanciful claims that have been discredited in previous proceedings" (RFJ at para. 58). In light of that concession, the only issue is whether Cullen A.C.J. should have exercised his discretion to allow the notice of civil claim to be amended, and allow costs. This Court will not lightly interfere with that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this case, Ms. Gadsby cannot achieve what she seeks without re-litigating the court-approved sale of the Seaview property. That is at the core of all of her attempts and will continue to be what she tries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reaching this conclusion, I have taken into account the challenge facing Ms. Gadsby as a self-represented litigant, a point she emphasized during her submissions. She relied on the Canadian Judicial Council's "Statement of Principles on Self-Represented Litigants and Accused Persons" endorsed by the court in </w:t>
      </w:r>
      <w:r>
        <w:rPr>
          <w:rFonts w:ascii="arial" w:eastAsia="arial" w:hAnsi="arial" w:cs="arial"/>
          <w:i/>
          <w:color w:val="000000"/>
          <w:sz w:val="20"/>
          <w:lang w:val="en-US" w:eastAsia="en-US" w:bidi="ar-SA"/>
        </w:rPr>
        <w:t>Pintea</w:t>
      </w:r>
      <w:r>
        <w:rPr>
          <w:rFonts w:ascii="arial" w:eastAsia="arial" w:hAnsi="arial" w:cs="arial"/>
          <w:color w:val="000000"/>
          <w:sz w:val="20"/>
          <w:lang w:val="en-US" w:eastAsia="en-US" w:bidi="ar-SA"/>
        </w:rPr>
        <w:t xml:space="preserve"> and referenced by the Court of Appeal in </w:t>
      </w:r>
      <w:r>
        <w:rPr>
          <w:rFonts w:ascii="arial" w:eastAsia="arial" w:hAnsi="arial" w:cs="arial"/>
          <w:i/>
          <w:color w:val="000000"/>
          <w:sz w:val="20"/>
          <w:lang w:val="en-US" w:eastAsia="en-US" w:bidi="ar-SA"/>
        </w:rPr>
        <w:t>Beach Estate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"fairness" submission rests in part on the Supreme Court of Canada's decision in </w:t>
      </w:r>
      <w:r>
        <w:rPr>
          <w:rFonts w:ascii="arial" w:eastAsia="arial" w:hAnsi="arial" w:cs="arial"/>
          <w:i/>
          <w:color w:val="000000"/>
          <w:sz w:val="20"/>
          <w:lang w:val="en-US" w:eastAsia="en-US" w:bidi="ar-SA"/>
        </w:rPr>
        <w:t>Pintea v. Johns</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2017 SCC 23</w:t>
        </w:r>
      </w:hyperlink>
      <w:r>
        <w:rPr>
          <w:rFonts w:ascii="arial" w:eastAsia="arial" w:hAnsi="arial" w:cs="arial"/>
          <w:color w:val="000000"/>
          <w:sz w:val="20"/>
          <w:lang w:val="en-US" w:eastAsia="en-US" w:bidi="ar-SA"/>
        </w:rPr>
        <w:t>, wherein the Court adopted the Canadian Judicial Council's "Statement of Principles on Self-Represented Litigants and Accused Persons" (2006) (online) ("Principles"). Counsel quotes this statement in the Principles:</w:t>
      </w:r>
    </w:p>
    <w:p>
      <w:pPr>
        <w:numPr>
          <w:numId w:val="5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Judges and court administrators should do whatever is possible to provide a fair and impartial process and prevent an unfair disadvantage to self-represented persons.</w:t>
      </w:r>
    </w:p>
    <w:p>
      <w:pPr>
        <w:numPr>
          <w:numId w:val="5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Self-represented persons should not be denied relief on the basis of a minor or easily rectified deficiency in their case.</w:t>
      </w:r>
    </w:p>
    <w:p>
      <w:pPr>
        <w:numPr>
          <w:numId w:val="5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appropriate, a judge should consider engaging in such case management activities as are required to protect the rights and interests of self-represented persons. Such case management should begin as early in the court process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Gadsby has had many audiences with the courts over the eight years of foreclosure proceedings and subsequent proceedings. After many attempts on her part and submissions to the courts that the Seaview property was worth more than it was being marketed for and eventually sold for, she was not able to produce a buyer with a better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Gadsby is no doubt at a disadvantage in being self-represented. However, there is no unfair disadvantage to her that can be addressed through an opportunity to amend the claims. There are no "minor or easily-rectified deficiencies", to use the words of the Statement of Principles, that can address this situation. There is no point in granting leave for any further amendments which only have as their goal to re-litigate the sale as improvident.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One of the disadvantages that self-represented litigants face is not having legal advice about the merits of their claims. The court must dismiss claims that have no merit and where it is not possible for any further merit to be found, the court should not permit amendments that will make no difference to the outcome, especially in the circumstances of protracted proceedings such as this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exercise my discretion to not permit amendments to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claims brought by Ms. Gadsby and Seaview against the applicant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applicant defendants made submissions on costs. Cove and CMIC shall have their costs of the action paid out of the security for costs ordered by Mr. Justice Crossin and Mr. Justice Bowden after they are quantified by assessment or by agreement. Mr. Bury, Gowlings and the Landquest defendants are awarded their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PEARSON: My Lady, just on the question of costs, Scale 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PEARSON: --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COURT: Ordinary costs,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PEARSON: And jointly and severally against Ms. Gadsby and Seaview?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JOAN GADSBY: Your Honour, I have a couple questions. I had, in my affidavit, I had mentioned that I intended to amend my claim. My understanding is that one can amend the claim pursuant to the Rules of Court once before trial, and I'm trying to figure out how that 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COURT: Well, I have dismissed your claims against the applicant defendants and I have, in the course of doing so, ruled that you may not amend those claims, so as against the applicant defendants, your claims are dismissed and you may not apply to amend your claim to continue against those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JOAN GADSBY: Okay, I understood that when I -- when I included in my affidavit that I intended to amend my claim, I was not asking the court to rule on that. My understanding was by virtue of the rules, that I could do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COURT: Well, I cannot comment on your understanding, but I have explained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JOAN GADSBY: Okay, and in respect to your reasons, can I get a copy of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COURT: I will order a transcript of the reasons and they will be delivered to the parties once I have edited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MATTHEWS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8"/>
          <w:headerReference w:type="default" r:id="rId999"/>
          <w:footerReference w:type="even" r:id="rId1000"/>
          <w:footerReference w:type="default" r:id="rId1001"/>
          <w:headerReference w:type="first" r:id="rId1002"/>
          <w:footerReference w:type="first" r:id="rId10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4" w:history="1">
        <w:r>
          <w:rPr>
            <w:rFonts w:ascii="arial" w:eastAsia="arial" w:hAnsi="arial" w:cs="arial"/>
            <w:b/>
            <w:bCs/>
            <w:i/>
            <w:color w:val="0077CC"/>
            <w:kern w:val="32"/>
            <w:sz w:val="28"/>
            <w:szCs w:val="32"/>
            <w:u w:val="single"/>
            <w:shd w:val="clear" w:color="auto" w:fill="FFFFFF"/>
            <w:lang w:val="en-US" w:eastAsia="en-US" w:bidi="ar-SA"/>
          </w:rPr>
          <w:t>Hildebrand v. Fox, [2008] B.C.J. No. 1222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P.D. Leask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S077489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993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Margaret Hildebrand, Respondent, and Brian Fox and Board of Education of School District No. 62 (Sooke),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4" w:name="Keywords_35"/>
      <w:bookmarkEnd w:id="244"/>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Motion by defendant superintendent of schools to strike the claim of the plaintiff principal for failing to disclose a reasonable cause of action allowed — Plaintiff alleged the conduct of defendant in relation to the investigation of allegation of assault by plaintiff was grossly negligent — The cumulative effect of the plaintiff's allegations did not amount to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5" w:name="Case Summary_35"/>
            <w:bookmarkEnd w:id="2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defendant superintendent of schools to strike the claim of the plaintiff for failing to disclose a reasonable cause of action. The plaintiff was a school principal who was accused of assault by a teaching assistant. An investigation led the defendant school board to issue a reprimand letter to the plaintiff. The plaintiff sued the board and also named the moving defendant as a party. The plaintiff alleged that the conduct of the defendant superintendent in relation to the investigation and the letter was grossly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6" w:name="Holdings of Court_31"/>
            <w:bookmarkEnd w:id="246"/>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 was struck for failing to disclose a reasonable cause of action. The defendant acted reasonably in the circumstances. The cumulative effect of the plaintiff's allegations did not amount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7" w:name="Legislation Cited_24"/>
      <w:bookmarkEnd w:id="2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School Act, </w:t>
      </w:r>
      <w:hyperlink r:id="rId1005" w:history="1">
        <w:r>
          <w:rPr>
            <w:rFonts w:ascii="arial" w:eastAsia="arial" w:hAnsi="arial" w:cs="arial"/>
            <w:i/>
            <w:color w:val="0077CC"/>
            <w:sz w:val="20"/>
            <w:u w:val="single"/>
            <w:shd w:val="clear" w:color="auto" w:fill="FFFFFF"/>
            <w:lang w:val="en-US" w:eastAsia="en-US" w:bidi="ar-SA"/>
          </w:rPr>
          <w:t>R.S.B.C. 1996, c. 412, s. 94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B.C. Supreme Court Rules, B.C. Reg. 221/90,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[RSBC 1996] CHAPTER 367,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8" w:name="Counsel_36"/>
      <w:bookmarkEnd w:id="2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Denhoff.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 Mitha.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9" w:name="Judgment_36"/>
      <w:bookmarkEnd w:id="249"/>
      <w:r>
        <w:pict>
          <v:line id="_x0000_s1213"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0" w:name="P.D. LEASK J. (orally)"/>
            <w:bookmarkEnd w:id="250"/>
            <w:r>
              <w:rPr>
                <w:rFonts w:ascii="arial" w:eastAsia="arial" w:hAnsi="arial" w:cs="arial"/>
                <w:b/>
                <w:color w:val="000000"/>
                <w:sz w:val="30"/>
                <w:lang w:val="en-US" w:eastAsia="en-US" w:bidi="ar-SA"/>
              </w:rPr>
              <w:t>P.D. LEASK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Margaret Hildebrand is a principal employed by the Sooke School District. Brian Fox is the District Superintendent of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June 2007, a teaching assistant alleged that she had been assaulted by Ms. Hildebrand. The School Board hired an independent investigator to investigate the assault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investigator accepted the complainant's version of the events. Based on the investigator's report, Mr. Fox gave Ms. Hildebrand a letter of reprimand, which he also sent to the British Columbia College of Teachers. Mr. Fox also informed the complainant and her union of the conclusions reached by the investigator in her report. Ms. Hildebrand is suing the School Board for breach of contract and joined Brain Fox as a defendant in his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Section 94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xml:space="preserve">, provides immunity for School Board employees for acts committed in the course of their employment or on behalf of the Board unless the employee's conduct amounts to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Hildebrand's pleading alleges that Mr. Fox's conduct was grossly negligent. Counsel for Fox brings a motion relying on Rule 19(24)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to strike out the claim against him. Although several legal arguments were put forward to support the motion to strike, I am prepared to grant the motion on the basis that it is plain and obvious that the particulars of the alleged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set out in the Statement of Claim,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relevant facts are that on June 7, 2007, a teacher's assistant complained to the defendant Board that on or about June 6, 2007, the plaintiff caused a bruise to the complainant's arm when Hildebrand grabbed the complainant's arm and pulled her into a hallway.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8, 2007 the Board retained a third party to investigate the complaint against the plaintiff. On June 17, 2007, the investigator provided a Summary of Allegation in respect of the complaint against Ms. Hildebrand. On June 27, 2007, legal counsel for Hildebrand communicated to the defendant Board several concerns regarding the adequacy of the investigation process. On June 28, 2007, Mr. Fox gave Ms. Hildebrand a Letter of Discipline dated June 28th. At the same time, Mr. Fox gave Ms. Hildebrand a copy of the final investigation report which contained information which Ms. Hildebrand had not previously been given notice of and which concluded that the complaint was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29, 2007, legal counsel for Ms. Hildebrand asked Mr. Fox to withdraw the disciplinary letter and delay sending it to the British Columbia College of Teachers pending Ms. Hildebrand making a response to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Instead, on July 5, 2007, Mr. Fox informed Ms. Hildebrand that he sent the disciplinary letter to the College. He also sent the report to the complainant and her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all material times Mr. Fox was acting in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Ms. Hildebrand alleges that Mr. Fox was grossly negligent in conducting the investigation and disciplining her misconduct. Particulars of the alleged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 out at paragraph 24 of the Statement of Claim, as follows:</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instruct the independent investigator as to the procedure and process to be followed in conducting the investigation;</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the investigator's report as a basis for the decision to issue the disciplinary letter;</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the plaintiff with an opportunity to respond to the investigator's report;</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withdraw the disciplinary letter or delay sending it to the B.C. Teachers College pending the plaintiff's response to the investigators report and/or the disciplinary letter; and</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publishing the disciplinary letter to the College, the complainant, and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making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School Board, Ms. Hildebrand, in paragraph 34 of the Statement of the Claim, alleges exactly the same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are pleaded to support the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Mr. Fox.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is settled law that on an application under Rule 19(24)(a), the facts alleged in the pleadings are assumed to be true. The Statement of Claim should be struck only if it is plain and obvious that it discloses no reasonable cause of action. </w:t>
      </w:r>
      <w:r>
        <w:rPr>
          <w:rFonts w:ascii="arial" w:eastAsia="arial" w:hAnsi="arial" w:cs="arial"/>
          <w:b/>
          <w:i/>
          <w:color w:val="000000"/>
          <w:sz w:val="20"/>
          <w:lang w:val="en-US" w:eastAsia="en-US" w:bidi="ar-SA"/>
        </w:rPr>
        <w:t>Hunt v. T &amp; N, plc</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[1993] 4 S.C.R. 289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issue then is whether there are material facts pleaded which found a cause of action against the individual defendant Mr. Fox.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variously described as "very great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very marked departure from the standards by which responsible and competent people ... habitually govern themselves". What constitutes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question of fact in all of the circumstances. In deciding whether there has been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court must consider the cumulative effect of all the factors contributing to the breach of duty and not fall into the error, where there are several factors of considering them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Doern v. Phillips Estate</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(1995), 2 B.C.L.R. (3d) 349</w:t>
        </w:r>
      </w:hyperlink>
      <w:r>
        <w:rPr>
          <w:rFonts w:ascii="arial" w:eastAsia="arial" w:hAnsi="arial" w:cs="arial"/>
          <w:color w:val="000000"/>
          <w:sz w:val="20"/>
          <w:lang w:val="en-US" w:eastAsia="en-US" w:bidi="ar-SA"/>
        </w:rPr>
        <w:t xml:space="preserve">, affirmed </w:t>
      </w:r>
      <w:hyperlink r:id="rId1008"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Kirkpatrick J. analyzed the meaning of the term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used in the immunity provisions contained in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She explained at paragraphs 82 to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any clear legislative intent to define the concept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should be given its plain meaning as it has developed under the common law. The classic test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reiterated by the Supreme Court of Canada in </w:t>
      </w:r>
      <w:r>
        <w:rPr>
          <w:rFonts w:ascii="arial" w:eastAsia="arial" w:hAnsi="arial" w:cs="arial"/>
          <w:i/>
          <w:color w:val="000000"/>
          <w:sz w:val="20"/>
          <w:lang w:val="en-US" w:eastAsia="en-US" w:bidi="ar-SA"/>
        </w:rPr>
        <w:t>Walker v. Coates</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[1968] S.C.R. 599</w:t>
        </w:r>
      </w:hyperlink>
      <w:r>
        <w:rPr>
          <w:rFonts w:ascii="arial" w:eastAsia="arial" w:hAnsi="arial" w:cs="arial"/>
          <w:color w:val="000000"/>
          <w:sz w:val="20"/>
          <w:lang w:val="en-US" w:eastAsia="en-US" w:bidi="ar-SA"/>
        </w:rPr>
        <w:t xml:space="preserve">. Ritchie J. referred, at p. 601, to the Court's earlier decision in </w:t>
      </w:r>
      <w:r>
        <w:rPr>
          <w:rFonts w:ascii="arial" w:eastAsia="arial" w:hAnsi="arial" w:cs="arial"/>
          <w:i/>
          <w:color w:val="000000"/>
          <w:sz w:val="20"/>
          <w:lang w:val="en-US" w:eastAsia="en-US" w:bidi="ar-SA"/>
        </w:rPr>
        <w:t>McCulloch v. Murray</w:t>
      </w:r>
      <w:r>
        <w:rPr>
          <w:rFonts w:ascii="arial" w:eastAsia="arial" w:hAnsi="arial" w:cs="arial"/>
          <w:color w:val="000000"/>
          <w:sz w:val="20"/>
          <w:lang w:val="en-US" w:eastAsia="en-US" w:bidi="ar-SA"/>
        </w:rPr>
        <w:t xml:space="preserve">, where Duff C.J.C., at p. 145, had defined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these phrases,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wilful misconduct, imply conduct in which, if there is not conscious wrongdoing, there is a very marked departure from the standards by which responsible and competent people in charge of motor cars habitually govern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definition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also discussed in the context of 'gratuitous passenger' cases in </w:t>
      </w:r>
      <w:r>
        <w:rPr>
          <w:rFonts w:ascii="arial" w:eastAsia="arial" w:hAnsi="arial" w:cs="arial"/>
          <w:i/>
          <w:color w:val="000000"/>
          <w:sz w:val="20"/>
          <w:lang w:val="en-US" w:eastAsia="en-US" w:bidi="ar-SA"/>
        </w:rPr>
        <w:t>Ogilvie v. Donkin</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[1949] 1 W.W.R. 439</w:t>
        </w:r>
      </w:hyperlink>
      <w:r>
        <w:rPr>
          <w:rFonts w:ascii="arial" w:eastAsia="arial" w:hAnsi="arial" w:cs="arial"/>
          <w:color w:val="000000"/>
          <w:sz w:val="20"/>
          <w:lang w:val="en-US" w:eastAsia="en-US" w:bidi="ar-SA"/>
        </w:rPr>
        <w:t xml:space="preserve"> (B.C.C.A). O'Halloran J.A. held, at p. 441: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rational test for deciding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'gross' (within the meaning of the gratuitous passenger section) is the magnitude of the foreseeable risks in the particular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failure to take care develops into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within the meaning of the statute, when it must be plain the magnitude of the risks involved are such that, if more than ordinary care is not taken, a mishap is likely to occur in which loss of life, serious injury or grave damage is almost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these definitions suggest, the concept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imports conduct, which, in terms of the surrounding circumstances, has aggravated, flagrant, or extreme characteristics. Unless carelessness goes substantially beyond mere casual inadvertence or momentary forgetfulness or thoughtlessness, it will not amount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submits that the facts, as enumerated in the Statement of Claim, each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Considered cumulatively and in the context that Mr. Fox knew that his actions violated Ms. Hildebrand's rights and could cause injury, and that he callously acted anyway, the conduct amounts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submission is that even if the facts as alleged by the plaintiff are true, they fall far short of establishing that Mr. Fox's conduct was so flagrant or extreme that it could be viewed as a very marked departure from ordinary standards. Rather, the defendant submits that Fox's conduct was reasonable and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find myself in respectful agreement with the defendant Fox on these issues. Dealing with the particulars of alleged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repeat them for clarity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failing to properly instruct the independent investigator as to the procedure and process to be followed in conducting her investigation;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view is the investigator having been hired by the Board, it is not plain and obvious that there is any duty whatsoever on Fox to give such instructions to the investigator.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relying on the investigator's report as a basis for the decision to issue the disciplinary letter;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difficulty finding such reliance to be negligent, never mind grossly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failing to provide the plaintiff with an opportunity to respond to the investigator's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satisfied there was any such duty on Mr. Fox.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failing to withdraw the disciplinary letter or delay sending it to the B.C. Teachers College pending Ms. Hildebrand's response to the investigator's report and/or disciplinary letter;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of the view that Mr. Fox had a statutory duty with which he complied.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publishing the disciplinary letter to the College, the complainant, and the union.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to the College, my views at paragraph (d) are relevant. As to the complainant and the union, providing them with the information seems consistent with natural justice and procedural fairness rather than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satisfied that looking at the entirety of Mr. Fox's conduct, as alleged in paragraph 24 of the Statement of Claim, the cumulative effect of the plaintiff's allegations do not amount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Pursuant to Rule 19(24)(a), I hereby grant the defendant Fox's motion, to strike the plaintiff's claim against him on the ground that it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Fox will have his costs on Scale B,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P.D. 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1"/>
          <w:headerReference w:type="default" r:id="rId1012"/>
          <w:footerReference w:type="even" r:id="rId1013"/>
          <w:footerReference w:type="default" r:id="rId1014"/>
          <w:headerReference w:type="first" r:id="rId1015"/>
          <w:footerReference w:type="first" r:id="rId10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7" w:history="1">
        <w:r>
          <w:rPr>
            <w:rFonts w:ascii="arial" w:eastAsia="arial" w:hAnsi="arial" w:cs="arial"/>
            <w:b/>
            <w:bCs/>
            <w:i/>
            <w:color w:val="0077CC"/>
            <w:kern w:val="32"/>
            <w:sz w:val="28"/>
            <w:szCs w:val="32"/>
            <w:u w:val="single"/>
            <w:shd w:val="clear" w:color="auto" w:fill="FFFFFF"/>
            <w:lang w:val="en-US" w:eastAsia="en-US" w:bidi="ar-SA"/>
          </w:rPr>
          <w:t>Kelly v. Lowe, [2007] B.C.J. No. 886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15 - 19 and February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S63978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886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M.V.R. (5th) 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921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Lynn Kelly, Plaintiff, and Christopher Thomas Lowe, Blackgold Holdings Ltd., Castle Fuels Inc., Her Majesty the Queen in Right of British Columbia and The Minister of Public Safety and Solicitor General and Constable N.S. Henning, Vicky Brown, carrying on a business as Sentry Traffic Control, Ralph Bernier, Her Majesty the Queen in Right of the Province of British Columbia (Ministry of Transportation and Highways) and HMC Services Inc., Defendants, and Her Majesty the Queen in Right of the Province of British Columbia, The Minister of Public Safety and Solicitor General, Constable N.S. Henning, Vicky Brown, carrying on a business as Sentry Traffic Control, Ralph Bernier and Her Majesty the Queen in Right of the Province of British Columbia (Ministry of Transportation and Highways), HMC Services Inc. and Ryan Lundberg,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1" w:name="Keywords_36"/>
      <w:bookmarkEnd w:id="251"/>
      <w:r>
        <w:rPr>
          <w:rFonts w:ascii="arial" w:eastAsia="arial" w:hAnsi="arial" w:cs="arial"/>
          <w:b/>
          <w:color w:val="000000"/>
          <w:sz w:val="20"/>
          <w:lang w:val="en-US" w:eastAsia="en-US" w:bidi="ar-SA"/>
        </w:rPr>
        <w:t>Tort law — Tortfeasors — Contribution between tortfeasors — Apportionment of liability — Action by Kelly for damages resulting from injuries sustained in a motor vehicle accident with Lowe allowed — Officer who caused the truck to swerve was 65 per cent liable, people manning the work zone were 25 and 10 per 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2" w:name="Case Summary_36"/>
            <w:bookmarkEnd w:id="2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Kelly for damages resulting from injuries sustained in a motor vehicle accident with Lowe -- Avalanche control had closed a portion of the road and while waiting, cars were lining up -- Kelly arrived at zone and was stopped in a line of traffic by Bernier -- Henning, an officer, was also in the line and Lundberg was watching for cars approaching from the opposite direction -- Lowe was driving a semi-truck with trailer when he approached the scene just as Henning was completing a u-turn -- Just missing Henning, Lowe's trailer struck Kelly as he applied the brakes to get away -- There were a number of counterclaims pointing liability at Kelly or other parties -- HELD: Action allowed -- The degree of fault of Henning was greater than that of Bernier or Lundberg as it was he who was engaged in an inherently dangerous manoeuvre -- Henning did so with only limited visibility of the oncoming lane and after making the U-turn he stopped in the westbound lane, thus increasing the risk of collision -- On that basis, Henning's responsibility was accessed at 65 per cent -- Bernier's proportion of fault was found to be 25 per cent representing that he was bound to provide clear direction to Henning upon realizing that the officer was intending to make a U-turn -- Lundberg's degree of fault was accessed at 10 per cent on account that he was obliged to watch for and warn westbound traffic of the road blockage.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3" w:name="Legislation Cited_25"/>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018" w:history="1">
        <w:r>
          <w:rPr>
            <w:rFonts w:ascii="arial" w:eastAsia="arial" w:hAnsi="arial" w:cs="arial"/>
            <w:i/>
            <w:color w:val="0077CC"/>
            <w:sz w:val="20"/>
            <w:u w:val="single"/>
            <w:shd w:val="clear" w:color="auto" w:fill="FFFFFF"/>
            <w:lang w:val="en-US" w:eastAsia="en-US" w:bidi="ar-SA"/>
          </w:rPr>
          <w:t>R.S.B.C. 1996, c. 318, s. 141</w:t>
        </w:r>
      </w:hyperlink>
      <w:r>
        <w:rPr>
          <w:rFonts w:ascii="arial" w:eastAsia="arial" w:hAnsi="arial" w:cs="arial"/>
          <w:color w:val="000000"/>
          <w:sz w:val="20"/>
          <w:lang w:val="en-US" w:eastAsia="en-US" w:bidi="ar-SA"/>
        </w:rPr>
        <w:t>, s. 168, s. 168(a)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69"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s. 1(1), s. 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37"/>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Godfrey.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C.T. Lowe, Blackgold Holdings Ltd. and Castle Fuels Inc.: J.S.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H.M.T.Q., Minister of Public Safety and Solicitor General, and Cst. N.S. Henning: C.E. Burnett.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V. Brown, R. Bernier: D.J. Bilkey, S.A. Besanger.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H.M.T.Q. (Ministry of Transportation and Highways) and HMC Services Inc.: M.D. Adlem.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7"/>
      <w:bookmarkEnd w:id="255"/>
      <w:r>
        <w:pict>
          <v:line id="_x0000_s1218"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BARROW J."/>
            <w:bookmarkEnd w:id="256"/>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24, 2003, the plaintiff, Lynn Kelly, was injured when she was struck by a vehicle driven by the defendant, Christopher Lowe (the "accident"). The vehicle Mr. Lowe was driving was owned by the defendant, Blackgold Holdings Ltd., which had leased it to the defendant, Castle Fuels Inc., for whom Mr. Lowe worked. In terms of determining liability, nothing turns on these ownership or leasing arrangements. For ease of reference, I will refer to these defendants collectively simply as "Mr. Lowe".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happened on the Trans Canada Highway near Revelstoke. East of the accident scene, the defendant HMC Services Inc. ("HMC"), the company responsible for providing road maintenance services to the Province, and in particular to the Minister of Transportation and Highways, was conducting avalanche control work. The defendant Mr. Bernier was employed as a flag person by the defendant, Vicky Brown, who carries on business as Sentry Traffic Control. Ms. Brown contracted to HMC to provide traffic control services. Mr. Bernier had stopped traffic so that the avalanche control work could be carried out. The plaintiff arrived at the eastern boundary of the avalanche control zone and was stopped in a line of traffic by Mr. Bernier.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Several vehicles behind the plaintiff, and also stopped in the line of traffic, was the defendant, Cst. N.S. Henning, a member of the Sicamous Detachment of the Royal Canadian Mounted Police. The R.C.M.P. provides policing services under an agreement with the Province and, in particular, the Minister of Public Safety and Solicitor General. Again, nothing turns on the relationship between these two defendants, and for ease of reference, I will refer to them simply as "Cst. Henning".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During the trial, the plaintiff reached a settlement with the defendant, Mr. Lowe. As a result and with the consent of the other defendants, she amended her statement of claim. By her amended statement of claim, she alleges that her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Lowe, Cst. Henning, Ms. Brown, HMC and Mr. Bernier. As to the defendant, Mr. Lowe, she is seeking only a declaration of the percentage, if any, of his fault for the accident. In addition, the plaintiff initially claimed as against Mr. Lundberg, another flag person employed by Ms. Brown. That claim was discontinued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All of the defendants have denied responsibility for the accident, and each has claimed in the alternative that the plaintiff was contributorily negligent. In addition, a variety of third-party claims have been advanced. Mr. Lowe by his third party notice claims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HMC, Ms. Brown and/or Mr. Bernier. In the alternative, he claims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defendants contributed to the accident, and he seeks contribution from them. Cst. Henning has also filed a third-party notice but only against Ms. Brown and Mr. Bernier. He alleges that the accident was caused solely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the alternative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HMC has filed a third-party notice against Ms. Brown, Mr. Bernier and Mr. Lundberg in which it claims that the accident was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third-party claim of HMC against Mr. Lundberg was discontinued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consent, and prior to the commencement of the trial, an order was made that liability be dealt with separately and prior to the issue of damages. Part way through the trial, the plaintiff settled her claim as against HMC. The plaintiff's action against HMC was accordingly dismissed by consent. Consequent upon that settlement, HMC's third-party claim as against Ms. Brown and Mr. Bernier was also dismissed by consent, as was the defendant Mr. Lowe's third-party claim against HMC. Finally, again during the trial, the defendant Mr. Lowe's third-party claim against Cst. Henning was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of all of the foregoing, the issues that remain are as follows:</w:t>
      </w:r>
      <w:r>
        <w:rPr>
          <w:rFonts w:ascii="arial" w:eastAsia="arial" w:hAnsi="arial" w:cs="arial"/>
          <w:sz w:val="20"/>
          <w:lang w:val="en-US" w:eastAsia="en-US" w:bidi="ar-SA"/>
        </w:rPr>
        <w:cr/>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Mr. Lowe, negligent in the manner in which he operated his vehicle?</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Cst. Henning, negligent in the manner in which he operated his vehicle?</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Mr. Bernier, negligent in the manner that he controlled traffic on the highway?</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Ms. Brown, negligent in the manner she conducted the flagging operations?</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negligent in relation to her own safety and did she thereby contribute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relation to the first four issues, if either or all of those defendants were negligent, it is necessary to determine the degree or proportion of their respective responsibility for the accident. I will deal with the first, fourth and fifth issues separately. I will deal with the second and third issues together. Lastly I will deal with the issue of apportionment among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accident, Mrs. Kelly was 52 years old and married to Mr. Kelly. They both worked and lived in Revelstoke. On November 24, 2003, they drove to Kelowna where Mr. Kelly had a medical appointment. They were on the way home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occurred on the Trans Canada Highway east of Sicamous and about 27 km west of Revelstoke. At the location of the collision, the highway runs generally east-west over a level grade. In the immediate vicinity of the accident, the highway is bounded on the south, or the right for eastbound vehicles such as the Kelly's, by Griffin Lake. On the north there is a steep rock face and a limited shoulder. Several hundred meters to the east of the scene, there is an avalanche gate that marks the western terminus of an avalanche control zone. Just beyond the gate, the highway curves sharply to the south and begins a steep uphill climb.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vehicles travelling west from Revelstoke as Mr. Lowe was, the highway passes through Three Valley Gap and then climbs a grade. At the top of that grade, the highway follows a winding and up and down course through the surrounding mountains. Westbound drivers at the top of the grade to the east of the avalanche control gates cannot see the bottom of the hill. At about the midpoint of the hill, the road curves to the right obstructing the view of the bottom. After drivers round that curve, they can see the bottom of the hill but not much more because the road curves again, this time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posted speed limit on the highway at the location of the accident is 90 kilometres per hour. The weather on November 24, 2003, was partially overcast with intermittent sunny periods. At the time of the accident, the sun was shining out of the west. Both east and west of the accident scene, the road had been ploughed but the surface was covered with packed snow. In addition, there were patches of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Kellys reached the avalanche control area at about mid-afternoon. On their arrival, traffic was stopped because HMC was conducting avalanche control work. Two flag persons, Mr. Bernier and Mr. Lundberg, were controlling the eastbound traffic. The Kellys stopped as directed. They were about five or six vehicles away from the front of the line. The first vehicle in the eastbound line was a semi-trailer. Mr. Lundberg was at the front of the line and Mr. Bernier was walking up the line informing drivers of the reason for the stoppage and advising them that the road would be closed for at least the next hour. When the Kellys were told this, they decided to get out of their vehicle to stretch and pass the time. The next eastbound vehicle to arrive was driven by Mr. Sigvaldason who was accompanied by his adult son, Troy. Mr. Kelly and Mr. Sigvaldason worked at the same mill in Revelstoke. When Mr. Sigvaldason recognized Mr. Kelly he and his son got out of their vehicle and the four congregated more or less between their two vehicles and visited.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they visited, eastbound traffic continued to accumulate and Mr. Bernier continued to walk up the line informing drivers of the situation. Cst. Henning was dispatched to the scene in order to ensure that the drivers behaved in an orderly fashion. He was in uniform and driving a marked police car. He joined the line about four or five vehicles behind the Kellys and the Sigvaldasons. Mr. and Mrs. Knowles were also eastbound on the highway. They arrived at the closure after Cst. Henning and stopped directly behind his vehicle. Mr. Bernier approached and spoke with both Cst. Henning and the Knowles telling them of the anticipated length of the delay and the reason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Lowe was working for a fuel distribution company. His depot was in Salmon Arm some distance to the west of the scene. On the day of the accident, he was scheduled to make routine deliveries of fuel to his customers in Revelstoke. He was driving a truck fitted with a large bunk which was equipped with a fuel tank. He was towing a pup trailer also equipped with a fuel tank. The tank on the truck and the trailer each had a capacity of approximately 18,000 litres. Before leaving the depot, Mr. Lowe conducted a pre-trip inspection of this truck and trailer and found all to be in good working order. He then drove to Revelstoke and made his delivers. On his return trip, the tank in his truck still contained about 4,000 litres of diesel fuel. It was normal for him to return with some fuel in case he was called upon to make unscheduled deliveries to customers on route back to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avalanche gates at the eastern end of the control zone were not closed, nor was there any signage indicating an imminent closure when Mr. Lowe passed them. He proceeded west to the top of the hill to the east of the line of traffic in which the Kellys, the Sigvaldasons, the Knowles and Cst. Henning were stopped. From the top of the hill, Mr. Lowe could only see part way down due to the curve at about the mid point. He proceeded down the grade and as he rounded the curve at the midpoint, he saw the stopped semi-truck and trailer at the bottom of the hill. He could not see what was behind the semi-truck because, from his perspective, the road curved sharply to the left and obscured his view. On reaching the bottom of the hill, he could see the line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Mr. Lowe was descending the hill, Cst. Henning decided that he would not remain in the line up and proceeded to make a three point U-turn. He had completed that manoeuvre and was more or less stationary in the westbound lane when Mr. Lowe rounded the curve and saw him. Mr. Lowe realized that if the officer did not continue westbound and do so immediately he would collide with him. Not knowing what the officer was going to do, Mr. Lowe briefly applied his brakes. As he was doing that, the officer pulled his car forward and to the left far enough that Mr. Lowe was able, but only just able, to pass him on the right. Mr. Lowe did not see, and was not aware, that his pup trailer had swerved into the east bound lane when he braked. It was only after he stopped and returned to the police car that he realized that there had been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speaking to the Knowles, Mr. Bernier had continued west informing motorists of the situation. None of the foregoing is in dispute. What is also beyond dispute is that when Mr. Lowe rounded the corner at the bottom of the hill, the Kellys and the Sigvaldasons were still chatting near the right front fender of Mr. Sigvaldason's truck. Mr. Sigvaldason was leaning against his truck and facing north or towards the westbound lane of the highway. His son was standing nearby. Mr. Kelly was standing close to and facing the Sigvaldason vehicle. Mrs. Kelly was facing west and had her back to the oncoming truck driven by Mr. Lowe. All four noticed the police car turning around. They also all noticed the truck coming and recognized the hazard it faced. Only three of them, however, saw the pup trailer swerving into their location. Mr. Kelly and Troy Sigvaldason were able to jump out of the way. Mr. Sigvaldason remained pressed up against his truck. The pup trailer narrowly missed him, so narrowly, in fact, that Mr. Sigvaldason initially thought that it had hit his outside rear view mirror. As it slid by, the rear bumper of the pup trailer struck Mrs. Kelly who did not have an opportunity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as against this general background that the various issues of liability are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Mr. Lowe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argues that Mr. Lowe was negligent. By her statement of claim, she claims that he was negligent in the following ways: driving at an unsafe speed, failing to confine his vehicle to its proper lane of travel, failing to keep a proper lookout, and failing to brake as required. The defendants, Cst. Henning and Mr. Bernier, adopt those allegations in their statements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argues that the failure of Mr. Lowe to stay within his lane of travel is dispositive of the issue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support, counsel points to </w:t>
      </w:r>
      <w:r>
        <w:rPr>
          <w:rFonts w:ascii="arial" w:eastAsia="arial" w:hAnsi="arial" w:cs="arial"/>
          <w:b/>
          <w:i/>
          <w:color w:val="000000"/>
          <w:sz w:val="20"/>
          <w:lang w:val="en-US" w:eastAsia="en-US" w:bidi="ar-SA"/>
        </w:rPr>
        <w:t>Gauthier Co. v. Canada</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[1945] S.C.R. 143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Hackman v. Vecchio</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(1969), 4 D.L.R. (3d) 444</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Hackman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Curbello v. Thompson</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[1968] S.C.R. 626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Curbello</w:t>
      </w:r>
      <w:r>
        <w:rPr>
          <w:rFonts w:ascii="arial" w:eastAsia="arial" w:hAnsi="arial" w:cs="arial"/>
          <w:color w:val="000000"/>
          <w:sz w:val="20"/>
          <w:lang w:val="en-US" w:eastAsia="en-US" w:bidi="ar-SA"/>
        </w:rPr>
        <w:t>"]. I will deal with these cases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Lowe denies that he was negligent. It is his position that he was entitled to expect that other users of the highway would do so reasonably and in accordance with the obligations the law imposes on them. In support of this position he points, by way of authority, to </w:t>
      </w:r>
      <w:r>
        <w:rPr>
          <w:rFonts w:ascii="arial" w:eastAsia="arial" w:hAnsi="arial" w:cs="arial"/>
          <w:b/>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[1993] B.C.J. No. 154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Pacheco</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Erickson v. Minta</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[1983] B.C.J. No. 1012</w:t>
        </w:r>
      </w:hyperlink>
      <w:r>
        <w:rPr>
          <w:rFonts w:ascii="arial" w:eastAsia="arial" w:hAnsi="arial" w:cs="arial"/>
          <w:color w:val="000000"/>
          <w:sz w:val="20"/>
          <w:lang w:val="en-US" w:eastAsia="en-US" w:bidi="ar-SA"/>
        </w:rPr>
        <w:t xml:space="preserve"> (S.C.). In addition, he argues that as he proceeded down the hill and around the corner, he was doing so carefully. It was only when he rounded the corner and was faced with the stationary or almost stationary vehicle of Cst. Henning that he had any warning of impending danger. By then it was effectively too late. He was then in what has come to be known as the "agony of collision" or the "agony of the moment". In support of this proposition, and the effect it has on his obligations, he points to </w:t>
      </w:r>
      <w:r>
        <w:rPr>
          <w:rFonts w:ascii="arial" w:eastAsia="arial" w:hAnsi="arial" w:cs="arial"/>
          <w:b/>
          <w:i/>
          <w:color w:val="000000"/>
          <w:sz w:val="20"/>
          <w:lang w:val="en-US" w:eastAsia="en-US" w:bidi="ar-SA"/>
        </w:rPr>
        <w:t>Derksen v. Lobello</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[1979] B.C.J. No. 442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Manhas v. Froese</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[1980] B.C.J. No. 1701</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[1999] B.C.J. No. 510</w:t>
        </w:r>
      </w:hyperlink>
      <w:r>
        <w:rPr>
          <w:rFonts w:ascii="arial" w:eastAsia="arial" w:hAnsi="arial" w:cs="arial"/>
          <w:color w:val="000000"/>
          <w:sz w:val="20"/>
          <w:lang w:val="en-US" w:eastAsia="en-US" w:bidi="ar-SA"/>
        </w:rPr>
        <w:t xml:space="preserve"> (S.C.). He argues that of all those involved in these rapidly unfolding events, he was the only one that did not have time to do anything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to the "agony of collision", the defendant, Cst. Henning, argues that Mr. Lowe created the dangerous situation, and if that is so, he is not entitled to the benefit of the doctrine. As pointed out by Hinds J.A. in </w:t>
      </w:r>
      <w:r>
        <w:rPr>
          <w:rFonts w:ascii="arial" w:eastAsia="arial" w:hAnsi="arial" w:cs="arial"/>
          <w:b/>
          <w:i/>
          <w:color w:val="000000"/>
          <w:sz w:val="20"/>
          <w:lang w:val="en-US" w:eastAsia="en-US" w:bidi="ar-SA"/>
        </w:rPr>
        <w:t>Lloyd v. Fox</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(1991), 57 B.C.L.R. (2d) 332</w:t>
        </w:r>
      </w:hyperlink>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31 M.V.R. (2d) 31</w:t>
        </w:r>
      </w:hyperlink>
      <w:r>
        <w:rPr>
          <w:rFonts w:ascii="arial" w:eastAsia="arial" w:hAnsi="arial" w:cs="arial"/>
          <w:color w:val="000000"/>
          <w:sz w:val="20"/>
          <w:lang w:val="en-US" w:eastAsia="en-US" w:bidi="ar-SA"/>
        </w:rPr>
        <w:t xml:space="preserve"> (C.A.), where the party seeking the benefit of the doctrine is partly responsible for the creation of the emergency, the plea will seldom prevail. I am, for the reasons that follow, not persuaded that Mr. Lowe was partly responsible for the circumstances in which he found himself and thus the doctrine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useful to first set out the governing legal principles and then turn to the facts as I find them. </w:t>
      </w:r>
      <w:r>
        <w:rPr>
          <w:rFonts w:ascii="arial" w:eastAsia="arial" w:hAnsi="arial" w:cs="arial"/>
          <w:b/>
          <w:i/>
          <w:color w:val="000000"/>
          <w:sz w:val="20"/>
          <w:lang w:val="en-US" w:eastAsia="en-US" w:bidi="ar-SA"/>
        </w:rPr>
        <w:t>Pacheco</w:t>
      </w:r>
      <w:r>
        <w:rPr>
          <w:rFonts w:ascii="arial" w:eastAsia="arial" w:hAnsi="arial" w:cs="arial"/>
          <w:color w:val="000000"/>
          <w:sz w:val="20"/>
          <w:lang w:val="en-US" w:eastAsia="en-US" w:bidi="ar-SA"/>
        </w:rPr>
        <w:t xml:space="preserve"> involved a collision between a cyclist and a motor vehicle at an intersection. The plaintiff cyclist was going straight through the intersection, and the defendant was turning left across his path. On the evidence, it was apparent that neither party saw the other until just before the impact. The trial judge found the cyclist plaintiff contributorily negligent on the basis that the defendant was there to be seen and the plaintiff did not see her. The Court of Appeal reversed the trial judge on that finding. In doing so, Legg J.A. said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bound to guard against every conceivable eventuality but only against such eventualities as a reasonable person ought to have foreseen as being within the ordinary range of human experience. The plaintiff was entitled to proceed on the assumption that all other vehicles will do what it is their duty to do, namely observe the rules regulating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he commented about the duties of drivers wishing to turn left at intersections. He said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expressed in the context of a left turn at an intersection, this principle applies with equal force to a driver making a U-turn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other hand, Mr. Lowe was bound to exercise reasonable care in the manner in which he drove. What is reasonable depends on all the circumstances, including the road and traffic conditions and the fact that he was operating a large commercial vehicle towing a pup trailer. The exercise of reasonable care does not oblige him to anticipate every possible contingency but rather only those that a reasonably prudent driver would foresee in the circumstances. As a driver travelling through on a highway, he is entitled to assume that other drivers will, as they are obliged to do, cede the right of way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Lowe travelled the Trans Canada Highway from Salmon Arm to Revelstoke and back regularly. He was familiar with the road. His truck was equipped with a Jacob brake or engine compression brake, and air brakes. It had a manual transmission and new winter tires. Although he was carrying chains, the uncontradicted evidence is that the road conditions did not warrant their use. He routinely used the transmission, the Jacob brake, and the air brakes to control his speed on hills.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Mr. Lowe began his decent into Griffin Lake, he had no notice that traffic might be stopped at the bottom of the hill. When he passed through the eastern gate of the avalanche control area, no flag persons were present and traffic had not been stopped; nor was there any signage indicating that it was about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top of the hill, the only vehicle he could see in front of him was just rounding the curve midway down the hill. It shortly passed out of his line of sight leaving before him an empty highway. He selected fifth gear and proceeded down the hill using his Jacob brake intermittently to control his speed. His uncontradicted evidence is that he was travelling down the hill at between 25 and 35 kilometres per hour. When he rounded the curve midway down the hill, his lane of travel was still empty. He could see the semi-truck and trailer stopped on the road in the oncoming lane at the bottom of the hill. He continued to the bottom and, according to his evidence, slowed further as he rounded the left hand turn on to the flat. He estimated he was then going between 20 and 25 kilometres per hour. Troy Sigvaldason estimated that Mr. Lowe was travelling at between 30 and 35 kilometres per hour when he first saw him, which was within seconds of the accident. Mrs. Knowles said in a statement she gave in the immediate aftermath of the accident that she thought Mr. Lowe was traveling at about 20 kilometres per hour. This was at a point perhaps 40 feet from the point of impact. Cst. Henning had just completed his three-point turn when he looked in his rear view mirror and saw the oncoming Mr. Lowe. He estimated that Mr. Lowe was travelling at about 40 kilometres per hour. Neither Mr. Knowles, Mr. Bernier nor Mr. Kelly provided an estimate of Mr. Lowe's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fact that neither Mr. Bernier, Mr. Kelly nor Mr. Knowles said anything about the speed of Mr. Lowe's vehicle is telling. They all appreciated the danger that the situation unfolding in front of them represented. None of them said that there was anything untoward about the speed of the Lowe vehicle. Given the general consistency in the evidence as to Mr. Lowe's speed, I am satisfied that he was travelling at approximately 30 kilometres per hour as he rounded the corner at the bottom of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reasonable driver in Mr. Lowe's position rounding the corner at the bottom of the hill would have no reason to expect anything other than a clear lane of travel. That was not what Mr. Lowe found. Instead, as he rounded the corner, he saw Cst. Henning's police car in his lane of travel and moving very slowly forward. By Mr. Lowe's estimate, it was only about three or four car lengths or 50 feet ahead of him. This is consistent with the photographic evidence. When Mr. Lowe saw the police car, he immediately appreciated the hazard it presented, and his first thought was that if it kept moving he would be able to avoid a collision. It did not. Instead Mr. Lowe saw the brake lights come on, and at that point, he had four choices: drive into the line of traffic and pedestrians on his left, drive into the rock bank on his right, drive over the police car or attempt to stop. He touched his brakes and realized that due to the road conditions and the proximity of the police car, he would be unable to stop in time. As he did that, the police car moved ahead and to his left, leaving Mr. Lowe just enough room to move to his right and pass by without apparent mishap.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not satisfied that the plaintiff or any of the other defendants have established on a balance of probabilities that Mr. Lowe was negligent. It is true that drivers have an obligation to confine their vehicles to their lane of travel. A failure to do that is not always negligent. It is convenient at this juncture to address the authorities cited by the plaintiff on this point because they illustrate how the law responds when a driver fails to confine his or her vehicle to its proper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the defendant was driving a half-track military vehicle towing a Bren gun. As he approached a right-hand curve in the road, his vehicle skidded into the oncoming lane injuring the plaintiff who was in that lane.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was the failure of the defendant to confine his vehicle to its proper lane of travel, a delict as in this case, based on both the prevailing road traffic legislation and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Kerwin J. concluded that a failure to confine one's vehicle to its proper lane of travel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casts an evidentiary burden on the defendant to explain how the failure may have occurred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such an explanation exists on the evidence then the burden reverts to the plaintiff to prove his or her case. In effect the force of the inference is spent. In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the explanation offered was that the curve in question was super elevated and that is what caused the vehicle to skid. Kerwin J. concluded that the defendant ought to have been aware of that circumstance, and thus his explanation was not consistent with an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was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Hackman</w:t>
      </w:r>
      <w:r>
        <w:rPr>
          <w:rFonts w:ascii="arial" w:eastAsia="arial" w:hAnsi="arial" w:cs="arial"/>
          <w:color w:val="000000"/>
          <w:sz w:val="20"/>
          <w:lang w:val="en-US" w:eastAsia="en-US" w:bidi="ar-SA"/>
        </w:rPr>
        <w:t xml:space="preserve">, the Court of Appeal applied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The defendant was driving on slippery and icy roads down a hill. His vehicle began to fishtail and he ultimately lost control. His passenger, the plaintiff, was injured when the defendant's vehicle crashed into an oncoming vehicle. There was no suggestion that the oncoming vehicle was being driven other than properly. The defendant argued that what occurred was an "inevitable accident". Davey C.J.B.C. said this about that defence citing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parties mean by the defence of inevitable accident in the, circumstances of this case is that the respondent attempted to rebut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arose from the fact that he collided with the truck on his wrong side of the road, by advancing an explanation of how the collision may have happened reasonably (not, did happen),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If respondent's explanation for the skid does not show how it may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it does not rebut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ought to be drawn from the fact that his car skidded and crashed into the truck on his wrong side of the road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explanation for the accident was that the roads were extremely icy. The court held that the defendant, on his own evidence, knew that the roads were icy. The presence of ice at the location of the accident was not something that was unforeseeable or unforeseen. His explanation, therefore, was not one consistent with an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facts in </w:t>
      </w:r>
      <w:r>
        <w:rPr>
          <w:rFonts w:ascii="arial" w:eastAsia="arial" w:hAnsi="arial" w:cs="arial"/>
          <w:b/>
          <w:i/>
          <w:color w:val="000000"/>
          <w:sz w:val="20"/>
          <w:lang w:val="en-US" w:eastAsia="en-US" w:bidi="ar-SA"/>
        </w:rPr>
        <w:t>Curbello</w:t>
      </w:r>
      <w:r>
        <w:rPr>
          <w:rFonts w:ascii="arial" w:eastAsia="arial" w:hAnsi="arial" w:cs="arial"/>
          <w:color w:val="000000"/>
          <w:sz w:val="20"/>
          <w:lang w:val="en-US" w:eastAsia="en-US" w:bidi="ar-SA"/>
        </w:rPr>
        <w:t xml:space="preserve"> bear some superficial resemblance to the facts in the matter at hand. The defendant in that case was driving a truck, loaded close to its maximum capacity, at night on a straight stretch of the Trans Canada Highway, which at the time was both wet and slippery. He was travelling close to the posted speed limit. He saw the oncoming plaintiff and at about the same time noticed some deer on the side of the highway. Just before the collision, one of the deer darted into his lane of travel. As he attempted to avoid it, he lost control to such an extent that his truck rotated more than 180 degrees and in the course of doing so traveled into the oncoming lane causing a collision with the plaintiff. In addition to the foregoing, the defendant's rear tires were substantially worn, a fact that the trial judge found contributed to his inability to maintain control. He was found liable at trial, a finding upheld by the Supreme Court of Canada. His explanation for the accident was not one that established that the accident may have happened absent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Turning to the facts in the matter at hand, Mr. Lowe was travelling well below the posted speed. He was not travelling at a speed inappropriate for the road conditions, including the traffic, the state of the road surface, or the general contours of the highway. His vehicle was properly equipped in all respects, including new winter tires. He had no reason to believe that his intended path of travel would be obstructed and had little warning when he discovered it was. It was, after all, the Trans Canada Highway. He was faced with an unexpected emergency, an emergency that a reasonable driver would not have anticipated. His options were limited and had to be assessed in a split second. The fact that he was able to avoid hitting Cst. Henning's police car is evidence of Mr. Lowe's skill and of the fact that he was paying attention to the road ahead of him. Unlike </w:t>
      </w:r>
      <w:r>
        <w:rPr>
          <w:rFonts w:ascii="arial" w:eastAsia="arial" w:hAnsi="arial" w:cs="arial"/>
          <w:b/>
          <w:i/>
          <w:color w:val="000000"/>
          <w:sz w:val="20"/>
          <w:lang w:val="en-US" w:eastAsia="en-US" w:bidi="ar-SA"/>
        </w:rPr>
        <w:t>Hackman</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this is not a case in which the defendant lost control simply due to road conditions. Unlike </w:t>
      </w:r>
      <w:r>
        <w:rPr>
          <w:rFonts w:ascii="arial" w:eastAsia="arial" w:hAnsi="arial" w:cs="arial"/>
          <w:b/>
          <w:i/>
          <w:color w:val="000000"/>
          <w:sz w:val="20"/>
          <w:lang w:val="en-US" w:eastAsia="en-US" w:bidi="ar-SA"/>
        </w:rPr>
        <w:t>Curbello</w:t>
      </w:r>
      <w:r>
        <w:rPr>
          <w:rFonts w:ascii="arial" w:eastAsia="arial" w:hAnsi="arial" w:cs="arial"/>
          <w:color w:val="000000"/>
          <w:sz w:val="20"/>
          <w:lang w:val="en-US" w:eastAsia="en-US" w:bidi="ar-SA"/>
        </w:rPr>
        <w:t>, it is not a case in which the defendant's vehicle was improperly equipped, nor is it a case in which the defendant was driving close to the speed limit or at a speed inappropriate for the conditions. Although he did not sound his horn, he testified that he did not have time. Moreover, I am not satisfied it would have made any difference if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already indicated, I am satisfied that the explanation offered by the defendant is consistent with the accident having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even though he did, in fact, fail to confine his vehicle to its proper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Cst. Henning or Mr. Bernier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appropriate to assess Cst. Henning's conduct and that of Mr. Bernier together. There is some conflict in the evidence as to what precisely happened as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will first address the evidence and my findings of fact arising from it. I will then turn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are two critical aspects to the evidence relating to what Cst. Henning did. The first is in relation to his interaction with Mr. Bernier prior to deciding to turn his car around. The second is what he did immediately after he completed his turn. I will deal with these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Cst. Henning's intention not to proceed through the avalanche control zone. He was there only to provide a visible police presence, and once he satisfied himself that his continued presence was not necessary, he intended to return to his other duties in the Sicamous area. Shortly after he arrived in the line-up, Mr. Bernier approached him. Cst. Henning asked if all was in order and he was told it was. He testified that he told Mr. Bernier he wanted to turn around and asked him to assist. In his examination-in-chief he said Mr. Bernier agreed to assist and suggested that he proceed to the turnout area at the front of the line. Cst. Henning thought that was not a "prudent" suggestion and asked if he could just turn around where he was. He said there followed an "awkward pause" during which Mr. Bernier was leaning down towards his window. Cst. Henning then asked, "Can I go now, is it safe to go?" at which point Mr. Bernier stood up, looked in the direction of the front of the line and said, "Go ahead." He then stepped back from the police car. Cst. Henning then looked to the east as far as he could, a distance, by his estimate of only 50 meters and, seeing no oncoming traffic, began his turn. As he pulled out of line, the Knowles' vehicle which was immediately behind him pulled forward into the space he had just vacated.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to the encounter with Mr. Bernier, Cst. Henning testified on cross-examination that when he asked if it was safe to go, Mr. Bernier said something like, "Sure." He said that he could not recall the exact words Mr. Bernier spoke but he gave him the impression, both by what he said and what he did, that is, standing up and backing away from the car, that it was safe to turn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Cst. Henning acknowledged that westbound vehicles had passed him within 20 seconds or perhaps a bit longer, prior to his conversation with Mr. Bernier. He acknowledged that the only risk to him by turning at that point was from westbound traffic. He acknowledged that he did not ask Mr. Bernier how it was that Mr. Bernier might assist him in proceeding to the pullout at the front of the line. He assumed that to do so, he would have had to travel unescorted east in the westbound lane. It was based on that assumption that he felt Mr. Bernier's suggestion was problematic. He also knew that Mr. Bernier had a radio but that he had not used it in his presence. He acknowledged that it did not occur to him that what Mr. Bernier might have had in mind was using his two way radio to communicate with Mr. Lundberg at the front of the line to stop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Bernier, who is partially deaf, and was 70 years old at the time of the accident, testified that he approached Cst. Henning shortly after the officer arrived. After telling him that all was in order the officer told him that he was not going to wait in the line but was, rather, going to return to Sicamous. Mr. Bernier then told him he could turn around at the pull out at the front of the line to which the officer replied he could turn around where he was. Mr. Bernier replied, "Yeah." From Mr. Bernier's point of view I am satisfied that he was indicating that it was possible to turn around at that point, not that the officer ought to do so. As traffic was piling up behind the police car, Mr. Bernier left to inform those motorists about the delay. When he left, he testified that he had the impression that the officer had not made up his mind as to whether, and if so where, he was going to turn around. He testified that he did not tell the officer that it was safe to turn around there, nor did he give him permission to do so. When he left, he simply did not know what the officer was going to do. He further testified that when he suggested using the pullout, he had in mind radioing Mr. Lundberg to stop any westbound traffic so that the officer could be escorted to the front of the line in safety from which point he could turn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Almost immediately after leaving Cst. Henning, and while walking westward down the line of traffic, Mr. Bernier's attention was attracted to the east. He turned around and saw the police car in the westbound lane stopped. He saw the oncoming Mr. Lowe and the subsequent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Both Mr. Bernier and Cst. Henning were honest witnesses. Both candidly acknowledged that they could not recall with precision what was said by the other during their encounter. I am satisfied that neither had a clear understanding of what the other said or meant. Mr. Bernier did not know what Cst. Henning intended to do; Cst. Henning, at best, had the "impression" that Mr. Bernier indicated it was alright to turn around from his position in the line. He also knew, however, that there was a risk of further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driver intending making a U-turn must exercise reasonable care in doing so. It is an inherently dangerous thing to do, particularly on a highway. The duty is one that arises as a matter of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authority for this proposition is necessary see </w:t>
      </w:r>
      <w:r>
        <w:rPr>
          <w:rFonts w:ascii="arial" w:eastAsia="arial" w:hAnsi="arial" w:cs="arial"/>
          <w:b/>
          <w:i/>
          <w:color w:val="000000"/>
          <w:sz w:val="20"/>
          <w:lang w:val="en-US" w:eastAsia="en-US" w:bidi="ar-SA"/>
        </w:rPr>
        <w:t>Godeau v. Hogarth</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[1990] B.C.J. No. 2360</w:t>
        </w:r>
      </w:hyperlink>
      <w:r>
        <w:rPr>
          <w:rFonts w:ascii="arial" w:eastAsia="arial" w:hAnsi="arial" w:cs="arial"/>
          <w:color w:val="000000"/>
          <w:sz w:val="20"/>
          <w:lang w:val="en-US" w:eastAsia="en-US" w:bidi="ar-SA"/>
        </w:rPr>
        <w:t xml:space="preserve"> (S.C.)) and finds expression in s. 168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Except as provided by the bylaws of a municipality, a driver must not turn a vehicle so as to proceed in the opposite direction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driver can do so without interfering with other traffic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effect, Cst. Henning argues that he discharged the duty on him by making the inquiries and receiving the answers he did from Mr. Bernier. The fact that a U-turn is being undertaken from a line of traffic controlled by flag persons does not, by itself, relieve a driver from exercising due care. While a driver is obliged by s. 141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to obey the directions of flag persons, even if directed by a flag person, a driver is not relieved of the obligation to exercise reasonable care (see </w:t>
      </w:r>
      <w:r>
        <w:rPr>
          <w:rFonts w:ascii="arial" w:eastAsia="arial" w:hAnsi="arial" w:cs="arial"/>
          <w:b/>
          <w:i/>
          <w:color w:val="000000"/>
          <w:sz w:val="20"/>
          <w:lang w:val="en-US" w:eastAsia="en-US" w:bidi="ar-SA"/>
        </w:rPr>
        <w:t>McKay (Guardian ad litem) v. Jager</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[1979] B.C.J. No. 1291</w:t>
        </w:r>
      </w:hyperlink>
      <w:r>
        <w:rPr>
          <w:rFonts w:ascii="arial" w:eastAsia="arial" w:hAnsi="arial" w:cs="arial"/>
          <w:color w:val="000000"/>
          <w:sz w:val="20"/>
          <w:lang w:val="en-US" w:eastAsia="en-US" w:bidi="ar-SA"/>
        </w:rPr>
        <w:t xml:space="preserve"> (S.C.) per Cashman L.J.S.C. at para. 5). In any event, I find that Cst. Henning was not directed to make the turn he did by Mr. Bernier. It is clear that Mr. Bernier did not favour the officer turning around from his position in the line. He suggested that the officer use the pullout at the front of the line. The officer's own conduct supports the conclusion that he was not relying entirely on the exchange he had with Mr. Bernier. He did not begin his turn until after Mr. Bernier had left the immediate area, and when he did so, he was careful to look down the oncoming lane for traffic. I am satisfied that Cst. Henning was not relying on anything Mr. Bernier said to conclude that he could turn around where he was safely. He was not denied permission to turn but was, at best, left to his own judgment in determining whether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fortified in this conclusion to some degree by what happened after the accident. Cst. Henning spoke with both Mr. Bernier and Mr. Lowe just after the accident. He apologized to Mr. Lowe. He said nothing to Mr. Bernier about having put him in an extremely dangerous and vulnerable position. Cst. Henning testified that he apologized to Mr. Lowe, in part, because he did not feel that Mr. Lowe had done anything wrong and, in part, in an effort not to inflame the situation given that a serious accident had just occurred and Mr. Lowe was clearly upset. While it may be that there were other reasons for Cst. Henning's apology to Mr. Lowe and his failure to say anything to Mr. Bernier, his conduct is consistent with an understanding on his part that he had used poor judgment in doing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Given that Cst. Henning could only see 50 meters down the oncoming lane, a lane in which he had noted oncoming traffic shortly before, executing a U-turn as he did amounted to a breach of the duty of care the law imposes. This lack of care was a cause, but not the only cause, of the ensuing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a further aspect of Cst. Henning's conduct that is relevant and it relates to what he did after he made the U-turn. Mr. and Mrs. Knowles were in the vehicle immediately behind him. They saw Mr. Bernier speak with the officer. They then saw the officer make his turn. According to Mrs. Knowles, who was a careful witness, Cst. Henning drove forward a short distance and came to a stop abreast of the Knowles' vehicle such that she could see into the driver's side window of the police car. She then noticed Mr. Lowe's truck approaching. She next saw the officer pull forward and partially into the eastbound lane. Mr. Knowles was a similarly careful witness, and he too saw the police car complete its turn and then come to a stop beside the Knowles' vehicle. He then noticed the oncoming truck, and realizing the precarious situation that the police car was in, he pulled ahead and to his right. The police car then moved over and Mr. Lowe passed by. Mr. Sigvaldason also saw the police car stop after it had completed its turn. The attention of the others in his group was divided between the manoeuvre being made by Cst. Henning and the oncoming truck. Cst. Henning, who was looking west after completing his turn, testified that he noticed Mr. Bernier returning to his location and from his demeanour concluded that something was amiss. He then checked his rear view mirror and realized the dangerous situation he was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Precisely why Cst. Henning stopped after making his turn is not clear. Troy Sigvaldason thought that following Mr. Bernier's first encounter with Cst. Henning, he returned to the police car and was talking to the officer again. Neither Mr. nor Mrs. Knowles, who were closer and had a better vantage point from which to observe the police car, saw Mr. Bernier talking for a second time with the officer. Both Mr. Bernier and Cst. Henning deny that there was a second conversation. In fact, Mr. Bernier testified, and I accept his evidence on this point, that after first speaking with the officer he proceeded down the line and was four or five cars away when he turned around and saw that the officer had made a U-turn. I am satisfied that Troy Sigvaldason is simply mistaken as to what he thought he saw. I am, however, satisfied that Cst. Henning did stop after making his turn. Why the officer stopped is unclear. His failure to accelerate and continue westbound contributed to the ensuing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duty of flag persons controlling traffic is to exercise reasonable care in the manner they do that. If a motorist indicates that they plan to execute a manoeuvre and seek the advice or permission of the flag person before doing so, the duty to exercise reasonable care requires the flag person to indicate clearly whether the manoeuvre can or cannot be made safely or at all. Mr. Bernier did not do that. Cst. Henning had, to Mr. Bernier's knowledge, indicated that he did not intend to use the pullout as suggested. He had made it clear, however, that he was going to turn around. Precisely when and where was not clear to Mr. Bernier. I find that it was a breach of Mr. Bernier's duty of care to leave the situation with Cst. Henning in such a state of uncertainty. This breach of care was a contributing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Some issue was made of the fact that Cst. Henning, although operating a police car fitted with emergency equipment, did not activate it. While that is so, it would not have made any difference to the outcome. The dye was cast when he made the turn. Mr. Lowe could not have seen the equipment if activated any sooner than he saw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summary, I am satisfied that both Cst. Henning and Mr. Bernier failed to meet the standard of care the law imposes on them. I am satisfied that their failures were causative of the ensuing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Ms. Brown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alleges that Ms. Brown is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two general ways. The first relates to her conduct and the second is as the employer of Mr. Bernier. There is no dispute but that she was Mr. Bernier's employer, and I am satisfied that she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remains only to address whether she was otherwise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particulars of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alleged in the statement of claim are as follows: failing to employ qualified traffic control personnel, failing to properly train her traffic control personnel, failing to provide appropriate equipment to her traffic control personnel, and failing to properly supervise her personnel. These allegations are adopted by the defendant, Cst. Henning, and the other defendants in their statements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only evidence that may give rise to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defendant, Ms. Brown, aside from the conduct of Mr. Bernier, concerns Mr. Lundberg and what he ought to have been doing while controlling the front of the eastbound lane of traffic. There are two aspects to this. The first relates to what Mr. Lundberg was doing as Mr. Lowe proceeded down the hill; the second involves stopping the semi-truck and trailer first in line such that it obstructed the view of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Brown testified that Mr. Lundberg's primary function was to control the front of the line. He was also expected to be alert to any dangerous situations arising from the presence of westbound traffic. That much is, it seems to me, common sense. Ms. Brown testified that traffic controllers responsible for the front of the line are permitted to sit in their vehicle once the road is closed. It is admitted that at the time Mr. Lowe was coming down the hill, Mr. Lundberg was sitting in his vehicle. His truck was parked perpendicular to the highway in the pullout. There is no evidence that it had any emergency equipment activated. Mr. Lowe was left to surmise what was transpiring at the bottom of the hill. In my view, the exercise of reasonable care by a traffic controller at the front of a line of stopped eastbound traffic mandates that he or she warn westbound traffic of the fact that the road was closed and a line-up of eastbound traffic was accumulating. That may not require standing on the road continuously, but it does require doing so when westbound traffic is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not satisfied that, in and of itself, it amounted to a failure of reasonable care to stop the semi-truck and trailer first in line. Doing so, however, rendered it all the more necessary for the front end traffic controller to be alert to the presence of westbound traffic and warn that traffic of the stoppage. Mr. Lundberg must be taken to have been aware of the fact that the semi-truck and trailer further obstructed the view of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likely that Mr. Lowe, had he seen a traffic controller as he approached the corner, would have slowed even further. He testified that he did slow down as he approached and rounded the corner, and there was no evidence that he had any difficulty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am satisfied that Mr. Lundberg, and through him Ms. Brown, was negligent in the manner in which he attended to his duties at the front of the line of stopped traffic. I am satisfied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Mrs. Kelly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all argue that Mrs. Kelly was contributorily negligent by standing on the highway initially and latterly by failing to take evasive action once it was apparent that the situation created by the police officer turning around put her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evidence is generally consistent in terms of where Mrs. Kelly was standing. Mrs. Kelly, whose memory of the events is clouded by the injuries she sustained, testified that when she stopped in the line of traffic, she pulled over to the right but not entirely off the travelled portion of the eastbound lane. Because of the snow on the road, the center line was obscured. She testified that she, her husband and the Sigvaldasons all got out of their respective vehicles once they realized how long the road was going to be closed. They stood chatting more or less between the Sigvaldason's vehicle and hers. They remained generally in the same location until the accident. Mr. Sigvaldason was leaning up against the left front quarter panel of his truck. According to Troy Sigvaldason, Mrs. Kelly was about two feet north, or into the eastbound lane, from the Sigvaldason vehicle. Mr. Sigvaldason testified to the same effect. All four were aware that there was or might be further westbound traffic. The westbound traffic that had passed them prior to the accident had not given them any cause for concern. None of them thought they were in any danger standing where they were. It is, according to Mr. Sigvaldason and Mrs. Kelly, a common thing at lengthy road closures for motorists to get out of their vehicles while waiting.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am satisfied that Mrs. Kelly was standing no more than two feet from the side of the Sigvaldason vehicle which was, in turn, located to the south side of the eastbound lane of the highway. She was not in or even particularly close to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Mrs. Kelly testified that she and others in her group noticed the police car turning around and blocking the westbound lane in the process. She said that while that was happening, her attention was attracted to the east by the sound of the oncoming Lowe vehicle. She turned in the direction of the noise and saw Mr. Lowe clearly enough to note that he was gripping the steering wheel in a manner that indicated he was aware of the danger that the situation in front of him presented. She did not see the pup trailer begin to swerve. She was concerned at that point not about her own safety, which she did not feel was compromised, but rather about what she thought was an impending collision between the truck and the police car. Troy Sigvaldason also saw the oncoming truck and appreciated the dangerous situation the police officer was in. As with Mrs. Kelly, he did not think he was in danger. As this was happening, he remarked to the group that the police car should get moving. He then noticed the pup trailer swerving into the eastbound lane. As with Mr. Kelly, he was only just able to dive out of the way. Mr. Sigvaldason did not have time to move. He pressed himself against the side of his truck and barely escaped being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There is no question that Mrs. Kelly and her entire group would have been safer had they either remained in their vehicles or stood off to the south, either between the parked vehicles or on the passenger side of them. That, however, is not the test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issue is whether she took reasonable care for her own safety, in light of all the circumstances, and if not, whether that lack of care was causative, in a legally significant way,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not satisfied on a balance of probabilities that Mrs. Kelly failed to take reasonable care for her own safety. She was standing well within the eastbound lane of travel. While she knew or ought to have known that there might be further westbound traffic, she had no reason to believe that it would not pass using the westbound lane. It was only seconds, if not split seconds, after she realized the westbound lane was obstructed that she was struck. That much is clear both from her evidence and the evidence of Mr. Sigvaldason. Unlike Mrs. Kelly, Mr. Sigvaldason saw the pup trailer begin to swerve, and yet he did not have time to move the few feet from where he was standing to the relative safety of the space between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Mrs. Kelly argues that even if standing where she did amounted to a want of reasonable care, her want of care was not a legally significant cause of the accident. As I understand this submission, it is that what happened was not within the range or type of risks which the plaintiff was obliged to take reasonable care to avoid; put another way, the plaintiff's want of care was not the proximate or effective cause of her injuries. This argument rests on the limitation on legally significant causation as discussed by Groberman J. in </w:t>
      </w:r>
      <w:r>
        <w:rPr>
          <w:rFonts w:ascii="arial" w:eastAsia="arial" w:hAnsi="arial" w:cs="arial"/>
          <w:b/>
          <w:i/>
          <w:color w:val="000000"/>
          <w:sz w:val="20"/>
          <w:lang w:val="en-US" w:eastAsia="en-US" w:bidi="ar-SA"/>
        </w:rPr>
        <w:t>Bevilacqua v. Altenkirk</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[2004] B.C.J. No. 1473</w:t>
        </w:r>
      </w:hyperlink>
      <w:r>
        <w:rPr>
          <w:rFonts w:ascii="arial" w:eastAsia="arial" w:hAnsi="arial" w:cs="arial"/>
          <w:color w:val="000000"/>
          <w:sz w:val="20"/>
          <w:lang w:val="en-US" w:eastAsia="en-US" w:bidi="ar-SA"/>
        </w:rPr>
        <w:t xml:space="preserve"> (S.C.), and the authorities cited therein. If a plaintiff is careless and an accident occurs, but the accident was not an event that was "within the risk", then the law does not consider the carelessness legally significant. If I am wrong in my assessment that the plaintiff was not careless of her own safety, I am satisfied that what happened was "within the risk" created by her conduct; that is, her carelessness was a proximate or effective cause of her injury. If she was careless by either standing where she did or not moving once the occurrence of an accident became likely, the accident that, in fact, did occur was precisely the kind of risk that was foreseeable. As already indicated, however, I am not satisfied that the plaintiff was careless in relation to her own safety. If I am wrong in this assessment, I would conclude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but a minor contributing factor. I would fix her responsibility at 10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am satisfied that Cst. Henning, Mr. Bernier and Ms. Brown, by virtue of the conduct of both Mr. Bernier and Mr. Lundberg, were negligent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It remains to apportion liability as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 in s.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(1) If by the fault of 2 or more persons damage or loss is caused to one or more of them, the liability to make good the damage or loss is in proportion to the degree to which each person was at fault.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degree of fault of Cst. Henning is, I am satisfied, greater than that of Mr. Bernier or Mr. Lundberg. It was Cst. Henning who engaged in what was an inherently dangerous manoeuvre. He did so with only limited visibility of the oncoming lane. Further, after making the U-turn he stopped, albeit briefly, in the westbound lane, thus increasing the risk of collision with westbound traffic. I assess his responsibility for the accident at 65 percent. Mr. Bernier's proportion of fault while less than that of Cst. Henning's is still significant. He was bound to provide clear direction to Cst. Henning upon realizing that the officer may be intending to make a U-turn. He did not do that. I fix his degree of fault at 25 percent. Mr. Lundberg's degree of fault is less than that of both Cst. Henning and Mr. Bernier. He was obliged to watch for and warn westbound traffic of the road blockage. I fix his degree of fault at 10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find the defendants, Cst. Henning and through him Her Majesty the Queen, liable for 65 percent of any damages the plaintiff is able to prove. I find Mr. Bernier liable for 25 percent of any damages the plaintiff is able to prove. I find Ms. Brown vicariously liable for the combined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Bernier and Mr. Lundberg, for 35 percent of any damages the plaintiff is able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1"/>
          <w:headerReference w:type="default" r:id="rId1032"/>
          <w:footerReference w:type="even" r:id="rId1033"/>
          <w:footerReference w:type="default" r:id="rId1034"/>
          <w:headerReference w:type="first" r:id="rId1035"/>
          <w:footerReference w:type="first" r:id="rId10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7" w:history="1">
        <w:r>
          <w:rPr>
            <w:rFonts w:ascii="arial" w:eastAsia="arial" w:hAnsi="arial" w:cs="arial"/>
            <w:b/>
            <w:bCs/>
            <w:i/>
            <w:color w:val="0077CC"/>
            <w:kern w:val="32"/>
            <w:sz w:val="28"/>
            <w:szCs w:val="32"/>
            <w:u w:val="single"/>
            <w:shd w:val="clear" w:color="auto" w:fill="FFFFFF"/>
            <w:lang w:val="en-US" w:eastAsia="en-US" w:bidi="ar-SA"/>
          </w:rPr>
          <w:t>Parrett v. Central Saanich (District) Police Department, [2001] B.C.J. No. 106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13 - 16, 1998, September 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23 - 27, 2000 and January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97-1415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999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Janet Parrett, plaintiff, and Constable Robert Vanderford, Constable John Doe 2, and the Corporation of the District of Central Saanich,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7"/>
      <w:bookmarkEnd w:id="257"/>
      <w:r>
        <w:rPr>
          <w:rFonts w:ascii="arial" w:eastAsia="arial" w:hAnsi="arial" w:cs="arial"/>
          <w:b/>
          <w:color w:val="000000"/>
          <w:sz w:val="20"/>
          <w:lang w:val="en-US" w:eastAsia="en-US" w:bidi="ar-SA"/>
        </w:rPr>
        <w:t xml:space="preserve">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For false arrest — Defence of reasonable and probable grounds — For battery — Defences, justification of force.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8" w:name="Case Summary_37"/>
            <w:bookmarkEnd w:id="2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Parrett for damages for wrongful arrest and battery. The defendant, Vanderford, was a police officer who responded to a call that a woman was swimming nude in the ocean in front of a restaurant, and that a woman had urinated in the parking lot of the restaurant. When Vanderford arrived at the restaurant he approached Parrett to ask her questions. According to Vanderford, Parrett was intoxicated, verbally abusive, and uncooperative. He arrested Parrett for being intoxicated in a public place. Parrett alleged that Vanderford accused her of swimming nude and urinating in the parking lot. She told him that it was her friend who had done those things and that she had done nothing wrong. She claimed that Vanderford pushed her into the back seat of the police car, where she landed on her face. She claimed that Vanderford then struck the back of her legs with enough force to cause bruising. Witnesses confirmed that it was Parrett who urinated in the parking lot. They saw Parrett resist Vanderford's attempts to get her into the back of the police car. They did not see Vanderford strike Parrett or use excessive force on her. Parrett argued that the defendant Police Department was vicariously liable as Vanderford's employer. In the alternative, Parrett alleged that the defendants were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9" w:name="Holdings of Court_32"/>
            <w:bookmarkEnd w:id="25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Parrett caused a disturbance by being intoxicated in a public place, and Vanderford had reasonable and probable grounds to arrest her. The amount of force used by Vanderford in effecting the arrest was reasonable in the circumstances, and accordingly, the claims in battery and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None of the officers of the defendant Police Department engaged in any actions that constituted a marked departure from the standards expected of competent police officers. Therefore, there was no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insufficient evidence as to the cause of the bruising on Parrett's legs.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0" w:name="Legislation Cited_26"/>
      <w:bookmarkEnd w:id="2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ss. 21(1), 25, 173(1), 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Liquor Control and Licensing Act, R.S.B.C. 1996, c. 267,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1038" w:history="1">
        <w:r>
          <w:rPr>
            <w:rFonts w:ascii="arial" w:eastAsia="arial" w:hAnsi="arial" w:cs="arial"/>
            <w:i/>
            <w:color w:val="0077CC"/>
            <w:sz w:val="20"/>
            <w:u w:val="single"/>
            <w:shd w:val="clear" w:color="auto" w:fill="FFFFFF"/>
            <w:lang w:val="en-US" w:eastAsia="en-US" w:bidi="ar-SA"/>
          </w:rPr>
          <w:t>R.S.B.C. 1996, c. 367, s. 20</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1" w:name="Counsel_38"/>
      <w:bookmarkEnd w:id="2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A.S. Legh, for the plaintiff. David Butcher,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38"/>
      <w:bookmarkEnd w:id="262"/>
      <w:r>
        <w:pict>
          <v:line id="_x0000_s1223"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OWEN-FLOOD J."/>
            <w:bookmarkEnd w:id="263"/>
            <w:r>
              <w:rPr>
                <w:rFonts w:ascii="arial" w:eastAsia="arial" w:hAnsi="arial" w:cs="arial"/>
                <w:b/>
                <w:color w:val="000000"/>
                <w:sz w:val="30"/>
                <w:lang w:val="en-US" w:eastAsia="en-US" w:bidi="ar-SA"/>
              </w:rPr>
              <w:t>OWEN-FLOOD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sues the defendants for injuries allegedly sustained when she was taken into custody and held for approximately 6 hours at the Central Saanich Police Department on 25 September 1996. The police arrested the plaintiff on a charge of being drunk in a public place and causing a disturbance, contrary to the Liquor Control and Licensing Act, </w:t>
      </w:r>
      <w:hyperlink r:id="rId1039"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the defendants wrongfully arrested and wrongfully detained her, causing her damages including loss of dignity, embarrassment, upset and physical discomfort from incarceration.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Constable Vanderford, or other constables embraced under the name "John Doe" in the style of cause, committed a battery upon her when she was placed in the police car and booked in at the police station. Alternatively, the plaintiff claims that the defendants are guilty of grossly negligent or negligent conduct, resulting in the same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claims that the defendant Corporation of the District of Central Saanich, as the employer of each of the constables named as defendants, is vicariously liable, jointly and severally, pursuant to s. 20(1)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r>
        <w:rPr>
          <w:rFonts w:ascii="arial" w:eastAsia="arial" w:hAnsi="arial" w:cs="arial"/>
          <w:sz w:val="20"/>
          <w:lang w:val="en-US" w:eastAsia="en-US" w:bidi="ar-SA"/>
        </w:rPr>
        <w:cr/>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September 25, 1996, the plaintiff had lunch with two women friends, France Gaulin and Angel Charbonneau. They met at 12:30 p.m. for lunch at the Carden Street Caf at the crossroads of Stelly's X-Road and the West Saanich Road, in the District of Central Saanich.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lunch lasted until some time between 2:00 p.m. and 3:00 p.m. During the lunch the three women shared, approximately equally, two 750 millilitres bottles of wine.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They all left the Carden Street Caf and drove in three separate cars to a restaurant on the wharf at Brentwood Bay, then called The Rusty Duck. At this restaurant they had chips and salsa and, between the three of them, the better part of two litres of wine. The plaintiff testified that she did not think the second litre of wine was quite finished; in fact, she thought that perhaps two-thirds of it was left. While at The Rusty Duck, the three women each consumed two shooters of tequila.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Ms. Charbonneau then dared each other to go swimming off the government wharf at Brentwood Bay. For her part, the plaintiff jumped into the water fully clothed except for her shoes. Ms. Charbonneau took off all her clothes except for her pants. Ms. Gaulin simply stood on the wharf and watched. The three women then returned to their table at The Rusty Duck.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accept as true the plaintiff's testimony that the waitress, Lisa, told them it was the end of her shift and the restaurant manager did not want any of the three women to remain in the restaurant. The waitress told them that because they had been swimming, they would not receive any further service. I accept that the three women left The Rusty Duck some time between 4:00 p.m. and 4:30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Ms. Gaulin drove off in their separate cars. I accept that Ms. Charbonneau went with one of them, although the plaintiff cannot remember with whom she went. In any event, Ms. Charbonneau's car was left at The Rusty Duck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three women then went to the Brentwood Inn. There, the plaintiff drank one glass of beer over a period of approximately thirty minutes, and Ms. Charbonneau left her beer untouched.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agree that on September 25, 1996, the plaintiff weighed approximately 261 pounds and Ms. Charbonneau weighed approximately 130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leaving the Brentwood Inn, Ms. Gaulin drove away. The evidence is that Ms. Charbonneau wanted to drive her car but, in view of her condition, the plaintiff held onto Ms. Charbonneau's keys and refused to return them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Charbonneau appeared to the plaintiff to be really drunk. For that reason, the plaintiff told Ms. Charbonneau that she had hidden her keys and Ms. Charbonneau would have to look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and Ms. Charbonneau walked over to the park adjacent to The Rusty Duck parking lot. Ms. Charbonneau sat at a picnic table in the park while the plaintiff walked across the street towards Ms. Charbonneau's car in The Rusty Duck parking lot, for the purpose of hiding her keys under one of its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almost beside Ms. Charbonneau's car when a police car drove up, the sole occupant of which was Constable Vanderford. At the same time as Constable Vanderford's police car pulled up close to the plaintiff, a second police car, driven by another Central Saanich police constable, pulled up close to where Ms. Charbonneau was sitting at the picnic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Constable Vanderford was on shift that day with Constable Bruce Smith. For his part, Constable Vanderford was at the scene in response to a call he had received from the Central Saanich police dispatcher. The dispatcher informed him that a call had been received from The Rusty Duck restaurant that a nude woman was swimming in the ocean in front of the restaurant, along with another woman. The caller also indicated that one of the two women had just urinated in the parking lot of the restaurant. He was told that one of the women was a tall skinny brunette and the other was a shorter, heavy blonde and that it was the blonde who had urinated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Constable Vanderford was also told that the two women in question had a bronze Camaro car parked in the restaurant parking lot. I accept that Constable Vanderford arrived at the scene within 5 minutes or so of receiving the dispatcher's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Constable Vanderford parked his car facing north on Peden Lane in the vicinity of The Rusty Duck parking lot. When he arrived, Constable Smith was dealing with Ms. Charbonneau. The plaintiff was walking south on Peden Lane, near The Rusty Duck parking lot. She was walking away from the parked bronze Camaro. To Constable Vanderford she appeared to be the big woman with blonde hair, as described by the dispatcher. He stopped his police car in the plaintiff's path. The plaintiff continued to walk up to him and his car and he got out of it and stood in her way. He asked her if she was coming from the car, indicating the bronze Camaro. At this point, the testimony of the plaintiff and Constable Vanderford diverge.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Facts in Dispute</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in response to Constable Vanderford's inquiry as to whether she was coming from the bronze Camaro, she replied something to the effect of "Why, what's the problem?" She said that Constable Vanderford told her she had been swimming naked and urinating in the parking lot. The plaintiff denied that she had done those things. She told him it was Ms. Charbonneau, who at that time was being apprehended by Constable Smith, who had gone swimming naked and urinated in the parking lot. The plaintiff further said that it was plain for all to see that her clothes were soaking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states that Constable Vanderford ordered her into the police car. She said that she questioned why he was doing this but that he simply kept yelling at her and repeating that she was the one who had been swimming in the nude and urinating in public. The plaintiff said she tried to explain that she had done nothing wrong and therefore there was no need for her to get into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said that Constable Vanderford kept yelling at her, that he grabbed her shirt and in doing so turned her around. She conceded that she might have been attempting to walk away from Constable Vanderford when he grabbed her by her shirt. She said that she was facing the car, in preparation to getting into it if she had to, but was still trying to find out why he wanted her to enter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said that Constable Vanderford pushed her by the back of the head and neck into the police car. She says she ended up flat on her face in the back of the car. The plaintiff alleges that at that time her legs were hit in the back with quite a hard blow which made her legs hurt right away. She said that she was upset and reproached Constable Vanderford, saying "You don't have to hit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conceded that she was possibly swearing, yelling and crying and that she may have started swearing before she was hit. At any event, she was swearing after she was grabbed.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was then driven to the Central Saanich police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alleges that when she was fingerprinted at the booking-in desk, Constable Vanderford or Sergeant Snell forcefully slammed her hands on the desk in a violent manner, damaging a ring on her left hand. The ring has been filed as an exhibit. It is indeed now oval shaped.</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Constable Vanderford said that, in response to his query as to whether the plaintiff was coming from the bronze Camaro in the parking lot, the plaintiff replied "None of your fucking business",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he tried to explain to the plaintiff that he was investigating a report of someone urinating in the parking lot and that the only response he got from the plaintiff was that she did not have to listen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said he asked her for her name and that she replied with profanities, telling him to "Fuck off" and refusing to give her name. He said he tried several times to explain to her what was happening and to ascertain her name but in response received only verbal abuse, i.e. profanities, and a physical lack of co-operation.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Vanderford concluded that the plaintiff was highly intoxicated. He based his conclusion on her demeanour, her unsteadiness on her feet, and the strong smell of alcohol on her breath. He said that, in his opinion, the plaintiff was clearly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Vanderford stated that it was impossible for him to talk to the plaintiff because she simply would not listen. He said that she attempted to walk past him and he advised her that she was not free to do so because he was conducting an investigation. However, she continued to try to get past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then that he grabbed the left sleeve of her sweater and held on, causing her to spin around some 180 degrees, ending up facing north on Peden Lane beside his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said he released his grip on her sleeve and opened the rear door of the police car on the driver's side. He positioned himself so that the plaintiff was between himself and the now open door of the police car. He told her that she was under arrest for being intoxicated in a public place and that she had to get into the police car. He testified that the plaintiff continued with her verbal abuse and that she pushed against him with her upper body, trying to get him out of the way so that she could get past. Her recurrent theme was "Why are you doing this to me?",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that he repeatedly asked her to get into the police car, telling her many times that she was under arrest for being intoxicated in a public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eventually told her that if she did not get into the police car he would use pepper spray on her. He threatened to use the pepper spray on several occasions but without success. Therefore, he removed his pepper spray canister from his duty belt and held it in his right hand. He said it was at that point that the plaintiff, seeing the pepper spray, entered the police car in an ordinary manner - as any ordinary, sober, person would, that is, putting the right foot in, moving sideways and entering the rear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said that the only force he used was to place his hand on the top part of her head, guiding her down past the jamb of the car door, as the back seat is a constricted area due to the cage separating the front from the back. He said that she was seated upright in the rear seat, directly behind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Vanderford testified that he closed the rear door only when the plaintiff was fully and completely inside the car. He said that the police car door did not strike the plaintiff at all. He specifically denied that he struck her on the back of her legs with the door or in any other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note also that in regard to the police car incident, Constable Vanderford at first denied that he pushed the plaintiff into the police car. He then qualified that by saying that he simply could not recall whether he had pushed her in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arresting the plaintiff, Constable Vanderford observed her placing a cell-phone call from the back of the police car. She told the person to contact her lawyer and brief them as to what was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conclusion of that telephone conversation, Constable Vanderford gave the plaintiff the standard Charter warning and police caution. He told her that she was under arrest for being intoxicated in a public place. He advised her of her right to counsel and legal aid. I accept that he drove directly to the Central Saanich police station with her. During the trip, the plaintiff cried at times, but continued to verbally abuse Constable Vanderford, and bang on the plexiglass shield separating the rear and front of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Constable Vanderford testified that when they got out of the police car at the Central Saanich police station sallyport, the plaintiff rushed up to him and struck him. The plaintiff denies this categorically. The police video, admitted as evidence at trial, shows movements by the plaintiff and that she clearly rushed up to Constable Vanderford. Immediately after this, both Constable Vanderford and Sergeant Snell placed the plaintiff face down on the trunk of the police car, holding her by her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Constable Vanderford and Sergeant Snell then escorted the plaintiff out of the sallyport and over to the booking-in desk. At the counter, the defendant says that the plaintiff was searched by the matron, asked to remove her jewelry and processed, at which time she was escorted to a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concedes that he may have been holding on to the plaintiff as she was searched by the matron, but says at no time did he injure the plaintiff by smashing her left arm or hand against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note that in his examination for discovery, Constable Vanderford conceded that he had indeed placed the plaintiff's left hand on the desk while he searched her, but he denies ever smashing it down on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summary, there are three major factual conflicts between the testimony of the plaintiff and that of Constable Vanderford as to what transpired at the scene. Those conflicts are: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create a public disturbance by being intoxicated in a public place?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Constable Vanderford injure the plaintiff's legs by kicking her or, in the alternative, by closing the rear door of the police car on them?</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cause the bruising on the plaintiff's left hand and fingers during the booking-in process?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Civilian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Suzanne Whitson, an owner of The Rusty Duck restaurant, testified that on the afternoon of September 25, 1996 in the parking lot of The Rusty Duck, Debbie Barker, a waitress, informed her that she had had to ask three women to leave the restaurant because they were drunk. She also told Ms. Whitson that one of the women had backed her car into a fence on the parking lot and that the other two women had gone swimming off the government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Whitson checked the fence and found it had been damaged. She saw two women walking away from The Rusty Duck towards another licensed premises, the Brentwood Inn. She asked her daughter, Lisa Ferris, to keep an eye out for the two women as there were two cars left in the parking lot of The Rusty Duck, namely, a Camaro and a Firebird.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Whitson's daughter, Lisa Ferris, informed her that someone was urinating on the parking lot. In the result, Ms. Whitson investigated this and saw a woman squatting on the parking lot and requested her to stop. I accept that the person she saw squatting and urinating was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Whitson also saw the slim brunette with long hair, Ms. Charbonneau, beside her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accept that Ms. Whitson called the Central Saanich police to complain about the plaintiff and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the arrest, Ms. Whitson saw Constable Vanderford put his hand on the back of the plaintiff's head and push her into the police car through the rear door on the driver's side. She testified that she saw the plaintiff trying to push away from the car. I accept that she saw all this from a position approximately two car lengths away from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Whitson says that the plaintiff resisted being put into the car and pushed back against Constable Vanderford. I accept her testimony that she did not see Constable Vanderford strike or kick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Lisa Ferris' testimony corroborated the evidence of Ms. Whitson that it was the plaintiff and not Ms. Charbonneau who was urinating on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Ferris also observed that Constable Vanderford had his hand on the back of the plaintiff's head, guiding her into the police car. Ms. Ferris testified that she did not see the plaintiff's legs sticking out when Constable Vanderford closed the car door. However, Ms. Ferris said that the plaintiff fell into the car on her stomach or on her side. Ms. Ferris conceded that, from where she was making her observations on the balcony of a building adjacent to The Rusty Duck, she would not have been able to see whether or not the plaintiff's legs were sticking out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Ms. Ferris made her observations, her father, Gregory Whitson, was standing beside her. His testimony, which I accept, is that he saw the plaintiff resist Constable Vanderford's attempts to put her into the police car. He heard Constable Vanderford advise the plaintiff that he had no choice but to arrest her and that she must get into the police car. He testified that Constable Vanderford pushed the plaintiff into the car either face first or on her side. He testified that the plaintiff sat up before the car door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Christine Kintoff testified that she watched the incident from outside a store across from The Rusty Duck. She also identified that it was the plaintiff who urinated in the parking lot and confirmed the evidence that the plaintiff was struggling against Constable Vanderford.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Kintoff said that Constable Vanderford finally got the plaintiff into the car but all Ms. Kintoff could see were the plaintiff's feet and arms thrashing about. She said that she did see the plaintiff when she was half way into the back seat of the police car, by the rear door. The plaintiff had her hands in front of her, trying to get out, partially sitting with her legs outside the car. The plaintiff was kicking and punching at Constable Vanderford.</w:t>
      </w:r>
      <w:r>
        <w:rPr>
          <w:rFonts w:ascii="arial" w:eastAsia="arial" w:hAnsi="arial" w:cs="arial"/>
          <w:sz w:val="20"/>
          <w:lang w:val="en-US" w:eastAsia="en-US" w:bidi="ar-SA"/>
        </w:rPr>
        <w:cr/>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Holdings as to Facts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a number of factors that affect the reliability of the plaintiff's testimony in this case. First, I am mindful that, even though she was at the time a large woman, by her own admission she had consumed a considerable amount of alcohol between 12:30 p.m. and her arrest at approximately 4:30 p.m. This, taken together with her self-admitted conduct, that is, jumping into the ocean and swimming fully clothed, is only consistent with her being intoxicated by alcohol to a significant extent. For that reason, I find that her memory of events is not entirely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Second, the plaintiff testified that Constable Vanderford was not alone when he arrested her. She swore an affidavit, which I find to be false insofar as this aspect is concerned, to the effect that Constable Vanderford was accompanied by another police officer who was in the car when she was placed in it. Further, that this police officer was with Constable Vanderford when he drove her back to the Central Saanich police station. On the whole of the evidence, I am satisfied that Constable Vanderford was alone in his police car and at the scene. The plaintiff was clearly mistaken in that regard and I attribute that to the effect of considerable alcohol consumption on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are other instances in the plaintiff's narrative about the day's events that are consistent with alcohol impairment of her memory. The plaintiff does not remember Ms. Gaulin backing her car into the fence at The Rusty Duck parking lot, although she did say that she was present when Ms. Gaulin drove away. The plaintiff further deposed that when she arrived at the Central Saanich police station, it was the female jailer, Mrs. Curry, who escorted her into the cells after she had been booked in. The evidence in the police videotape shows that in actual fact it was Sergeant Snell who had escorted her into the cells and not the jailer.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said that it was Ms. Charbonneau who had been urinating in the parking lot. The plaintiff categorically denied that she urinated in the parking lot. I accept as a fact that it was the plaintiff who urinated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Based on these considerations, I find as a fact that the plaintiff was causing a public disturbance by being intoxicated in a public place on 25 September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have been a number of possible theories advanced as to the cause of the bruises on the plaintiff's legs. These include defence suggestions that the bruises were caused when she clambered up the jetty after her swim or by swinging her legs on the jail cell bunk. The plaintiff's theory is that they were caused by Constable Vanderford kicking, or closing the police car door on,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Charlesworth, a pathologist, testified for the defence. In the result, I do not place much emphasis on the testimony provided by this expert witness because I note that he could not definitively explain the origin of the plaintiff's bruises on her legs. It was the opinion of Dr. Charlesworth that the plaintiff's injuries could have been self-inflicted, as by the defence's theory that she banged her legs repeatedly on the jail bunk, or alternatively, but less likely, that a car door had been closed on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not provided this court with any expert evidence regarding the exact or most probable source of her injuries. In that regard, I agree with the testimony of Dr. Charlesworth that a proper assessment of the plaintiff's bruising requires an analysis of the actual car and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bear in mind the evidence of the jailer, Mrs. Curry, that during the time the plaintiff was in the cells she observed the plaintiff swinging her legs back and forth. This did not concern Mrs. Curry as she was of the view that the leg-swinging was unlikely to cause any injury to the plaintiff. She also observed the plaintiff shouting and yelling from the cells and banging her buttocks up against the 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the whole of the evidence, I am unable to determine the cause of the bruises based on the evidence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that, on arrival at the Central Saanich police station sally port, the plaintiff threw a punch at Constable Vanderford, which landed on his left upper arm. I accept that this caused Constable Vanderford to grab the plaintiff's right arm, assisted by Sergeant Snell who grabbed her left arm, and place her face down on the trunk of the police car. This finding is consistent with the movements of the plaintiff depicted in the video. This is apparent, notwithstanding that the video is somewhat hazy.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that Constable Vanderford and Sergeant Snell caused the bruises on the plaintiff's upper left and right arms when they escorted her into the booking-in room after the plaintiff punched Constable Vanderford.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in the booking-in room, I accept that, at one time, Constable Vanderford held onto the plaintiff's right arm and later held onto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have reviewed the evidence of both parties, including the police videotape, concerning the origin of the bruises to the plaintiff's left hand and damaged ring. I am unable to make a finding, based on this evidence, as to the exact causes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are four issues:</w:t>
      </w:r>
      <w:r>
        <w:rPr>
          <w:rFonts w:ascii="arial" w:eastAsia="arial" w:hAnsi="arial" w:cs="arial"/>
          <w:sz w:val="20"/>
          <w:lang w:val="en-US" w:eastAsia="en-US" w:bidi="ar-SA"/>
        </w:rPr>
        <w:cr/>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lawfully arrested?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Constable Vanderford commit a battery against the plaintiff?</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Constable Vanderford and/or other members of the Central Saanich Police Department guilty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causing injuries to the plaintiff?</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Constable Vanderford and/or other members of the Central Saanich Police Department were not guilty of such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Constable Vanderford, or such other members of the police department, guilty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 plaintiff lawfully arrested?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was arrested for being intoxicated in a public place and causing a disturbance. The following statutory provisions apply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Criminal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INDECENT 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(1) Every one who wilfully does an indecent act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public place in the presence of one or more persons,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place, with intent thereby to insult or offend any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guilty of an offence punishable on summary conviction.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CAUSING DISTURBANCE, INDECENT EXHIBITION, LOITERING,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175</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who,</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being in a dwelling-house, causes a disturbance in or near a public place,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being drunk,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guilty of an offence punishable on summary conviction.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Liquor Control and Licensing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Drunkenness in public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A person who is intoxicated must not be or remain in a public place and a person who contravenes this section commits an offence.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may arrest, without a warrant, a person found intoxicated in a public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issue of intoxication and reasonable and probable grounds for arrest was recently canvassed in Irving v. Canada (Royal Canadian Mounted Police), (17 February 2000), New Westminster Registry No. S030524 (B.C.S.C.), </w:t>
      </w:r>
      <w:hyperlink r:id="rId1040" w:history="1">
        <w:r>
          <w:rPr>
            <w:rFonts w:ascii="arial" w:eastAsia="arial" w:hAnsi="arial" w:cs="arial"/>
            <w:i/>
            <w:color w:val="0077CC"/>
            <w:sz w:val="20"/>
            <w:u w:val="single"/>
            <w:shd w:val="clear" w:color="auto" w:fill="FFFFFF"/>
            <w:lang w:val="en-US" w:eastAsia="en-US" w:bidi="ar-SA"/>
          </w:rPr>
          <w:t>[2000] B.C.J. No. 424</w:t>
        </w:r>
      </w:hyperlink>
      <w:r>
        <w:rPr>
          <w:rFonts w:ascii="arial" w:eastAsia="arial" w:hAnsi="arial" w:cs="arial"/>
          <w:color w:val="000000"/>
          <w:sz w:val="20"/>
          <w:lang w:val="en-US" w:eastAsia="en-US" w:bidi="ar-SA"/>
        </w:rPr>
        <w:t xml:space="preserve">. In that case, Singh J. began his analysis at para. 31 with the seminal case of R. v. Storrey </w:t>
      </w:r>
      <w:hyperlink r:id="rId1041" w:history="1">
        <w:r>
          <w:rPr>
            <w:rFonts w:ascii="arial" w:eastAsia="arial" w:hAnsi="arial" w:cs="arial"/>
            <w:i/>
            <w:color w:val="0077CC"/>
            <w:sz w:val="20"/>
            <w:u w:val="single"/>
            <w:shd w:val="clear" w:color="auto" w:fill="FFFFFF"/>
            <w:lang w:val="en-US" w:eastAsia="en-US" w:bidi="ar-SA"/>
          </w:rPr>
          <w:t>(1990), 53 C.C.C. (3d) 316</w:t>
        </w:r>
      </w:hyperlink>
      <w:r>
        <w:rPr>
          <w:rFonts w:ascii="arial" w:eastAsia="arial" w:hAnsi="arial" w:cs="arial"/>
          <w:color w:val="000000"/>
          <w:sz w:val="20"/>
          <w:lang w:val="en-US" w:eastAsia="en-US" w:bidi="ar-SA"/>
        </w:rPr>
        <w:t xml:space="preserve"> (S.C.C.) in which Cory J., at p.324, articulated the conduct required of the arresting officer: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the Criminal Code requires that an arresting officer must subjectively have reasonable and probable grounds on which to base the arrest. Those grounds must, in addition, be justifiable from an objective point of view. That is to say, a reasonable person placed in the position of the officer must be able to conclude that there were indeed reasonable and probable grounds for the arrest. On the other hand, the police need not demonstrate anything more than reasonable and probable grounds. Specifically, they are not required to establish a prima facie case for conviction before making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Singh J. went on to review the degree of intoxication which the police officer must prove in order to fit within the mandate of having reasonable and probable grounds for the arrest. Quoting with approval from R. v. Robertson </w:t>
      </w:r>
      <w:hyperlink r:id="rId1042" w:history="1">
        <w:r>
          <w:rPr>
            <w:rFonts w:ascii="arial" w:eastAsia="arial" w:hAnsi="arial" w:cs="arial"/>
            <w:i/>
            <w:color w:val="0077CC"/>
            <w:sz w:val="20"/>
            <w:u w:val="single"/>
            <w:shd w:val="clear" w:color="auto" w:fill="FFFFFF"/>
            <w:lang w:val="en-US" w:eastAsia="en-US" w:bidi="ar-SA"/>
          </w:rPr>
          <w:t>(1978) 42 C.C.C. (2d) 78</w:t>
        </w:r>
      </w:hyperlink>
      <w:r>
        <w:rPr>
          <w:rFonts w:ascii="arial" w:eastAsia="arial" w:hAnsi="arial" w:cs="arial"/>
          <w:color w:val="000000"/>
          <w:sz w:val="20"/>
          <w:lang w:val="en-US" w:eastAsia="en-US" w:bidi="ar-SA"/>
        </w:rPr>
        <w:t xml:space="preserve">, </w:t>
      </w:r>
      <w:hyperlink r:id="rId1042" w:history="1">
        <w:r>
          <w:rPr>
            <w:rFonts w:ascii="arial" w:eastAsia="arial" w:hAnsi="arial" w:cs="arial"/>
            <w:i/>
            <w:color w:val="0077CC"/>
            <w:sz w:val="20"/>
            <w:u w:val="single"/>
            <w:shd w:val="clear" w:color="auto" w:fill="FFFFFF"/>
            <w:lang w:val="en-US" w:eastAsia="en-US" w:bidi="ar-SA"/>
          </w:rPr>
          <w:t>[1978] 5 W.W.R. 289</w:t>
        </w:r>
      </w:hyperlink>
      <w:r>
        <w:rPr>
          <w:rFonts w:ascii="arial" w:eastAsia="arial" w:hAnsi="arial" w:cs="arial"/>
          <w:color w:val="000000"/>
          <w:sz w:val="20"/>
          <w:lang w:val="en-US" w:eastAsia="en-US" w:bidi="ar-SA"/>
        </w:rPr>
        <w:t xml:space="preserve"> (B.C.C.A.), at para. 32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decision in R. v. Robertson has altered the law in British Columbia. It establishes that a policeman is justified in arresting a person without a warrant if the person being arrested is apparently intoxicated in a public place (my italics). In such circumstances the arrest is lawful.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accepted the evidence of Constable Vanderford on this issue. The amount of alcohol consumed by the plaintiff on the day in question, together with her demeanour, unsteadiness on her feet and odour of alcohol on her breath, are sufficient indicia that the plaintiff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also satisfied that the plaintiff was indeed creating a public disturbance, because it is clear that it was the plaintiff who had urinated in the parking lot of the Rusty Duck restaurant. This is a public area, and her behaviour was witnessed by a number of people who testified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was also these events which led to the police being called and which resulted in her arrest. I am persuaded that Constable Vanderford did have reasonable and probable grounds to arrest the plaintiff pursuant to s. 41 of the Liquor Control and Licensing Act, supra, for being intoxicated in a public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 Did Constable Vanderford commit a battery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has alleged that, while being placed in the police car, she sustained significant bruising to the back of her legs. Further, the plaintiff alleges that during the booking-in process the police intentionally slammed her hand and arm down on the desk, causing bruising to her left hand and bending her 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theory of the defence is that the bruises on the plaintiff's legs were self-inflicted and that at no time during the booking-in process did the police slam the left arm or hand of the plaintiff against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has also claimed that the bruises on her left arm and hand were caused by improper police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sues for assault and battery. I follow the law enunciated by P.H. Osborne in The Law of Torts, (Toronto: Irwin Law, 2000). There, the learned author wrote at p.1:</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Battery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direct, intentional, and physical interference with the person of another that is either harmful or offensive to a reasonable person is a battery ... Actual bodily contact is not essential to establish a battery. To grab a person by her clothing or to snatch something from the plaintiff's hand is sufficient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Once the plaintiff has proven that the defendant directly interfered with his or her person in a harmful or offensive way, the burden of proof in allegations of battery shifts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no action in battery where the police conduct complained of falls within the protection afforded by virtue of s. 25 of the Criminal Code. That section provides:</w:t>
      </w:r>
      <w:r>
        <w:rPr>
          <w:rFonts w:ascii="arial" w:eastAsia="arial" w:hAnsi="arial" w:cs="arial"/>
          <w:sz w:val="20"/>
          <w:lang w:val="en-US" w:eastAsia="en-US" w:bidi="ar-SA"/>
        </w:rPr>
        <w:cr/>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who is required or authorized by law to do anything in the administration or enforcement of the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key question to be resolved in this issue is whether the degree of force used by Constable Vanderford, and/or other Central Saanich police officers named in the style of cause, used more force than was necessary in dealing with the plaintiff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resolving this issue I am mindful of the decision in Anderson v. Port Moody (City) Police Department, (4 August 2000), New Westminster Registry No. S016178, </w:t>
      </w:r>
      <w:hyperlink r:id="rId1043" w:history="1">
        <w:r>
          <w:rPr>
            <w:rFonts w:ascii="arial" w:eastAsia="arial" w:hAnsi="arial" w:cs="arial"/>
            <w:i/>
            <w:color w:val="0077CC"/>
            <w:sz w:val="20"/>
            <w:u w:val="single"/>
            <w:shd w:val="clear" w:color="auto" w:fill="FFFFFF"/>
            <w:lang w:val="en-US" w:eastAsia="en-US" w:bidi="ar-SA"/>
          </w:rPr>
          <w:t>[2000] B.C.J. No. 1628</w:t>
        </w:r>
      </w:hyperlink>
      <w:r>
        <w:rPr>
          <w:rFonts w:ascii="arial" w:eastAsia="arial" w:hAnsi="arial" w:cs="arial"/>
          <w:color w:val="000000"/>
          <w:sz w:val="20"/>
          <w:lang w:val="en-US" w:eastAsia="en-US" w:bidi="ar-SA"/>
        </w:rPr>
        <w:t>. In that case, Dillon J. reviewed the authorities dealing with the issue of reasonable force, stating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Consideration must be given to the circumstances as they existed at the time. Allowance must be made for the exigencies of the moment, keeping in mind that the police officer cannot be expected to measure the force with exactitude: Wackett v. Calder </w:t>
      </w:r>
      <w:hyperlink r:id="rId1044" w:history="1">
        <w:r>
          <w:rPr>
            <w:rFonts w:ascii="arial" w:eastAsia="arial" w:hAnsi="arial" w:cs="arial"/>
            <w:i/>
            <w:color w:val="0077CC"/>
            <w:sz w:val="20"/>
            <w:u w:val="single"/>
            <w:shd w:val="clear" w:color="auto" w:fill="FFFFFF"/>
            <w:lang w:val="en-US" w:eastAsia="en-US" w:bidi="ar-SA"/>
          </w:rPr>
          <w:t>(1965), 51 D.L.R. (2d) 598</w:t>
        </w:r>
      </w:hyperlink>
      <w:r>
        <w:rPr>
          <w:rFonts w:ascii="arial" w:eastAsia="arial" w:hAnsi="arial" w:cs="arial"/>
          <w:color w:val="000000"/>
          <w:sz w:val="20"/>
          <w:lang w:val="en-US" w:eastAsia="en-US" w:bidi="ar-SA"/>
        </w:rPr>
        <w:t xml:space="preserve"> at 602 (B.C.C.A.); R. v. Bottrell, </w:t>
      </w:r>
      <w:hyperlink r:id="rId1045" w:history="1">
        <w:r>
          <w:rPr>
            <w:rFonts w:ascii="arial" w:eastAsia="arial" w:hAnsi="arial" w:cs="arial"/>
            <w:i/>
            <w:color w:val="0077CC"/>
            <w:sz w:val="20"/>
            <w:u w:val="single"/>
            <w:shd w:val="clear" w:color="auto" w:fill="FFFFFF"/>
            <w:lang w:val="en-US" w:eastAsia="en-US" w:bidi="ar-SA"/>
          </w:rPr>
          <w:t>60 C.C.C. (2d) 211</w:t>
        </w:r>
      </w:hyperlink>
      <w:r>
        <w:rPr>
          <w:rFonts w:ascii="arial" w:eastAsia="arial" w:hAnsi="arial" w:cs="arial"/>
          <w:color w:val="000000"/>
          <w:sz w:val="20"/>
          <w:lang w:val="en-US" w:eastAsia="en-US" w:bidi="ar-SA"/>
        </w:rPr>
        <w:t xml:space="preserve"> at 218; Allrie (sic) v. Victoria (City), </w:t>
      </w:r>
      <w:hyperlink r:id="rId1046" w:history="1">
        <w:r>
          <w:rPr>
            <w:rFonts w:ascii="arial" w:eastAsia="arial" w:hAnsi="arial" w:cs="arial"/>
            <w:i/>
            <w:color w:val="0077CC"/>
            <w:sz w:val="20"/>
            <w:u w:val="single"/>
            <w:shd w:val="clear" w:color="auto" w:fill="FFFFFF"/>
            <w:lang w:val="en-US" w:eastAsia="en-US" w:bidi="ar-SA"/>
          </w:rPr>
          <w:t>[1995] 1 W.W.R. 655</w:t>
        </w:r>
      </w:hyperlink>
      <w:r>
        <w:rPr>
          <w:rFonts w:ascii="arial" w:eastAsia="arial" w:hAnsi="arial" w:cs="arial"/>
          <w:color w:val="000000"/>
          <w:sz w:val="20"/>
          <w:lang w:val="en-US" w:eastAsia="en-US" w:bidi="ar-SA"/>
        </w:rPr>
        <w:t xml:space="preserve"> at para 20 BCSC; Levesque v. Sudbury Regional Police Force, </w:t>
      </w:r>
      <w:hyperlink r:id="rId1047" w:history="1">
        <w:r>
          <w:rPr>
            <w:rFonts w:ascii="arial" w:eastAsia="arial" w:hAnsi="arial" w:cs="arial"/>
            <w:i/>
            <w:color w:val="0077CC"/>
            <w:sz w:val="20"/>
            <w:u w:val="single"/>
            <w:shd w:val="clear" w:color="auto" w:fill="FFFFFF"/>
            <w:lang w:val="en-US" w:eastAsia="en-US" w:bidi="ar-SA"/>
          </w:rPr>
          <w:t>[1992] O.J. No. 512</w:t>
        </w:r>
      </w:hyperlink>
      <w:r>
        <w:rPr>
          <w:rFonts w:ascii="arial" w:eastAsia="arial" w:hAnsi="arial" w:cs="arial"/>
          <w:color w:val="000000"/>
          <w:sz w:val="20"/>
          <w:lang w:val="en-US" w:eastAsia="en-US" w:bidi="ar-SA"/>
        </w:rPr>
        <w:t xml:space="preserve"> (Ont. Gen. Div); Breen v. Saunders </w:t>
      </w:r>
      <w:hyperlink r:id="rId1048" w:history="1">
        <w:r>
          <w:rPr>
            <w:rFonts w:ascii="arial" w:eastAsia="arial" w:hAnsi="arial" w:cs="arial"/>
            <w:i/>
            <w:color w:val="0077CC"/>
            <w:sz w:val="20"/>
            <w:u w:val="single"/>
            <w:shd w:val="clear" w:color="auto" w:fill="FFFFFF"/>
            <w:lang w:val="en-US" w:eastAsia="en-US" w:bidi="ar-SA"/>
          </w:rPr>
          <w:t>(1986), 39 C.C.L.T. 273</w:t>
        </w:r>
      </w:hyperlink>
      <w:r>
        <w:rPr>
          <w:rFonts w:ascii="arial" w:eastAsia="arial" w:hAnsi="arial" w:cs="arial"/>
          <w:color w:val="000000"/>
          <w:sz w:val="20"/>
          <w:lang w:val="en-US" w:eastAsia="en-US" w:bidi="ar-SA"/>
        </w:rPr>
        <w:t xml:space="preserve"> at 277 (N.B.Q.B.); Berntt v. Vancouver (City), supra at 217. This may include the aura of potential and unpredictable danger: Schell v. Truba </w:t>
      </w:r>
      <w:hyperlink r:id="rId1049" w:history="1">
        <w:r>
          <w:rPr>
            <w:rFonts w:ascii="arial" w:eastAsia="arial" w:hAnsi="arial" w:cs="arial"/>
            <w:i/>
            <w:color w:val="0077CC"/>
            <w:sz w:val="20"/>
            <w:u w:val="single"/>
            <w:shd w:val="clear" w:color="auto" w:fill="FFFFFF"/>
            <w:lang w:val="en-US" w:eastAsia="en-US" w:bidi="ar-SA"/>
          </w:rPr>
          <w:t>(1990), 89 Sask.R. 137</w:t>
        </w:r>
      </w:hyperlink>
      <w:r>
        <w:rPr>
          <w:rFonts w:ascii="arial" w:eastAsia="arial" w:hAnsi="arial" w:cs="arial"/>
          <w:color w:val="000000"/>
          <w:sz w:val="20"/>
          <w:lang w:val="en-US" w:eastAsia="en-US" w:bidi="ar-SA"/>
        </w:rPr>
        <w:t xml:space="preserve"> at 140 (Sask.C.A.) (in dissent). There is no requirement to use the least amount of force because this may expose the officer to unnecessary danger to himself: Levesque v. Sudbury Regional Police Force,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concur with the comments of Dillon J. and conclude that in the case at bar the amount of force used by Constable Vanderford in effecting the arrest of the plaintiff was reasonable in all the circumstances. Accordingly, it is my conclusion on this issue that the intentional tort of battery has not been made out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Regarding the bruises to the plaintiff's arms and left hand, with hindsight the degree of force used by the police officers may have been more than was absolutely necessary. But that is not the test. In the urgency of the moment, they were faced with a drunken, aggressive, unco-operative prisoner. I find that grabbing the plaintiff firmly by her arms was reasonable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Similarly, the plaintiff has not discharged the first stage of the burden in proving that the defendants caused the bruises on her legs by means of direct or otherwise offensive conduct. That is not to say that I believe the theory of the defence over the theory of the plaintiff, but simply that it was for the plaintiff to tender some evidence to show how the bruises on her legs were caused by wrongful acts of Constable Vanderford or other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Issue 3: Is Constable Vanderford and/or other members of the Central Saanich Police Department guilty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causing injuries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Police Act, </w:t>
      </w:r>
      <w:hyperlink r:id="rId1050" w:history="1">
        <w:r>
          <w:rPr>
            <w:rFonts w:ascii="arial" w:eastAsia="arial" w:hAnsi="arial" w:cs="arial"/>
            <w:i/>
            <w:color w:val="0077CC"/>
            <w:sz w:val="20"/>
            <w:u w:val="single"/>
            <w:shd w:val="clear" w:color="auto" w:fill="FFFFFF"/>
            <w:lang w:val="en-US" w:eastAsia="en-US" w:bidi="ar-SA"/>
          </w:rPr>
          <w:t>R.S.B.C. 1996, c.367, s. 21</w:t>
        </w:r>
      </w:hyperlink>
      <w:r>
        <w:rPr>
          <w:rFonts w:ascii="arial" w:eastAsia="arial" w:hAnsi="arial" w:cs="arial"/>
          <w:color w:val="000000"/>
          <w:sz w:val="20"/>
          <w:lang w:val="en-US" w:eastAsia="en-US" w:bidi="ar-SA"/>
        </w:rPr>
        <w:t xml:space="preserve"> protects police officers from personal liability under certain conditions. The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(1) In this section, "police officer" means a person holding an appointment as a constable under this Act.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of his or her duty or in the exercise of his or her power or for any alleged neglect or default in the performance or intended performance of his or her duty or exercise of his or her power.</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libel or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meaning to be given to the term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its plain meaning under the common law. In Doern v. Phillips Estate </w:t>
      </w:r>
      <w:hyperlink r:id="rId1007"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affirmed </w:t>
      </w:r>
      <w:hyperlink r:id="rId1008"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 Kirkpatrick J. cited with approval the "classic test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enunciated by the Supreme Court of Canada in Walker v. Coates, </w:t>
      </w:r>
      <w:hyperlink r:id="rId1009" w:history="1">
        <w:r>
          <w:rPr>
            <w:rFonts w:ascii="arial" w:eastAsia="arial" w:hAnsi="arial" w:cs="arial"/>
            <w:i/>
            <w:color w:val="0077CC"/>
            <w:sz w:val="20"/>
            <w:u w:val="single"/>
            <w:shd w:val="clear" w:color="auto" w:fill="FFFFFF"/>
            <w:lang w:val="en-US" w:eastAsia="en-US" w:bidi="ar-SA"/>
          </w:rPr>
          <w:t>[1968] S.C.R. 599</w:t>
        </w:r>
      </w:hyperlink>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64 W.W.R. 449</w:t>
        </w:r>
      </w:hyperlink>
      <w:r>
        <w:rPr>
          <w:rFonts w:ascii="arial" w:eastAsia="arial" w:hAnsi="arial" w:cs="arial"/>
          <w:color w:val="000000"/>
          <w:sz w:val="20"/>
          <w:lang w:val="en-US" w:eastAsia="en-US" w:bidi="ar-SA"/>
        </w:rPr>
        <w:t xml:space="preserve">. She noted that in that case, Ritchie J. referred, at p.601, to the Court's earlier decision in McCulloch v. Murray, </w:t>
      </w:r>
      <w:hyperlink r:id="rId1051" w:history="1">
        <w:r>
          <w:rPr>
            <w:rFonts w:ascii="arial" w:eastAsia="arial" w:hAnsi="arial" w:cs="arial"/>
            <w:i/>
            <w:color w:val="0077CC"/>
            <w:sz w:val="20"/>
            <w:u w:val="single"/>
            <w:shd w:val="clear" w:color="auto" w:fill="FFFFFF"/>
            <w:lang w:val="en-US" w:eastAsia="en-US" w:bidi="ar-SA"/>
          </w:rPr>
          <w:t>[1942] S.C.R. 141</w:t>
        </w:r>
      </w:hyperlink>
      <w:r>
        <w:rPr>
          <w:rFonts w:ascii="arial" w:eastAsia="arial" w:hAnsi="arial" w:cs="arial"/>
          <w:color w:val="000000"/>
          <w:sz w:val="20"/>
          <w:lang w:val="en-US" w:eastAsia="en-US" w:bidi="ar-SA"/>
        </w:rPr>
        <w:t xml:space="preserve">, where Duff C.J.C., at p.145, had defined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these phrases,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wilful misconduct, imply conduct in which, if there is not conscious wrongdoing, there is a very marked departure from the standards by which responsible and competent people in charge of motor cars habitually govern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This definition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adopted in the context of police conduct in Glover v. Magark, (1 March 1999) Vancouver Registry No. C912286, </w:t>
      </w:r>
      <w:hyperlink r:id="rId1052" w:history="1">
        <w:r>
          <w:rPr>
            <w:rFonts w:ascii="arial" w:eastAsia="arial" w:hAnsi="arial" w:cs="arial"/>
            <w:i/>
            <w:color w:val="0077CC"/>
            <w:sz w:val="20"/>
            <w:u w:val="single"/>
            <w:shd w:val="clear" w:color="auto" w:fill="FFFFFF"/>
            <w:lang w:val="en-US" w:eastAsia="en-US" w:bidi="ar-SA"/>
          </w:rPr>
          <w:t>[1999] B.C.J. No. 472</w:t>
        </w:r>
      </w:hyperlink>
      <w:r>
        <w:rPr>
          <w:rFonts w:ascii="arial" w:eastAsia="arial" w:hAnsi="arial" w:cs="arial"/>
          <w:color w:val="000000"/>
          <w:sz w:val="20"/>
          <w:lang w:val="en-US" w:eastAsia="en-US" w:bidi="ar-SA"/>
        </w:rPr>
        <w:t>. In that case, Koenigsberg J. held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see no difficulty in applying the principles as set out in the above noted cases. It is obvious that the "particular circumstances" of police acting in the course of their duties, will circumscribe the standard from which there must be a marked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What must be determined in the case at bar is whether the actions of Constable Vanderford, and/or other members of the Central Saanich police department, in arresting or processing the plaintiff were such a "marked departure" from the standards expected of competent policemen.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defence tendered the expert evidence of Sergeant McKay, of the Vancouver police department, on the use of force by British Columbia police officers in 1996. I accept his evidence that the proper degree of force to be used in any situation is determined by the officer in considering the subject and his own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Constable Vanderford arrested the plaintiff she was apparently intoxicated and behaving aggressively towards him. Constable Vanderford, acting within his authority as a police officer in responding to a complaint made by a citizen, properly identified the plaintiff as the person causing the public disturbance. During the arrest, I have found that Constable Vanderford used only the degree of force necessary to control the plaintiff. There has been no evidence presented to this court which suggests that Constable Vanderford's actions departed in any way from the standards expected of police officers when arresting people who are resisting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During the time that the police officers booked the plaintiff in at the Central Saanich police department, I also conclude that I have been presented with no evidence to suggest that the officers' conduct was grossly negligent. I must emphasize that the court cannot engage in speculation where the plaintiff has failed to provide evidence as to the cause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Accordingly, I dismiss the plaintiff's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Issue 4: If Constable Vanderford and/or other members of the Central Saanich Police Department were not guilty of such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Constable Vanderford, or such other members of the police department, guilty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"reasonable person" standard applicable in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has been held appropriate in the police context, with the substitution of the "reasonable police officer" as the construct for comparison. In Doern v. Phillips Estate, supra, Kirkpatrick J. held at p.372: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authorities provided, there is little doubt that the standard of care to which a police officer will be held is that of a reasonable police officer, acting reasonably and within the statutory powers imposed upon him or her, according to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Was the conduct of Constable Vanderford, and/or other officers of the Central Saanich police department, reasonable in the circumstances? I have already concluded that Constable Vanderford, in effecting the arrest of the plaintiff, utilized only the degree of force necessary, given the circumstances he 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that regard, I emphasize the comments of Southin J.A. in Berntt v. Vancouver (City), </w:t>
      </w:r>
      <w:hyperlink r:id="rId1053" w:history="1">
        <w:r>
          <w:rPr>
            <w:rFonts w:ascii="arial" w:eastAsia="arial" w:hAnsi="arial" w:cs="arial"/>
            <w:i/>
            <w:color w:val="0077CC"/>
            <w:sz w:val="20"/>
            <w:u w:val="single"/>
            <w:shd w:val="clear" w:color="auto" w:fill="FFFFFF"/>
            <w:lang w:val="en-US" w:eastAsia="en-US" w:bidi="ar-SA"/>
          </w:rPr>
          <w:t>[1999] B.C.J. No. 1257</w:t>
        </w:r>
      </w:hyperlink>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63 B.C.L.R. (3d) 233</w:t>
        </w:r>
      </w:hyperlink>
      <w:r>
        <w:rPr>
          <w:rFonts w:ascii="arial" w:eastAsia="arial" w:hAnsi="arial" w:cs="arial"/>
          <w:color w:val="000000"/>
          <w:sz w:val="20"/>
          <w:lang w:val="en-US" w:eastAsia="en-US" w:bidi="ar-SA"/>
        </w:rPr>
        <w:t>, where at p.241, in discussing the police officer's beliefs at the time of the alleged misconduct,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such as this, if the first two questions are answered "yes", the trial judge must proceed to the third and fourth questions. In so proceeding, he or she should be a doppelganger to the peace officer whose conduct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Although Berntt, supra, dealt with the issue of police conduct in a riot situation, I find that the comment noted above is equally applicable in this case when analysing Constable Vanderford's, and other officers', conduct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alleges that when Constable Vanderford arrested her, he acted negligently, thus injuring her legs. I have concluded that the plaintiff has not provided sufficient evidence on which to base a finding that Constable Vanderford's actions were a cause of the plaintiff's bruises on her legs. Similarly, I have concluded that the plaintiff has not discharged her burden of proving that Constable Vanderford, or any other Central Saanich police officer, caused the bruises on her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the result, I must dismiss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claim for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If I am wrong on liability, I would have found the plaintiff's claim for damages was proper and would have awarded the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Costs are awarded to the defendant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4"/>
          <w:headerReference w:type="default" r:id="rId1055"/>
          <w:footerReference w:type="even" r:id="rId1056"/>
          <w:footerReference w:type="default" r:id="rId1057"/>
          <w:headerReference w:type="first" r:id="rId1058"/>
          <w:footerReference w:type="first" r:id="rId10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0" w:history="1">
        <w:r>
          <w:rPr>
            <w:rFonts w:ascii="arial" w:eastAsia="arial" w:hAnsi="arial" w:cs="arial"/>
            <w:b/>
            <w:bCs/>
            <w:i/>
            <w:color w:val="0077CC"/>
            <w:kern w:val="32"/>
            <w:sz w:val="28"/>
            <w:szCs w:val="32"/>
            <w:u w:val="single"/>
            <w:shd w:val="clear" w:color="auto" w:fill="FFFFFF"/>
            <w:lang w:val="en-US" w:eastAsia="en-US" w:bidi="ar-SA"/>
          </w:rPr>
          <w:t>Santiago v. James, [2008] B.C.J. No. 2368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27-29,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M043318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173 A.C.W.S. (3d) 141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2008 BCSC 1669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Suzanne Santiago, Plaintiff, and Lyle Raymond James,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4" w:name="Keywords_38"/>
      <w:bookmarkEnd w:id="26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Plaintiff was a passenger who was thrown off the back of a motorcycle and injured — Defendant argued that he was not negligent and that the plaintiff contributed to her injuries by failing to wear protective apparel — Defendant was negligent in accelerating too quickly when shifting gears — Plaintiff was not contributorily negligent as it was not established that her injuries were related to a lack of protective clothing.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5" w:name="Case Summary_38"/>
            <w:bookmarkEnd w:id="2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injured in a motorcycle accident. The plaintiff was a passenger who was thrown off the back of the motorcycle. The plaintiff alleged that the defendant driver negligently accelerated while shifting gears. The defendant argued that he was not negligent and that the plaintiff contributed to her injuries by failing to wear protective apparel.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6" w:name="Holdings of Court_33"/>
            <w:bookmarkEnd w:id="26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negligent in accelerating too quickly when shifting gears. The plaintiff was not contributorily negligent as it was not established that her injuries were related to a lack of protective clothing. The plaintiff was awarded non-pecuniary damages of $40,000 as well as damages for past lost wages and special expenses.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7" w:name="Legislation Cited_27"/>
      <w:bookmarkEnd w:id="2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8" w:name="Counsel_39"/>
      <w:bookmarkEnd w:id="2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G.G. Gibb.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9" w:name="Judgment_39"/>
      <w:bookmarkEnd w:id="269"/>
      <w:r>
        <w:pict>
          <v:line id="_x0000_s1228"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0" w:name="G.D. BURNYEAT J."/>
            <w:bookmarkEnd w:id="270"/>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13, 2002, Ms. Santiago was riding as a passenger on the motorcycle of Mr. James, was thrown off as a result of what she says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James, and suffered injuries including loss of skin to various parts of her body, soft tissue injuries, various extension and strain injuries, a lingering loss of sensation in her fingertips, and a reoccurrence of previously suffered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Santiago had arrived from her home in Ontario that day and she and Mr. James drove on his motorcycle from Dewdney to Harrison Mills in order to have lunch. During that time, Ms. Santiago was wearing a tee-shirt, a leather jacket, leather but not motorcycle pants, and street boots. Ms. Santiago was also wearing a helmet supplied by Mr. James. Ms. Santiago was not wearing gloves. The motorcycle of Mr. James was a 1996 Harley-Davidson which did not have a "backboard" behind where Ms. Santiago was sitting 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having lunch which did not include alcohol and after speaking with friends of Ms. Santiago, the parties left the Sasquatch Inn in Harrison Mills to return to Dewdney. Ms. Santiago testified that it was hot that day so that both she and Mr. James decided that they would not wear their heavy leather jackets. As a result, the jackets were put into the saddlebag of the motorcycle. After putting on their helmets, the parties got onto the motorcycle. Ms. Santiago testified that she then undertook her usual practice when she was a passenger on Mr. James' motorcycle which was to lock her thumbs into the belt loops of the pants of Mr. James so that she could hang on to him. The testimony of Ms. Santiago regarding her thumbs being through the belt loops on his pants was not disputed by Mr.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Santiago testified that Mr. James stopped the motorcycle at the exit to the parking lot, turned onto Lougheed Highway, and that they had travelled about 100 yards when she was thrown backwards off the motorcycle when Mr. James shifted the gears of the motorcycle between first and second "faster than normal", "much greater", "very fast acceleration". Ms. Santiago testified that she had never experienced that kind of acceleration in the past when driving between 50 to 100 times with Mr. James and that Mr. James did not warn her that he was going to accelerate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 July 22, 2008 Affidavit filed in these proceedings in support of an application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Ms. Santiago stated: "Once onto the Lougheed Highway, the Defendant bolted forward and slammed his motorcycle into another gear. As he did this I was subjected to the powers of torque that tore my hands off his belt loops, throwing me backwards off the Defendant's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falling off, Ms. Santiago testified that she "spun around watching my fingers burn off", that she felt "immediate pain" as she put her hands down to stop spinning before she used her feet to bring herself to a stop. She testified that Mr. James came back, helped her onto the motorcycle, and then drove her back to the Sasquatch Inn. At the Sasquatch Inn, she cleaned herself up in the washroom and she was given a tee-shirt to wear as the tee-shirt she had been wearing was virtually shredded.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Santiago testified that her brother was called and that, when he arrived in about 15 minutes, he asked her whether she wanted to go to the hospital, she said that she wanted to go to a walk-in clinic, and that her brother then drove her to a walk-in clinic in Agassiz.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Santiago described her condition immediately after the accident as being "lots of blood" on her hands and face, with her chin, leg, fingertips and hands bleeding, and both shoulders sore. Ms. Santiago was treated at the walk-in clinic before returning to her brother's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Santiago rested at her brother's home for several weeks before being in a position to return to Ontario. Ms. Santiago testified that she spent about two and one-half weeks in bed, that the painkillers that she was given did not take away the burning sensation completely, and that "I couldn't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Delauriers is a family friend. At trial, Ms. Delauriers testified that she observed the fingers of Ms. Santiago immediately after August 13, 2002 and took two photographs of the arms of Ms. Santiago. Those photographs were in evidence. They indicate extensive abrasions resembling burns on the arms of Ms. Santiago. While there are no photographs in evidence showing the hands of Ms. Santiago, I accept the evidence of Ms. Santiago and Ms. Delauriers that Ms. Santiago also experienced extensive abrasions resembling burns on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Delauriers testified that she observed that Ms. Santiago could not put on her clothing or attend to the usual day to day matters because her fingers, hands, arms, back and left leg were so badly "burnt" and Ms. Santiago "couldn't touch anything with her fingers because they were burnt". Ms. Delauriers worked at an extended care hospital as a care aide and, accordingly, she was tremendously helpful in the initial recovery. In addition to helping Ms. Santiago dress and care for herself, Ms. Delauriers changed the dressing on the wounds and applied the prescription drugs to the wounds.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Santiago testified that it was necessary for her to arrange for her children who had accompanied her on the trip to return to Ontario by plane and to pay for the airline tickets of her daughter and son-in-law to come to British Columbia so that they could drive Ms. Santiago's car and Ms. Santiago back to Ontario after she had recovered sufficiently to be in a position to undertake that journey.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Santiago left British Columbia on September 28, 2002. When she arrived in Ontario, she testified that "my whole body ached", "everything caused me discomfort", her children had to do the housework that she previously did but that her soft tissue injury and discomfort ended in December and early January,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Santiago had been working as a "support service provider". She was scheduled to return to work immediately after her return from her holiday in British Columbia. Because her return to Ontario was delayed, the family she was working for had to make other arrangements so that there was no employment with that family when Ms. Santiago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as a result of Ms. Santiago not having the employment that she had previously undertaken, Ms. Santiago became depressed. Previously, Ms. Santiago had been taking anti-depressants. She testified that she had stopped taking anti-depressants in May, 2002. When she learned that she no longer was employed, Ms. Santiago testified that she was "devastated - felt secure I would have a job for many years" and that she found it necessary to return to taking anti-depressants. I find that the reoccurrence of her depression is a direct result of the accident. I also find that Ms. Santiago is still taking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make the following findings regarding the injuries of Ms. Santiago and the duration of her suffering relating to those injuries all as a result of the accident:</w:t>
      </w:r>
      <w:r>
        <w:rPr>
          <w:rFonts w:ascii="arial" w:eastAsia="arial" w:hAnsi="arial" w:cs="arial"/>
          <w:sz w:val="20"/>
          <w:lang w:val="en-US" w:eastAsia="en-US" w:bidi="ar-SA"/>
        </w:rPr>
        <w:cr/>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soft-tissue injury and discomfort ending by December, 2002 or early January, 2003;</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numerous skin abrasion which well healed by the end of September, 2002 and which have left Ms. Santiago with no permanent scarring;</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reoccurrence of depression by virtue of the loss of her employment and, although Ms. Santiago remains on anti-depressants, I find that her testimony at her March 12, 2007 Examination for Discovery accurately represents the result of the accident, being that, by December, 2002, her "depression aggravation had settled down to the way" it was before the accident. However, I also find that there was a reoccurrence of her depression in the spring of 2003 and that this depression was temporarily greater than the depression immediately before the accident;</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condition which Ms. Santiago describes as "pins and needles in her fingertips as soon as the winter gets cold". As a result, I find that her ability to undertake winter sports such as curling, ice skating, and cross-country skiing has been curtailed as I find that, even when she is wearing gloves, Ms. Santiago suffers from pain in her hands if she is outdoors for more than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latter regard, Dr. Andrew R. Woolfenden was admitted as an expert to testify to the nature and consequences of burns or abrasions. His January 5, 2008 expert report was in evidence. In his "Opinion", Dr. Woolfenden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Sensory symptoms can occur after injury to the skin by way of secondary injury to sensory receptors in the skin (Reference 1). The mechanism by which various sensory complaints develop following skin injury (such as burn or abrasion) is poorly understood. Skin receptors are part of a sensory afferent pathway known as the "General Somatic Afferent" (GSA)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three main categories of receptors in the GSA pathway, which include mechanoreceptors (respond to mechanical deformation of tissue such as stretch, vibration, pressure and touch), thermoreceptors (receptors responsive to hot and cold) and nociceptors (receptors that respond to noxious or painful stimulation). While a majority of the sensory receptors are in the basal epidermis (i.e. deepest portion of superficial skin layer) and dermis (i.e. deepest skin layer), some types of sensory receptors do not have a specific receptor, and are "naked nerve endings" which infiltrate the skin to the level of the superficial epidermis (i.e. are near the surface of the skin). Thermoreceptors are "naked nerve endings". While most abrasions do not affect sensory receptors because of their superficial nature, a deep abrasion (or a burn, such as a third degree which affects the dermis) may potentially affect sensation. Injury to peripheral sensory receptors can result in dysfunction of sensory perception and/or cause pain in the area of injury on a continuous or intermittent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"allodynia" is used when a stimulus that is not normally painful causes pain, and is a problem potentially seen in any type of sensory nervous system injury. Injury to sensory receptors in the skin can result in allodynia. An example of allodynia is when brief exposure to a cold environment that would normally cause the feeling of being cold instead results in discomfort that would not normally be experienced. It is my opinion that Ms. Santiago's ongoing symptoms in her hands are therefore consistent with a allodynia secondary to denuding skin injury to the fingertips of both hands due to the motorcycle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Santiago's allodynia and altered sensation results in mild discomfort when she is in cold environments. However, a majority of the time, she is asymptomatic. As a result of her symptoms, Ms. Santiago has reduced her activities in the cold including the avoidance of shoveling snow and cross-country skiing, and has reduced walking in the cold. The most likely explanation of such symptoms is that some of the peripheral sensory receptors involved with perception of temperature have been affected by the skin injury to both hands. Since Ms. Santiago's symptoms have been present for five years following the motorcycle accident, it is unlikely that there will be any further improvement in the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management of Ms. Santiago's allodynia is quite straightforward. If she avoids cold stimulation of her fingertips, her symptoms do not occur. Therefore, either avoidance of cold stimulation, or protection of her fingertips by simple gloving should generally suffice. Since Ms. Santiago's symptoms only occur when exposed to cold, pain modifying medication is not indicated. It is my opinion that it is unlikely Ms. Santiago will have significant discomfort in her fingertips with the use of proper insulated gloves of high quality, unless exposure to the cold is for prolonged periods of time. Specific glove choice is outside my area of expertise.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other potential neurologic explanation for Ms. Santiago's symptoms. Her sensory complaints are not indicative of an injury to a peripheral nerve, the brachial plexus, cervical nerve root(s), or the spinal cord. The symptoms are not suggestive of complex regional pain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Santiago does not require any neurologic investigations. Standard nerve conduction studies are not helpful in establishing the diagnosis of peripheral sensory receptor injury, since nerve conduction studies are normal in such instances. Quantitative sensory testing, a method of testing temperature sensation, is subjective and therefore normal studies do not rule out a peripheral temperature receptor abnormality.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way to prevent the development of Ms. Santiago's symptoms with any form of treatment immediately after the accident. Ms. Santiago should be informed to wear well insulated gloves, preferably mitts, when she goes out in the cold. Ms. Santiago's sensory symptoms in her fingertips should not affect employment except jobs in a cold environment (i.e. an outdoor job in the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trial, Dr. Woolfenden stated that what was being suffered by Ms. Santiago was "relatively common" and that the condition was a "permanent problem". He testified that burns or abrasions did not produce a different mechanism for causing such injuries. He also indicated the fact that there was denuding on only four fingers could still have resulted in pain outside "the area of injury" as this was "not well understood". He did indicate that, in the absence of denuding, it would not have been possible to have long-term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MR. JAMES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James did not testify at the Trial. However, he was extensively examined at a March 12, 2007 Examination for Discovery. Mr. James stated that he had a motorcycle licence since 1966 but that, when he obtained that licence, there was never any "formal training" with respect to the operation of a motorcycle. He described the motorcycle as being a 1996 Harley Davidson with an 80 cubic inch engine and two cylinders. He indicated that there was a "hand strap" between the two seats but that there was no "backboard" on the motorcycle. He confirmed that a "backboard" was something that was "... positioned on the fender of a motorcycle to provide support to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James estimated that Ms. Santiago had been a passenger on his motorcycle about 100 times. He indicated that he was comfortable with her. As to what instructions he had given to her on earlier occasions, he testified: "I just asked her if she was all set up and ready to hold on" and nothing else. He confirmed that he did not show Ms. Santiago where the hand strap was and stated: "no, I - no one's ever used it", "they usually just hold onto me". He indicated that he initially gave Ms. Santiago the instructions to hold onto him and he confirmed that he did not instruct her how she should hold onto him. In the past, he indicated that she held onto "the side of my clothes or my back". Mr. James was asked whether he gave instructions to his passengers and whether he told her to "wrap her hands around your waist" and he answered "no", "I usually let them decide their own way of holding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James confirmed that he stopped before going onto Lougheed Highway, that he moved forward onto the highway and that he then accelerated the motorcycle. Mr. James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when you accelerate the bike that she was thrown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you're changing gears and you're ready to accelerate, did you warn Ms. Santiago that you were about to accelerate?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when you drop it into second that you get a burst of acceleration?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when that burst of acceleration occurred she was thrown off the back of the bike,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James could not remember where her hand was gripping when they started to move onto Lougheed Highway: "That was a long time ago. I can't remember." Mr. James confirmed that, when there was a passenger on the back of the bike, "one does not accelerate rapidly when they have a passenger". Mr. James confirmed that he was "gaining speed" when coming out of first gear and going into second and that, when the gears were shifted into second, he would accelerate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Mr. James was an experienced motorcyclist. I also find that Ms. Santiago was an experienced passenger on a motorcycle and that she had considerable experience as a passenger on a motorcycle driven by Mr. James. As an experienced passenger, Ms. Santiago would have been very much aware of what occurs when the driver of a motorcycle shifts gears. I find that nothing on August 13, 2002 would have diverted Ms. Santiago's attention away from what she could expect would be how Mr. James would operate his motorcycle. I find that she would have no expectation of sudden acceleration and that her previous experience including the trip that day from Dewdney to Harrison Mills would not have led her to believe that the motorcycle would be driven by Mr. James in a way that sudden acceleration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Mr. James did operate the motorcycle negligently that day. I find that he accelerated between first and second gear and beyond in an unsafe manner and at a rate which was far in excess of what a passenger like Ms. Santiago would expect and was entitled to expect. I find that the excessive acceleration was undertaken without warning Ms. Santiago that it was about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question which is raised on behalf of Mr. James is whether Ms. Santiago in any way exacerbated the injuries that were suffered as a result of something that she did or did not do. At her March 12, 2007 Examination for Discovery, Ms. Santiago agreed that wearing a leather jacket was "for safety" and that it was for the purpose of protecting her in the event that something happened that would cause her to come off the motorcycle. She confirmed that she took off the leather jacket because "it was hot". She also confirmed that she was prepared to "sacrifice safety for the sake of comfort". Ms. Santiago also confirmed gloves were available from her brother but that she was not wearing them as they were "too big for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the question of whether the failure to wear what might be described by some as "appropriate" outerwear, I am satisfied that the following statement of Melvin L.J.S.C., as he then was, in </w:t>
      </w:r>
      <w:r>
        <w:rPr>
          <w:rFonts w:ascii="arial" w:eastAsia="arial" w:hAnsi="arial" w:cs="arial"/>
          <w:b/>
          <w:i/>
          <w:color w:val="000000"/>
          <w:sz w:val="20"/>
          <w:lang w:val="en-US" w:eastAsia="en-US" w:bidi="ar-SA"/>
        </w:rPr>
        <w:t>Hagenbuch v. Fisher</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[1986] B.C.J. No. 2883</w:t>
        </w:r>
      </w:hyperlink>
      <w:r>
        <w:rPr>
          <w:rFonts w:ascii="arial" w:eastAsia="arial" w:hAnsi="arial" w:cs="arial"/>
          <w:color w:val="000000"/>
          <w:sz w:val="20"/>
          <w:lang w:val="en-US" w:eastAsia="en-US" w:bidi="ar-SA"/>
        </w:rPr>
        <w:t xml:space="preserve">, is applicable so that I cannot conclude that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reduce the compensation available to Ms. Santiago: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Yet the mere fact that you operate a motorcycle which exposes you to greater risk does not in itself cause a reduction in quantum on the basis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don't think clothing or the type of clothing or a policy decision relating to the type of clothing that individuals should wear when operating motorcycles or operating a motor vehicle should be the subject matter of a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reduction in the compensation a plaintiff would otherwise receive, absent clear, compelling evidence that the lack of such clothing was a direct cause of the extent of the injury. In that respect, it would have to be, in my view, 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as a matter of policy the court's should be very, very loathe to start on a course which would, in effect, create a policy decision as to the nature and type and design of clothing that individuals would wear when they are involved in the operation of motor vehicles or motorcycles; absent, of course, of legislation in that respect.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Consequently with reference to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my view, there should be no deduction in the reward I will make in favour of the plaintiff as a result of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(at 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Even if I am found to be incorrect in arriving to the conclusion that there would be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what Ms. Santiago was not wearing that day, I am satisfied that there was no expert or any evidence which would allow me to conclude that the lack of protective clothing was a direct cause of the extent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 THAT SHOULD BE AVAILABLE TO MS. SANTIAGO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submitting that the non-pecuniary damages of Ms. Santiago should total $45,000.00, counsel submits that the following decisions most closely approximate the injuries and the duration of the suffering from the injuries suffered by the Plaintiff: </w:t>
      </w:r>
      <w:r>
        <w:rPr>
          <w:rFonts w:ascii="arial" w:eastAsia="arial" w:hAnsi="arial" w:cs="arial"/>
          <w:b/>
          <w:i/>
          <w:color w:val="000000"/>
          <w:sz w:val="20"/>
          <w:lang w:val="en-US" w:eastAsia="en-US" w:bidi="ar-SA"/>
        </w:rPr>
        <w:t>Laberge v. Wagner</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[2002] B.C.J. No. 1302</w:t>
        </w:r>
      </w:hyperlink>
      <w:r>
        <w:rPr>
          <w:rFonts w:ascii="arial" w:eastAsia="arial" w:hAnsi="arial" w:cs="arial"/>
          <w:color w:val="000000"/>
          <w:sz w:val="20"/>
          <w:lang w:val="en-US" w:eastAsia="en-US" w:bidi="ar-SA"/>
        </w:rPr>
        <w:t xml:space="preserve"> (B.C.S.C.) ($17,500.00 where the tip of the index finger of the plaintiff was hanging by a thread of flesh after the accident and the rest of her hand was crushed and lacerated with a subsequent permanent weakening of the left hand); </w:t>
      </w:r>
      <w:r>
        <w:rPr>
          <w:rFonts w:ascii="arial" w:eastAsia="arial" w:hAnsi="arial" w:cs="arial"/>
          <w:b/>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[2008] B.C.J. No. 320</w:t>
        </w:r>
      </w:hyperlink>
      <w:r>
        <w:rPr>
          <w:rFonts w:ascii="arial" w:eastAsia="arial" w:hAnsi="arial" w:cs="arial"/>
          <w:color w:val="000000"/>
          <w:sz w:val="20"/>
          <w:lang w:val="en-US" w:eastAsia="en-US" w:bidi="ar-SA"/>
        </w:rPr>
        <w:t xml:space="preserve"> (B.C.S.C.) ($20,000.00 where pre-existing degenerative disc disease was brought on earlier than what might have been expected as a result of an accident where soft tissue injuries were experienced); </w:t>
      </w:r>
      <w:r>
        <w:rPr>
          <w:rFonts w:ascii="arial" w:eastAsia="arial" w:hAnsi="arial" w:cs="arial"/>
          <w:b/>
          <w:i/>
          <w:color w:val="000000"/>
          <w:sz w:val="20"/>
          <w:lang w:val="en-US" w:eastAsia="en-US" w:bidi="ar-SA"/>
        </w:rPr>
        <w:t>Rubino v. Lerfold</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[2004] B.C.J. No. 386</w:t>
        </w:r>
      </w:hyperlink>
      <w:r>
        <w:rPr>
          <w:rFonts w:ascii="arial" w:eastAsia="arial" w:hAnsi="arial" w:cs="arial"/>
          <w:color w:val="000000"/>
          <w:sz w:val="20"/>
          <w:lang w:val="en-US" w:eastAsia="en-US" w:bidi="ar-SA"/>
        </w:rPr>
        <w:t xml:space="preserve"> (B.C.S.C.) ($17,000.00 where there was a finding that there was a low moderate whiplash injury with pain and discomfort for six months in the neck and for in excess of a year in the back); </w:t>
      </w:r>
      <w:r>
        <w:rPr>
          <w:rFonts w:ascii="arial" w:eastAsia="arial" w:hAnsi="arial" w:cs="arial"/>
          <w:b/>
          <w:i/>
          <w:color w:val="000000"/>
          <w:sz w:val="20"/>
          <w:lang w:val="en-US" w:eastAsia="en-US" w:bidi="ar-SA"/>
        </w:rPr>
        <w:t>McDonald v. Pearce</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[2005] B.C.J. No. 1702</w:t>
        </w:r>
      </w:hyperlink>
      <w:r>
        <w:rPr>
          <w:rFonts w:ascii="arial" w:eastAsia="arial" w:hAnsi="arial" w:cs="arial"/>
          <w:color w:val="000000"/>
          <w:sz w:val="20"/>
          <w:lang w:val="en-US" w:eastAsia="en-US" w:bidi="ar-SA"/>
        </w:rPr>
        <w:t xml:space="preserve"> (B.C.S.C.) ($17,500.00 where there was a feeling of nausea for two weeks, intense pain in the neck, upper back and right shoulder, sleeping problems for a period of four months, and a minor cut to the face, with pain in the neck, right shoulder, upper and lower back, right hip and knee of the plaintiff); </w:t>
      </w:r>
      <w:r>
        <w:rPr>
          <w:rFonts w:ascii="arial" w:eastAsia="arial" w:hAnsi="arial" w:cs="arial"/>
          <w:b/>
          <w:i/>
          <w:color w:val="000000"/>
          <w:sz w:val="20"/>
          <w:lang w:val="en-US" w:eastAsia="en-US" w:bidi="ar-SA"/>
        </w:rPr>
        <w:t>Callan v. Unger</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[1993] B.C.J. No. 387</w:t>
        </w:r>
      </w:hyperlink>
      <w:r>
        <w:rPr>
          <w:rFonts w:ascii="arial" w:eastAsia="arial" w:hAnsi="arial" w:cs="arial"/>
          <w:color w:val="000000"/>
          <w:sz w:val="20"/>
          <w:lang w:val="en-US" w:eastAsia="en-US" w:bidi="ar-SA"/>
        </w:rPr>
        <w:t xml:space="preserve"> (B.C.S.C.) ($15,000.00 where the accident made the plaintiff "functionally disabled" from lifting anything heavier than 20 pounds and $5,000.00 for "loss of handyman capacity". In awarding $5,000.00 in this latter regard, Kirkpatrick J., as she then was, stated that there was an inability to "... perform chores around the home such as painting, pruning, yard maintenance, etc." although the plaintiff had conceded that he could do most of those chores albeit with some discomfort. Kirkpatrick J. concluded: "I think that the plaintiff will require some assistance in these services beyond that which he would have required had the accident not occurred." (at p.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Relying on the following decisions, counsel for Mr. James submits that the non-pecuniary damages available to Ms. Santiago should be in the range of $10,000.00 to $20,000.00: </w:t>
      </w:r>
      <w:r>
        <w:rPr>
          <w:rFonts w:ascii="arial" w:eastAsia="arial" w:hAnsi="arial" w:cs="arial"/>
          <w:b/>
          <w:i/>
          <w:color w:val="000000"/>
          <w:sz w:val="20"/>
          <w:lang w:val="en-US" w:eastAsia="en-US" w:bidi="ar-SA"/>
        </w:rPr>
        <w:t>Hagenbuch v. Fisher</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[1986] B.C.J. No. 2883</w:t>
        </w:r>
      </w:hyperlink>
      <w:r>
        <w:rPr>
          <w:rFonts w:ascii="arial" w:eastAsia="arial" w:hAnsi="arial" w:cs="arial"/>
          <w:color w:val="000000"/>
          <w:sz w:val="20"/>
          <w:lang w:val="en-US" w:eastAsia="en-US" w:bidi="ar-SA"/>
        </w:rPr>
        <w:t xml:space="preserve"> (B.C.S.C.) ($12,000.00 where the plaintiff suffered a "scrape type injury to the right elbow area", a "rather serious looking injury to the lower part of the right leg and to the top of the right foot", the requirement that 40 to 50 stitches were used to close the wound, a large disfiguring scar, and a diminished ability to play sports; </w:t>
      </w:r>
      <w:r>
        <w:rPr>
          <w:rFonts w:ascii="arial" w:eastAsia="arial" w:hAnsi="arial" w:cs="arial"/>
          <w:b/>
          <w:i/>
          <w:color w:val="000000"/>
          <w:sz w:val="20"/>
          <w:lang w:val="en-US" w:eastAsia="en-US" w:bidi="ar-SA"/>
        </w:rPr>
        <w:t>Bob (Guardian Ad Litem for) v. Bob</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[1993] B.C.J. No. 424</w:t>
        </w:r>
      </w:hyperlink>
      <w:r>
        <w:rPr>
          <w:rFonts w:ascii="arial" w:eastAsia="arial" w:hAnsi="arial" w:cs="arial"/>
          <w:color w:val="000000"/>
          <w:sz w:val="20"/>
          <w:lang w:val="en-US" w:eastAsia="en-US" w:bidi="ar-SA"/>
        </w:rPr>
        <w:t xml:space="preserve"> (B.C.S.C.) ($7,500.00 where there was a finding that the plaintiff suffered a six to seven centimetre "ragged, dirty and full-thickness flap laceration of the occipital scalp and abrasions on the back and buttock that had fully healed within two months"); </w:t>
      </w:r>
      <w:r>
        <w:rPr>
          <w:rFonts w:ascii="arial" w:eastAsia="arial" w:hAnsi="arial" w:cs="arial"/>
          <w:b/>
          <w:i/>
          <w:color w:val="000000"/>
          <w:sz w:val="20"/>
          <w:lang w:val="en-US" w:eastAsia="en-US" w:bidi="ar-SA"/>
        </w:rPr>
        <w:t>Kovacevic v. Leischner</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[2000] B.C.J. No. 2039</w:t>
        </w:r>
      </w:hyperlink>
      <w:r>
        <w:rPr>
          <w:rFonts w:ascii="arial" w:eastAsia="arial" w:hAnsi="arial" w:cs="arial"/>
          <w:color w:val="000000"/>
          <w:sz w:val="20"/>
          <w:lang w:val="en-US" w:eastAsia="en-US" w:bidi="ar-SA"/>
        </w:rPr>
        <w:t xml:space="preserve"> (B.C.S.C.) ($12,000.00 where an accident resulted in glass being imbedded in the face and scalp of the plaintiff, bruising on her nose, the left side of her cheek, the top of her head, both forearms, and her left knee, with some inattention caused by the pain which resulted, and by mild depression, with bruising and abrasions healed within approximately two weeks but with ongoing headaches which affected the concentration and the ability to sleep of the plaintiff); and </w:t>
      </w:r>
      <w:r>
        <w:rPr>
          <w:rFonts w:ascii="arial" w:eastAsia="arial" w:hAnsi="arial" w:cs="arial"/>
          <w:b/>
          <w:i/>
          <w:color w:val="000000"/>
          <w:sz w:val="20"/>
          <w:lang w:val="en-US" w:eastAsia="en-US" w:bidi="ar-SA"/>
        </w:rPr>
        <w:t>Hildebrand v. Flint</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[2000] B.C.J. No. 2823</w:t>
        </w:r>
      </w:hyperlink>
      <w:r>
        <w:rPr>
          <w:rFonts w:ascii="arial" w:eastAsia="arial" w:hAnsi="arial" w:cs="arial"/>
          <w:color w:val="000000"/>
          <w:sz w:val="20"/>
          <w:lang w:val="en-US" w:eastAsia="en-US" w:bidi="ar-SA"/>
        </w:rPr>
        <w:t xml:space="preserve"> (B.C.S.C.) ($20,000.00 where the plaintiff suffered abrasions to the right and left forearm, left wrist, left upper leg, left forehead, left cheek and left jaw, with soft tissue injuries to his neck and his right shoulder, with pain, discomfort and interruption of normal leisure activities lasting for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Taking into account the injuries suffered by Ms. Santiago and the duration of those injuries, the reoccurrence of depression which I find to have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James, the loss of capacity associated with her injuries, and the long-term sensory complaints which I find can only be partially alleviated by protective gloves, I assess the non-pecuniary damages of Ms. Santiago at $40,000.00.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Regarding past wage loss, Ms. Santiago was working as a "support service provider". She started in that capacity in September of 2001. She provided support services for two adult males with developmental problems whose effective age was six or seven. She was paid $12.00 per hour for 35 hours even though she sometimes worked in excess of 35 hours a week. Ms. Santiago stated at her Examination for Discovery that she was working 35 to 40 hours a week, that she was not paid overtime, that E.I. premiums and income tax were deducted from the $12.00 per hour that she was receiving. Ms. Santiago testified that when she resumed employment in July, 2003, she was initially working at $10.00 an hour and after six months at $12.00 an hour. The income tax returns for Ms. Santiago indicated the following. 2002: $17,999.00 (T4 income) and $4,466.00 ("Employment Insurance benefits"); and 2003: $11,430.00 (T4 income) and $10,230.00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assess the past wage loss of Ms. Santiago for the 47 weeks between September, 2002 and July 23, 2006 at $19,740.00 but subtract from that figure the $14,696.00 accumulated Employment Insurance benefits received by Ms. Santiago.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Regarding the claimed special expenses of Ms. Santiago, a number of paid bills indicating expenses for bandages, bandage pads, and flammazine were in evidence. They were for $10.33, $72.55, $11.27, $10.32, $18.16, $12.82, and $42.47. Additionally, Ms. Santiago claims for the cost of snow removal averaging $400.00 per year as a result of her inability to clean her 110 foot sidewalk. Ms. Santiago also claims for the cost of five airfares relating to having her three children return to Ontario in order that they could attend school while Ms. Santiago was recuperating in British Columbia and the two airfares for two adults to come out to British Columbia so that the vehicle of Ms. Santiago could be returned to Ontario with them rather than her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Unfortunately, there are no receipts for the airline tickets or for the cost of snow removal. Counsel for Mr. James also raises the question of why it was necessary for two adults to come out to British Columbia in order that the vehicle of Ms. Santiago could be returned to Ontario when it would have been possible for the car to be shipped to Ontario while Ms. Santiago returned there by air. I am satisfied that it was not unreasonable for Ms. Santiago to act as she did and, in any event, there was nothing in evidence which would allow me to conclude that the airfare for Ms. Santiago plus the cost of shipping the vehicle would have been less than the airfare for the two adults who came out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Mr. James does not question the disbursements alleged by Ms. Santiago. Rather, counsel takes issue with the fact that no receipts have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the evidence of Ms. Santiago that the cost of snow removal has amounted to approximately $400.00 to $450.00 a year and that the airline tickets were approximately $3,000.00. In the circumstances, I allow the total special expenses of Ms. Santiago at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Unless the provisions of Rule 37B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apply, Ms. Santiago will be entitled to her Scale B costs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V.C.P. Homes Inc. v. Fast, [2002] B.C.J. No. 642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10 - 14 and 17 - 21,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C990862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642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B.C.L.R. (4th) 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CarswellBC 668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782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V.C.P. Homes Inc. and Eduard Seel, plaintiffs, and Marie-Louise Fast,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1" w:name="Keywords_39"/>
      <w:bookmarkEnd w:id="271"/>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Scope of liability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2" w:name="Case Summary_39"/>
            <w:bookmarkEnd w:id="2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clients, VCP Homes and Seel, against their solicitor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relating to a joint venture agreement. VCP and Herti Industries entered into a joint venture to purchase 10 lots. After five houses were completed and sold, there was a dispute between VCP and Herti that led to litigation. VCP and its principal, Seel, settled the lawsuit by paying Herti $185,000. VCP and Seel also lost money as a result of the venture falling apart. Seel and VCP submitted that the solicitor was negligent in drafting the agreement, particularly its provisions dealing the VCP's contribution and the manner in which profits and losses were to be shared. They also argued that she failed to advise and warn Seel and VCP that they had certain fiduciary and trust obligations attached to their use of joint venture funds. The solicitor had very little or no experience in drafting joint venture agreements.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3" w:name="Holdings of Court_34"/>
            <w:bookmarkEnd w:id="273"/>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solicitor was liable for the Herti settlement amount of $185,000, one-half of VCP and Seel's legal costs in the Herti action, and prejudgment interest. The solicitor was in breach of the standard of care required of a reasonably competent solicitor. A reasonably prudent solicitor would not have left the clause regarding financing so open to misinterpretation without clear and informed instructions from the client. The solicitor was also negligent by failing to explain to VCP its legal obligations in respect of the use of joint venture funds. The solicitor's breach caused the damages related to the settlement with Herti. Damages were foreseeable. The proximate cause of the venture's ultimate failure was not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she was not liable for those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4" w:name="Legislation Cited_28"/>
      <w:bookmarkEnd w:id="2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5" w:name="Counsel_40"/>
      <w:bookmarkEnd w:id="2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Susan A. Griffin and S.K. Boyle, for the plaintiffs. Patrice M.E. Abrioux,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6" w:name="Judgment_40"/>
      <w:bookmarkEnd w:id="276"/>
      <w:r>
        <w:pict>
          <v:line id="_x0000_s1233"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7" w:name="RALPH J."/>
            <w:bookmarkEnd w:id="277"/>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May 1994 V.C.P. Homes Inc. ("V.C.P.") and Herti Industries Ltd. ("Herti") made a joint venture agreement to purchase ten lots in Richmond and to build houses on each of them. The defendant, Ms. Fast, is the solicitor who prepared the joint venture agreement. In 1996, after five houses had been completed and sold, there was a dispute between the parties to the agreement that led to litigation. The venture was not completed and V.C.P. and its principal, Eduard Seel, lost money. Mr. Seel and V.C.P. allege that in preparing the joint venture agreement Ms. Fast was negligent and also breached her contract with them. In this action they seek to recover their losses from Ms.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Seel came to Canada from Germany in 1981 having trained and received a diploma in construction trades. In Canada he worked first as a mason but in time moved into house construction. He gradually undertook larger subdivision and land development projects and prospered in those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Fast is Mr. Seel's sister-in-law. She was called to the British Columbia bar in 1984. In 1987 or 1988 Ms. Fast began acting as a solicitor for Mr. Seel primarily in real property related matters, but also in the incorporation of a number of small companies formed by Mr. Seel and used by him in different projects. Although in 1994 Ms. Fast had had some experience in the drafting of partnership agreements she had very little or no experience in drafting joint venture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15, 1994, Richview Holdings Inc., one of Mr. Seel's companies, agreed to purchase the ten lots in a development in Richmond known as "California Pointe." The sale price was $1,593,000. The initial deposit of $10,000 was later increased to $80,000. The deposit of $10,000 came from Mr. Seel through one of his companies. The $70,000 balance was borrowed from Shelter Homes Inc., a company owned by one of Mr. Seel's brothers-in-law. The contract of purchase and sale permitted Richview Holdings Inc. to assign its rights under the contract. The completion date for the purchase was May 16, 1994. It appears that Ms. Fast was retained on May 2 or 3 to attend to the legal aspects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Mr. Seel's plan was to construct ten houses on the lots, he did not at the time of making the contract to purchase the lots have financing in place for the balance of the purchase price or for the costs of constructing the houses. It was his view that if he could not arrange financing the lots could be resold individually and his risk of loss would be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1993 Mr. Seel through his company, Richview Investments Inc., had undertaken the construction of a number of townhouses on property owned by Herti, whose principal is Mr. Herbert See. Mr. See had subsequently advised Mr. Seel that he would be interested in a further business deal with him. After signing the California Pointe purchase agreement Mr. Seel therefore approached Mr. See to seek his participation in this new project. After discussions between them Mr. Seel, through Herti, agreed to put up $800,000.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Seel says that his deal with Herti was to be that Herti would put up $800,000 and Mr. Seel would arrange mortgage financing against the property for the balance of the purchase price and construction costs. Mr. Seel would then undertake construction of the houses. After all the expenses were paid, the profits would be "split 50/50" between Herti and Mr. Seel's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Seel then made arrangements for mortgage financing through InstaFund Financial Services Ltd. InstaFund agreed to provide funds through a first mortgage of $1 million and a second mortgage of $200,000 for a one-year term with the balance due on June 1, 1995. Mr. Seel was required to be a guarantor of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Seel made one page of notes of his discussions with Mr. See and faxed them to Ms. Fast on May 9, 1994. The notes contemplated that there would be a joint venture agreement between Richview Custom Homes Inc. and Herti. Mr. Seel subsequently decided to substitute V.C.P. for Richview Custom Homes Inc. In the notes Mr. Seel requested Ms. Fast to make the agreement "as simple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Fast prepared a 5-page draft joint venture agreement and faxed it to Mr. Seel on May 11 seeking his comments. Mr. Seel made comments on three of the pages and faxed a copy back to Ms. Fast. Of particular significance is the wording of paragraph 3 of the draft agreement and the crossing out of certain words by Mr. Seel. Paragraph 3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V.C.P. shall be responsible for making arrangements to obtain the financing for the balance of the purchase price, namely SEVEN HUNDRED THIRTEEN THOUSAND ($713,000) DOLLARS by way of a first mortgage against the Property upon such terms and with lenders as V.C.P. in its discretion, acting reasonably, shall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Seel crossed out words in the statement so that it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V.C.P. shall be responsible for the balance of the purchase price, namely SEVEN HUNDRED THIRTEEN THOUSAND ($713,000)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Seel then faxed the draft agreement back to Ms. Fast. In the margin of the copy returned to Ms. Fast she wrote next to paragraph 3, "VCP will borrow to construct."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Seel says that he deleted the words from paragraph 3 as they left the impression that a mortgage of $713,000 was to be placed against the property when he had already arranged for mortgage financing of $1,200,000. $713,000 represented the balance of the purchase price after applying Herti's investment of $800,000 and the deposit of $80,000, but did not provide for financing for the cost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second draft was prepared by Ms. Fast. Mr. Seel says he did not receive a copy. Ms. Fast could not recall discussions of it with Mr. Seel. A third draft was then prepared and ultimately signed by Mr. Seel on behalf of V.C.P. at a meeting in Ms. Fast's office on May 13. Mr. See attended the meeting on behalf of Herti but, as described further below, did not sign the joint venture agreement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preparing the joint venture agreement Ms. Fast also acted as solicitor for V.C.P. in the purchase of the California Pointe property. In that role it was necessary for her to prepare a number of corporate, financial and land title documents. The documents were presented to Mr. Seel for signature at the May 13 meeting. Among the documents was an agreement between V.C.P. and Richview Custom Homes Inc. for Richview Custom Homes to act as general contractor in the construction of the houses and to be paid $10,000 upon the completion of each house. It was Mr. Seel's evidence that Mr. See and Herti knew about the agreement, seemed to agree with it and Mr. See was present in Ms. Fast's office when it was signed on May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3 of the joint venture agreement, which was presented to Mr. Seel and signed by him on May 13,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V.C.P. shall be responsible for payment of the balance of the purchase price, namely SEVEN HUNDRED THIRTEEN THOUSAND ($713,000) DOLLARS. V.C.P. shall be responsible for arranging financing by way of a mortgage (the "Mortgage") to be registered against the Property, to cover all constructions (sic) costs for development of the property upon such terms and with such lender as V.C.P., in its discretion, acting reasonably, shall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 3 is open to the interpretation that V.C.P. would contribute $713,000 of its own funds to the project and would finance only the construction costs by way of mortgage against the property. Mr. Seel says this is not what was agreed with Mr. Herti nor is it what Ms. Fast was instructed. Ms. Fast agrees that it was her understanding that V.C.P. was going to finance by way of mortgage both the balance of the purchase price and the construction costs. She says, however, that it was her understanding that Mr. Seel did not want it expressly stated in the agreement that the balance of the purchase price was to be obtained by mortgage against the joint venture property. Mr. Seel denies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13 Herti sought legal advice from its solicitor on the third draft of the joint venture agreement. Its solicitor contacted Ms. Fast and an amendment to the agreement was signed May 16, 1994, to be effective May 17. The amendment provided for three additions:</w:t>
      </w:r>
      <w:r>
        <w:rPr>
          <w:rFonts w:ascii="arial" w:eastAsia="arial" w:hAnsi="arial" w:cs="arial"/>
          <w:sz w:val="20"/>
          <w:lang w:val="en-US" w:eastAsia="en-US" w:bidi="ar-SA"/>
        </w:rPr>
        <w:cr/>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V.C.P. would hold the property in trust for both V.C.P. and Herti;</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Herti was permitted to register a mortgage against the property to secure its $800,000 investment but the mortgage would be subordinate "to any lender providing financing to V.C.P. as referred to in the foregoing paragraph 3";</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V.C.P. would make available for inspection by Herti all of the documents, agreements and accounts it was required to attend to under paragraph 4 of the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Seel was not opposed to the granting of the mortgage to Herti as he understood it would give Mr. See "peace of mind." Ms. Fast could not recall if she reviewed the amendments with Mr. Seel.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InstaFund mortgage proceeds and Herti's investment were provided to Ms. Fast on May 16. She proceeded to disburse them from her trust account to a number of recipients, the major payment being the balance of funds owing to the vendor of the property. Of significance in the other payments were repayments to Mr. Seel and Shelter Homes Inc. of the $80,000 deposit funds on the property purchase. In addition there was a payment to Mr. Seel's mother in law (Ms. Fast's mother) of a debt owed to her by Mr. Seel and the payment of another debt of Mr. Seel or one of his companies both unrelated to the joint venture. Ms. Fast was paid for her legal services rendered in relation to the joint venture but also for other legal services provided by her to Mr. Seel or his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Construction of the houses commenced in May 1994. By April 1996 five houses had been completed and sold. Ms. Fast acted as solicitor for the vendor in each sale. On completion of each sale $80,000 was paid to Herti in return for a partial discharge of its mortgage in relation to the particular lot sold. In addition Herti was paid what was calculated to be 50% of the profit from the sale of each house. On each of the first two houses Herti's profit was calculated to be about $22,000. The evidence of whether an amount for profit was paid on the other three houses is not clear, but on each sale Herti was at least paid $80,000 on its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mortgages to InstaFund had been renewed and were to mature May 1, 1996, but construction of the ten houses was not complete. In April Mr. Seel had proposed to Herti that V.C.P. refinance the project through InstaFund. Mr. Seel says that Mr. See initially agreed to the proposal and to giving the InstaFund refinancing priority over the Herti mortgage. The refinancing would have paid out the balance on the two InstaFund mortgages and provided additional construction funds of approximately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early May 1996 the solicitors for InstaFund sent the refinancing documents to Ms. Fast. Mr. Seel, however, refused to sign the priority agreement on behalf of Herti. On instructions from Mr. Seel, Ms. Fast wrote to Herti's solicitor May 8 advising that V.C.P. would hold Herti liable for the consequences resulting from the failure of the transaction to complete. Herti's solicitors replied that Herti had not agreed to the new financing arrangements. There is some evidence, however, that Mr. Seel and Mr. See had had some discussions about refinancing in the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V.C.P. continued with construction. In the meantime, Mr. Seel wrote a number of letters to Mr. See seeking his views on what should be done about the project as a result of the InstaFund mortgage coming due but received no replies.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18, 1996, a contract of purchase and sale was made for the sale of the sixth house. Ms. Fast, as she had done on previous sales, wrote to the solicitors for Herti seeking a discharge of Herti's mortgage as it related to the lot being sold. The letter enclosed a financial statement showing a loss in the sale of $15,215, of which one-half was allocated to Herti. Added to the loss allocated to Herti was the whole of the commitment fee and legal expense associated with the InstaFund refinancing which had been charged to V.C.P. when it failed to complete the refinancing. It amounted to $18,048. Mr. Seel took the position that the expense was the result of Herti's failure to give priority to the new mortgage when it had earlier promised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her letter to Herti's solicitors, Ms. Fast therefore undertook that she would not register the discharge until she forwarded the solicitors the sum of $54,344.44. This sum represented the $80,000 portion of the Herti mortgage attributable to the particular lot, minus the "Herti Industries Ltd. portion of loss." Herti refused to execute the discharge unless it was paid $80,000 plus an additional sum of $3,499 which was Herti's calculation of one-half of the profit said to have been made on the sale. The $3,499 was arrived at by removing from Ms. Fast's calculation the cost of the commitment fee and also by using a lower construction cost which Mr. See claimed was based on information that had been provided to him by V.C.P.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sale of the sixth house was nevertheless completed and Ms. Fast retained $80,000 in her trust account while negotiations took place with Herti to obtain a mortgage discharge in relation to the property. When negotiations failed, Ms. Fast recommended to Mr. Seel that V.C.P. take legal action against Herti. The initial objective was to "light a fire" under Mr. See and, if necessary, to seek a court order under the 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that would permit the cancellation of the Herti mortgage against the sale property upon payment into court of $80,000. For that purpose Ms. Fast referred Mr. Seel to Rees-Thomas &amp; Company, a law firm that shared space with Ms. Fast, but was not associated with her in the practice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September 16, 1996, Rees-Thomas &amp; Company, acting for V.C.P., issued a writ and statement of claim against Herti. V.C.P. sought damages for breach of contract and mortgage cancellation relief under the Land Title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October 16 Herti filed a statement of defence and a counterclaim against both V.C.P. and Mr. Seel. Herti alleged that V.C.P. and Mr. Seel had breached fiduciary, statutory and contractual obligations under the joint venture agreement. Among the particulars of the breaches was an allegation that V.C.P. was to contribute $713,000 cash for the purchase of the land and had failed to do so. A further particular was that V.C.P. had diverted joint venture funds to other business of V.C.P. or other purposes unrelated to the joint venture. On November 26 Herti obtained an ex parte injunction restraining Mr. Seel from dealing with any of his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Fast did not give V.C.P advice about the fiduciary obligations imposed upon it in relation to the use of joint venture funds. There was evidence from Mr. Hurst, however, of Mr. Seel's practice in relation to the use of corporate funds in matters relating to his companies prior to the joint venture. Mr. Hurst was the accountant for Mr. Seel and his companies from 1992 onward. It was Mr. Seel's common practice to borrow or loan money from one company for use in another company, as needed, and also to loan money from himself or someone he had borrowed money from to one of his companies. Mr. Seel or someone working for him always recorded the transactions. Mr. Hurst would sort out the loans at the time of preparing annual financial statements. The evidence is not clear that Ms. Fast was aware of these practices although she was aware of certain loans made to Mr. Seel and his companies by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Mr. Hurst's evidence that joint venture funds used for non-joint venture purposes were all repaid during the active time of the project. It is also his opinion that at the time of the sale of the sixth house the various companies and relatives were in a net position of V.C.P. owing them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late 1996 InstaFund commenced a foreclosure action against the remaining 4 properties. V.C.P. and Mr. Seel had made a decision on advice from Mr. Rees-Thomas to discontinue the interest payments which to that point they had been making on the mortgages and to let the foreclosure action proceed. An order for sale followed and the properties were sold in March 1997. After payment of InstaFund and foreclosure related expenses, there remained a balance of $153,442 which was paid to Herti on its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Steps were taken to advance V.C.P.'s action against Herti and a trial date was set for July 6, 1998. In December 1997 Mr. Seel failed in an application to set aside the injunction. An accounting of the project for the period of May 1994 to December 1997 was prepared in June 1998 by Mr. Hurst. It was Mr. Hurst's opinion that the minimum amount lost by Herti at December 31, 1997, was the balance of its loan to V.C.P. in the amount of $119,327.69. Mr. Hurst calculated that at December 1997 V.C.P.'s loss on the joint venture was $421,557 including the $119,328 loan balance owed to Herti.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series of negotiations took place between the parties to the action culminating in a settlement agreement in late June 1998 in which V.C.P. and Mr. Seel agreed to pay Herti $185,000.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Rees-Thomas, counsel for V.C.P. and Mr. Seel in the Herti action, gave evidence in the trial before me. That evidence included a review of the legal research he had caused to have carried out and of the examinations for discovery which had taken place. In his assessment of the Herti action Mr. Rees-Thomas concluded that Mr. Seel's use of certain V.C.P. funds for purposes other than the joint venture constituted a breach of trust even though the funds were subsequently repaid to V.C.P. He concluded further that the wording of the joint venture agreement was open to an interpretation that V.C.P. was obliged to put up $713,000 of its own funds rather than borrowing it as a debt of the joint venture. In recommending a settlement of $185,000 to his clients he took into account the $119,328 balance owing on the Herti mortgage and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Following settlement of the Herti action, V.C.P. and Mr. Seel commenced action against Ms. Fast on February 16,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Turning to the liability of Ms. Fast, I recognize that the solicitor/client relationship is a fiduciary one and can give rise to duties which go beyond those which exist in the law of contract and of tort. I am satisfied that on the facts of this case, however, the determination of liability of Ms. Fast is to be made based upon the application of tort law principles. At its heart the evidence raises questions of whether Ms. Fast in drafting and advising her client on the joint venture agreement met the standard of care of a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Fast is said to be demonstrated in two ways: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drafting of the joint venture agreement and in particular its provisions dealing with the contribution of V.C.P. and with the manner in which profits and losses were to be shared;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failure to advise and warn Mr. Seel and V.C.P. that they had certain fiduciary and trust obligations attached to their use of joint venture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Seel and V.C.P. say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Fast in her drafting of the joint venture agreement and her failure to warn them about the use of joint venture funds, the joint venture would have completed and they would not have lost money. In addition they say they would not have had to pay settlement funds to Herti.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issues to be decided are: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Fast negligent?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did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loss to V.C.P. and Mr. Seel?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V.C.P. or Mr. Seel?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Ms. Fast was negligent, what is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Ms. Fast was required to bring reasonable care, skill and knowledge to the drafting of the joint venture agreement. The standard of care she was to meet was that of a reasonably competent solicitor, (Central Trust Co. v. Rafuse, </w:t>
      </w:r>
      <w:hyperlink r:id="rId900"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V.C.P. and Mr. Seel referred to a number of provisions and omissions in the joint venture agreement which they say lead to the conclusion that that agreement was negligently drafted. In my view, however, the issue to be decided is not whether in a general way the agreement was negligently drafted. To succeed, the plaintiffs must point to the presence or absence of particular provisions which demonstrate a breach of the standard of care and which caused a loss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an example of the distinction, I note that counsel for V.C.P. and Mr. Seel submit that a joint venture agreement should contain a dispute resolution provision. I am not satisfied that the absence of such a clause in this agreement caused a loss to V.C.P. or Mr. Seel. That would be the result even if there were evidence that the standard in the profession is to include such a provision (which there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Similarly, while paragraph 7 of the agreement dealing with the sharing of profits and losses led to a dispute as to its interpretation, I am not satisfied that the plaintiffs have proven that it breached the standard of care of a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Fast's drafting of paragraph 3 of the joint venture agreement, however, creates at least a substantial ambiguity as to how the $713,000 balance of the purchase price was to be raised. The fact that the second sentence in paragraph 3 expressly provides for the construction costs to be financed "by way of a mortgage" where the first sentence makes V.C.P. "responsible for payment" of the balance of the purchase price leads to a reasonable interpretation that only the construction costs would be financed by way of mortgage. Yet Ms. Fast was aware that her client's intention was to provide for both expenses by way of mortgage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Fast says that Mr. Seel was aware of the ambiguity and did not wish to clarify it. Mr. Seel denies it. Ms. Fast has no note of that discussion or of any advice she might have given Mr. Seel of the risk of not making paragraph 3 clearer. The drafting necessary to overcome the ambiguity is not complex. Even if Mr. Seel did not wish to clarify the ambiguity, in the face of the risk to the client flowing from not clarifying paragraph 3, a warning of the risk would have been prudent. I recognize that expert evidence as to the standard of the profession on this matter was not called. I am satisfied, however, that the plaintiff sufficiently demonstrated that a reasonably prudent solicitor would not have left the clause on borrowing so open to misinterpretation, at least without clear and informed instructions from the client. I do not find that such instructions were given to Ms. Fast by V.C.P. and I conclude that in drafting paragraph 3 she failed to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turn next to the allegation that Ms. Fast failed to advise or warn V.C.P. and Mr. Seel that they had certain fiduciary and trust obligations attached to their use of joint venture funds. These obligations likely existed in the original joint venture agreement. In any event, they were clearly made part of the agreement in the May 17, 1994, amendments to the agreement following Herti's consultation with its solicitor. In particular, it was made clear that V.C.P. was to hold the property in trust for itself and Herti.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Ms. Fast did not turn her mind to the implications of the amendment and the duties it imposed upon V.C.P. although it was raised squarely by the request for the amendment from Herti's solicitor. Ms. Fast did not advise or warn Mr. Seel of V.C.P.'s obligations in relation to joint venture funds and that they could not be used for non-joint venture purposes. The amendment to the agreement imposed legal obligations upon V.C.P. which it and Mr. Seel did not understand. I have found that Ms. Fast did not have particular knowledge of Mr. Seel's practice of transferring funds back and forth between his companies and others but I do not think that having such knowledge was a prerequisite to a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Graybriar Indust. Ltd. v. Davis &amp; Co. </w:t>
      </w:r>
      <w:hyperlink r:id="rId1077"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(S.C.), Thackray J. (as he then was) considered both the duty of a solicitor to warn and whether expert evidence was needed. He cited a number of decisions and found that the solicitor was negligent when the solicitor failed to explain to the client exactly what was portrayed by the state of title of the land there in issue. At 179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Income Trust Co. v. Watson (1984), 26, B.L.R. 228, </w:t>
      </w:r>
      <w:hyperlink r:id="rId1078" w:history="1">
        <w:r>
          <w:rPr>
            <w:rFonts w:ascii="arial" w:eastAsia="arial" w:hAnsi="arial" w:cs="arial"/>
            <w:i/>
            <w:color w:val="0077CC"/>
            <w:sz w:val="20"/>
            <w:u w:val="single"/>
            <w:shd w:val="clear" w:color="auto" w:fill="FFFFFF"/>
            <w:lang w:val="en-US" w:eastAsia="en-US" w:bidi="ar-SA"/>
          </w:rPr>
          <w:t>35 R.P.R. 71</w:t>
        </w:r>
      </w:hyperlink>
      <w:r>
        <w:rPr>
          <w:rFonts w:ascii="arial" w:eastAsia="arial" w:hAnsi="arial" w:cs="arial"/>
          <w:color w:val="000000"/>
          <w:sz w:val="20"/>
          <w:lang w:val="en-US" w:eastAsia="en-US" w:bidi="ar-SA"/>
        </w:rPr>
        <w:t xml:space="preserve"> (Ont. H.C.), there is an annotation which suggests that courts should be very cautious in imposing duties on solicitors to warn clients of business risks unless the risks are entirely or substantially legal risks of which it would be unreasonable to presume the client would be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Thackray J. also found that the absence of expert evidence did not prevent the court from making a determination of liability in the case. This was so because in a number of decisions the courts had established a duty of care which includes a duty to warn a client when the solicitor's special knowledge of the law, the particular facts of the case, and their implications for the client called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some evidence that Mr. Seel had discussed with Herti at least on one occasion his intention to use V.C.P. funds for purposes other than the joint venture and that Herti through Mr. See had agreed, so long as the funds were paid back. In spite of this evidence I am satisfied that Mr. Seel did not understand the nature of his fiduciary duties in relation to the use of joint venture funds. These were legal duties and not just business risks to V.C.P. I conclude that Ms. Fast was negligent and in breach of her duty to explain to V.C.P. its legal obligations in respect of the use of joint venture funds that were created by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summary, I am satisfied that Ms. Fast was in breach of the standard of care required of a reasonably competent solicitor in two ways: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draft paragraph 3 of the joint venture agreement in a form which made it clear that V.C.P. was raising both the balance of the purchase price of the property and the cost of construction by way of a mortgage against the property;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advise and warn V.C.P. and Mr. Seel of their fiduciary duties in relation to the use of joint venture project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Fast says that the plaintiffs were also negligent in a number of ways. She says that if, as Mr. Seel testified, he did not read the final version of the agreement prior to its execution, such a failure on a major project such as this is negligent. She says that, in any event, Mr. Seel admitted in his examination for discovery in the Herti action that he had read the agreement and ought to have been aware of his obligations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Seel had read the first draft of the agreement and noted changes. Ms. Fast was aware from her discussions with Mr. Seel that V.C.P. intended to finance by way of mortgage both the balance of property purchase and the construction costs. I do not think that Mr. Seel was in breach of a duty to do more in relation to reviewing this part of the agreement than he did. In addition, given the context of the question on the examination for discovery in the Herti action noted above, I do not find that Mr. Seel's credibility was sufficiently undermined to alter 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Fast says further that the plaintiffs bear some responsibility for not raising with Herti V.C.P.'s use of joint venture funds for other purposes. In her submission the evidence is that in October or November 1994 Mr. Seel did raise with Herti a plan to use V.C.P. funds for a purpose unrelated to the joint venture but to repay the money. Ms. Fast says that this is cogent evidence that Mr. Seel knew or ought to have known that similar discussions ought to have occurred in May 1995. I have held otherwise in my discussion of Ms. Fast's duty to warn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further evidence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Fast points to the plaintiffs' failure to draft a proper construction budget and to Mr. Seel's extended periods of time away from the project in 1995/1996. I have considered this issue in the context of causation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To succeed in their claim the plaintiffs are required to prove that Ms. Fast's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damage which is alleged. They say that as a result of Ms. Fast's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necessary to settle the action commenced against Herti by paying a substantial amount on Herti's counterclaim. They also say that Ms. Fast's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collapse of the joint venture resulting in foreclosure on the remaining property and the loss of substantial amounts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finding of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subject to the principles of remoteness, forseeability and intervening cause determined as at the time of the breach of duty. In addition, Snell v. Farrell, </w:t>
      </w:r>
      <w:hyperlink r:id="rId9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other cases point to the statement of Lord Salmon in Alphacell Ltd. v. Woodward, [1972] 2 All E.R. 475 (H.L.) at 490 that causation is "essentially a practical question of fact which can best be answered by ordinary common sense rather than abstract metaphysical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loss claimed here arises in two ways: the loss incurred in settling the counterclaim by Herti, and the losses flowing from the collapse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Herti's counterclaim related to the two matters in which I have found Ms. Fast failed to meet the requisite standard of care. In essence, the counterclaim was that V.C.P had breached the joint venture agreement in not contributing $713,000, and had breached a fiduciary duty to Herti in misusing joint venture funds. I conclude that the claim by Herti was forseeable at the time of Ms. Fast's breach of duty and the breach caused damage to V.C.P. I do not think that the fact that V.C.P. initiated the action and the fact that Herti's claim arose as a counterclaim in the action is an event which alters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issue of whether Ms. Fast's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caused the damage related to the collapse of the project and the losses associated with it is problematic. The major event which caused a breakdown between V.C.P. and Herti was their dispute over refinancing the InstaFund mortgage, in particular whether Herti would grant priority to the Instafund mortgage. The dispute began in about May 1996. It preceded by at least two months the dispute which led to the lawsuit by V.C.P. against Herti. The project had been underway for approximately two years and a number of houses had been completed. The evidence indicates that Herti was prepared to give priority to Instafund if the additional financing did not exceed $100,000. V.C.P. took the position that $150,000 was needed. Mr. Seel made a number of written pleas to Herti to engage in discussion about refinancing which went unanswered and no agreement on refinancing was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financial arrangements with Instafund, including the term of the mortgage, had been negotiated by Mr. Seel on behalf of V.C.P. Ms. Fast did not participate in the arrangements other than in the legal aspects relating to the registration and documentation of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further evidence that there were financial and business concerns having an impact on the project including a declining real estate market by mid-1996, the fact that V.C.P. had no particular plan for the date of completion of the project, the absence of a detailed project budget, and reduced access to the lots by potential buyers while a nearby road was under construction by the City of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my view, the failure of V.C.P. and Herti to reach an agreement on continued financing of the project in 1996 was the proximate cause of the project's failure. The loss which then occurred was not a loss which flowed from Ms. Fast's breach of duty. The event was not reasonably forseeable at the time of the preparation of the joint venture and is too remote to be characterized as having been caused by Ms. Fast's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conclude that Ms. Fast's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cause of the failure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plaintiffs have submitted that if V.C.P. had been required to contribute $713,000 there would have been no point in entering into the agreement with Herti and they would not have done so. They have referred to Rainbow Industrial Caterers Ltd. v. Canadian National Railway Co., </w:t>
      </w:r>
      <w:hyperlink r:id="rId1079"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xml:space="preserve"> and submit that on the authority of that decision they should be entitled to recover damages assessed on the basis of all of the losses they incurred in entering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Rainbow Industrial Caterers was a case of negligent misrepresentation by the defendant and it considered the evidentiary burden which exists in such cases. The court held that the ordinary incidence of proof is reversed and the defendant has the burden of displacing the plaintiff's position that it would not have entered into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is not a case of negligent misrepresentation. I do not think the decision has application in the instant case. The applicable question in the present case is what position would V.C.P. and Mr. Seel have been in had Ms. Fast not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 result of the conclusions I have reached on causation, I find that Ms. Fast is not liable for the claimed V.C.P. losses from the joint venture other than those arising in the context of the lawsuit with Herti and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losses flowing from the breach of duty by Ms. Fast are those related to the financial contribution which V.C.P. was required to make to the joint venture and to its breach of fiduciary duty in using joint venture funds for extraneous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calculation of those losses made by Mr. Rees-Thomas in negotiating settlement of the Herti action was arrived at by taking into account a number of factors. One factor was the $119,327 remaining on the Herti mortgage. Others were a further amount for interest and costs, a recognition of some liability for misuse by V.C.P. of some joint venture funds, and the risks and expense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determining whether Ms. Fast should be held liable for the whole of the settlement amount it is useful to consider Biggin &amp; Co. et al v. Permanite Ltd., [1951] 2 All E.R. 191 (C.A.). In that case the plaintiffs had settled a claim by the government for GBP 43,000 and certain costs. They then claimed that amount as damages against the defendants. The Court of Appeal gave judgment to the plaintiffs. At 196 Somervell L.J.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in my opinion, encourages reasonable settlements, particularly where, as here, strict proof would be a very expensive matter. The question, in my opinion, is: What evidence is necessary to establish reasonableness? I think it is relevant to prove that the settlement was made under legal advice. The client himself could do that, but I do not think that the advisers would normally be relevant or admissible witnesses. I say "normally," for it may be in special cases that they might be. The plaintiff must, I think, lead evidence, which can be cross-examined to, as to facts which the witnesses themselves prove and as to what would probably be proved if, as here, the arbitration had proceeded, so that the court can come to a conclusion whether the sum paid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Ms. Fast says that the settlement is not reasonable as it relates to the liability of Ms. Fast. He notes that a portion of the settlement amount is based upon Mr. Seel being in breach of fiduciary duties to Herti. He submits, as I understand his position, that the claim against Ms. Fast is in tort and not for breach of fiduciary duty. The effect of making Ms. Fast liable for the whole of the settlement, however, would impose indirectly upon her liability for a breach of fiduciary duty. In my view that position is not correct. If, as I have found, Ms. Fast was negligent in failing to advise and warn V.C.P. and Mr. Seel of their fiduciary obligations, the measure of damages is based upon restoring the plaintiffs to the position in which they would have been had the tort not been committed. Although the amount paid in settlement included an amount relating to Mr. Seel's breach of fiduciary obligations, the measure as it relates to Ms. Fast is nevertheless the amount necessary to restore the plaintiffs to the position in which they would have been had Ms. Fast not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on the evidence that the settlement with Herti was reasonable. A major portion of it represented the balance owing under the Herti mortgage. It may be that the actual loss flowing from Mr. Seel's breach of fiduciary duty to Herti was not fully assessed, but, given the factors that had to be weighed against the alternative of going to trial, I would not second-guess counsel for the plaintiffs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Counsel for Ms. Fast submits that, even if Ms. Fast is liable, there must be deducted from this amount the non-refundable deposit of $80,000 paid upon purchasing the land for the project. He says that Mr. Seel, through his own actions, had placed himself in a position where, absent completion of the purchase on May 16, 1994, there was "every probability" that the deposit would be lost. While I recognize that had Ms. Fast been found liable for all of the losses claimed by the plaintiffs such an argument would require consideration, I do not think it is applicable to the settlement amount of $185,000. In my view, the settlement amount represents the plaintiffs' loss directly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whether $713,000 was to be paid (i.e. the amount net of the deposit of $80,000) and to the failure to advise and warn V.C.P. about its fiduciary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conclude that Ms. Fast is liable for the whole of the settlement amount of $185,000.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V.C.P. and Mr. Seel incurred legal expenses of $40,470.79 in the Herti action and claim them from Ms. Fast. It is foreseeable that,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Fast, the plaintiffs would be faced with legal expense in defending a claim by Herti. What is unusual about this case is that the plaintiffs initiated the action against Herti. They received independent legal advice to do so. It is speculative to say whether Herti would have commenced an action had one not already been commenced against it. A portion of the legal expense in any event relates to V.C.P.'s own action against Herti. I conclude that the plaintiffs are entitled to one-half of their claimed legal expense from Ms.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V.C.P and Mr. Seel also claim from Ms. Fast the interest cost on the money borrowed to pay Herti the settlement amount. It was financed by way of a loan to Richview Investments Inc. Richmond Savings Credit Union. The amount claimed as of May 31, 2001 is $52,537.43. I am not satisfied that this portion of the claim is made out as a loss of V.C.P or Mr. Seel. In my view, however, the plaintiffs are entitled to pre-judgment interest under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from the date of the Herti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Seel also seeks an award of general damages. He says that he suffered personally as a result of Ms. Fast's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has had to sell his family home, borrow money to pay the settlement amount and suffer discomfort and disruption in his personal life. In addition he says that in the Herti action a Mareva injunction was obtained against him and in his December 11, 1997 Reasons for Judgment, Melnick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appears to be fairly strong prima facie evidence that Mr. Seel acted in an untrustworthy manner in his dealing with the assets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support of this claim counsel referred to Paton v. Shaw </w:t>
      </w:r>
      <w:hyperlink r:id="rId1080" w:history="1">
        <w:r>
          <w:rPr>
            <w:rFonts w:ascii="arial" w:eastAsia="arial" w:hAnsi="arial" w:cs="arial"/>
            <w:i/>
            <w:color w:val="0077CC"/>
            <w:sz w:val="20"/>
            <w:u w:val="single"/>
            <w:shd w:val="clear" w:color="auto" w:fill="FFFFFF"/>
            <w:lang w:val="en-US" w:eastAsia="en-US" w:bidi="ar-SA"/>
          </w:rPr>
          <w:t>(1995), 134 Nfld. &amp; P.E.I.R. 271</w:t>
        </w:r>
      </w:hyperlink>
      <w:r>
        <w:rPr>
          <w:rFonts w:ascii="arial" w:eastAsia="arial" w:hAnsi="arial" w:cs="arial"/>
          <w:color w:val="000000"/>
          <w:sz w:val="20"/>
          <w:lang w:val="en-US" w:eastAsia="en-US" w:bidi="ar-SA"/>
        </w:rPr>
        <w:t xml:space="preserve"> (P.E.I.S.C.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assessing this part of Mr. Seel's claim I am mindful that, for most individuals, being a party to litigation is a distressing and disrupting experience. It is undoubtedly more so when the parties to an action are related to one another. The evidence in this case indicates that there were a number of causes for the discomfort and anxiety experienced by Mr. Seel. Among them were the difficulties Mr. Seel had with Herti in seeking to refinance the joint venture. This is evident in Mr. Seel's notes and letters to Mr. See which are in evidence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fact that a Mareva injunction was granted on the application of Herti and that the Court found circumstances present which formed the basis for granting such an order is not, in my view, a basis for assessing general damages against Ms. Fast. I note that in his reasons of December 11, 1997, Melnick J.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I make that observation in the context of these reasons only, that is, in the context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not find in the facts of this case sufficient evidence that the conduct of Ms. Fast or its impact upon Mr. Seel supports an order of general damages and I decline to make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summary, the plaintiffs are entitled to judgment against Ms. Fast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Herti settlement amount of $185,000;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one-half of the plaintiffs legal costs of $40,470 in the Herti action;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pre-judgment interest on these two amounts from the date of settlement of the Herti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Seel's claim for general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would appear to me that costs should follow the event. Counsel did not have the opportunity, however, to make submissions. In the event that counsel cannot agree on this matter it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1"/>
          <w:headerReference w:type="default" r:id="rId1082"/>
          <w:footerReference w:type="even" r:id="rId1083"/>
          <w:footerReference w:type="default" r:id="rId1084"/>
          <w:headerReference w:type="first" r:id="rId1085"/>
          <w:footerReference w:type="first" r:id="rId10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87" w:history="1">
        <w:r>
          <w:rPr>
            <w:rFonts w:ascii="arial" w:eastAsia="arial" w:hAnsi="arial" w:cs="arial"/>
            <w:b/>
            <w:bCs/>
            <w:i/>
            <w:color w:val="0077CC"/>
            <w:kern w:val="32"/>
            <w:sz w:val="28"/>
            <w:szCs w:val="32"/>
            <w:u w:val="single"/>
            <w:shd w:val="clear" w:color="auto" w:fill="FFFFFF"/>
            <w:lang w:val="en-US" w:eastAsia="en-US" w:bidi="ar-SA"/>
          </w:rPr>
          <w:t>Adams v. British Columbia, [2013] B.C.J. No. 627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25-28 and March 4-6,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S134997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627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557</w:t>
      </w:r>
    </w:p>
    <w:p>
      <w:pPr>
        <w:spacing w:before="120" w:line="260" w:lineRule="atLeast"/>
        <w:rPr>
          <w:lang w:val="en-US" w:eastAsia="en-US" w:bidi="ar-SA"/>
        </w:rPr>
      </w:pPr>
      <w:r>
        <w:rPr>
          <w:rFonts w:ascii="arial" w:eastAsia="arial" w:hAnsi="arial" w:cs="arial"/>
          <w:color w:val="000000"/>
          <w:sz w:val="20"/>
          <w:lang w:val="en-US" w:eastAsia="en-US" w:bidi="ar-SA"/>
        </w:rPr>
        <w:t>Between Larry David Adams, Plaintiff, and Her Majesty the Queen in Right of the Province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5" style="position:absolute;z-index:2517012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8" w:name="Keywords_40"/>
      <w:bookmarkEnd w:id="278"/>
      <w:r>
        <w:rPr>
          <w:rFonts w:ascii="arial" w:eastAsia="arial" w:hAnsi="arial" w:cs="arial"/>
          <w:b/>
          <w:color w:val="000000"/>
          <w:sz w:val="20"/>
          <w:lang w:val="en-US" w:eastAsia="en-US" w:bidi="ar-SA"/>
        </w:rPr>
        <w:t>Civil litigation — Civil procedure — Settlements — Releases — Determination of whether a release operated as a complete bar to the proceedings — The plaintiff Adams claimed that he was subject to sexual abuse while he attended the Jericho Hill School for the Deaf and Blind — In May 2000, Adams received $60,000 from the defendant Province and executed a release of all claims following his participation in the Jericho Individual Compensation Plan — Adams submitted that the release was ineffective — The terms of the release were explained to Adams and he had the skills to ask for further clarification if needed — The release was binding.</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Contracts — Mistake — Non est factum — Determination of whether a release operated as a complete bar to the proceedings — The plaintiff Adams claimed that he was subject to sexual abuse while he attended the Jericho Hill School for the Deaf and Blind — In May 2000, Adams received $60,000 from the defendant Province and executed a release of all claims following his participation in the Jericho Individual Compensation Plan — Adams submitted that the release was ineffective — The terms of the release were explained to Adams and he had the skills to ask for further clarification if needed — The release was binding.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9" w:name="Case Summary_40"/>
            <w:bookmarkEnd w:id="27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Determination of whether a release operated as a complete bar to the proceedings. The plaintiff Adams was born deaf and attended the Jericho Hill School for the Deaf and Blind from 1962 until 1975. He claimed that he was subject to sexual abuse at the school and alleged that the defendant Province, as overseer of the school's operation, had a duty to protect him from sexual and physical assault. In May 2000, Adams received $60,000 from the defendant and executed a release of all claims following his participation in a program known as the Jericho Individual Compensation Plan. The payment and signing of the release were in respect of the same alleged sexual assaults which formed the subject matter of this lawsuit. Adams took the position that he did not understand the effect of the release. He submitted that the release was ineffective as against him and that the doctrine of non est factum vitiated the otherwise binding effect of the release. </w:t>
            </w:r>
            <w:r>
              <w:rPr>
                <w:lang w:val="en-US" w:eastAsia="en-US" w:bidi="ar-SA"/>
              </w:rPr>
              <w:cr/>
            </w:r>
          </w:p>
          <w:p>
            <w:pPr>
              <w:spacing w:before="120" w:line="260" w:lineRule="atLeast"/>
              <w:ind w:left="240"/>
              <w:jc w:val="both"/>
              <w:rPr>
                <w:lang w:val="en-US" w:eastAsia="en-US" w:bidi="ar-SA"/>
              </w:rPr>
            </w:pPr>
            <w:bookmarkStart w:id="280" w:name="Holdings of Court_35"/>
            <w:bookmarkEnd w:id="280"/>
            <w:r>
              <w:rPr>
                <w:rFonts w:ascii="arial" w:eastAsia="arial" w:hAnsi="arial" w:cs="arial"/>
                <w:color w:val="000000"/>
                <w:sz w:val="20"/>
                <w:lang w:val="en-US" w:eastAsia="en-US" w:bidi="ar-SA"/>
              </w:rPr>
              <w:t>HELD: The release was binding and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Adams was able to communicate with those involved in the compensation program with the aid of an ASL interpreter. The terms of the release were explained to Adams and he had the skills to ask for further clarification if needed. Even if the Court were to accept that Adams did not understand the full import of the release, he could not avoid its consequences based upon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make proper inquiry as to the consequences of the document which he willingly signed. </w:t>
            </w:r>
            <w:r>
              <w:rPr>
                <w:lang w:val="en-US" w:eastAsia="en-US" w:bidi="ar-SA"/>
              </w:rPr>
              <w:cr/>
            </w:r>
          </w:p>
          <w:p>
            <w:pPr>
              <w:rPr>
                <w:lang w:val="en-US" w:eastAsia="en-US" w:bidi="ar-SA"/>
              </w:rPr>
            </w:pPr>
          </w:p>
        </w:tc>
      </w:tr>
    </w:tbl>
    <w:p>
      <w:pPr>
        <w:jc w:val="both"/>
        <w:rPr>
          <w:lang w:val="en-US" w:eastAsia="en-US" w:bidi="ar-SA"/>
        </w:rPr>
      </w:pPr>
      <w:bookmarkStart w:id="281" w:name="Counsel_41"/>
      <w:bookmarkEnd w:id="28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6" style="position:absolute;z-index:2517524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R.A. Wattie.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L. Lee, T. Callan.</w:t>
      </w:r>
      <w:r>
        <w:rPr>
          <w:lang w:val="en-US" w:eastAsia="en-US" w:bidi="ar-SA"/>
        </w:rPr>
        <w:cr/>
      </w:r>
    </w:p>
    <w:p>
      <w:pPr>
        <w:spacing w:after="240"/>
        <w:rPr>
          <w:lang w:val="en-US" w:eastAsia="en-US" w:bidi="ar-SA"/>
        </w:rPr>
      </w:pPr>
      <w:bookmarkStart w:id="282" w:name="Judgment_41"/>
      <w:bookmarkEnd w:id="282"/>
      <w:r>
        <w:pict>
          <v:line id="_x0000_s1237" style="position:absolute;z-index:25180364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3" w:name="J.S. HARVEY J."/>
            <w:bookmarkEnd w:id="283"/>
            <w:r>
              <w:rPr>
                <w:rFonts w:ascii="arial" w:eastAsia="arial" w:hAnsi="arial" w:cs="arial"/>
                <w:b/>
                <w:color w:val="000000"/>
                <w:sz w:val="30"/>
                <w:lang w:val="en-US" w:eastAsia="en-US" w:bidi="ar-SA"/>
              </w:rPr>
              <w:t>J.S. HARVEY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Larry Adams, claims he was subject to sexual abuse at the Jericho Hill School for the Deaf and Blind ("Jericho") during his years as a resident student from 1962 until 1975.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while attending Jericho, the defendant, as overseer of the school's operation, owed the plaintiff a duty to protect him from sexual and physical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May 2000, the plaintiff received $60,000 from the defendant and executed a release of all claims (the "Release") as against Her Majesty the Queen in Right of the Province of British Columbia ("HMTQ") following his participation in a program known as the Jericho Individual Compensation Plan ("JICP"). The payment and signing of the Release were in respect of the same sexual assaults alleged which is the subject matter of this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preliminary matter, I am asked to determine whether the Release operates as a complete bar to these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says that the Release is ineffective as against him and asserts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vitiates the otherwise binding effect of the Release he acknowledges having 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born deaf. He is 55 and is the oldest of three siblings. Neither his father nor his mother learned to sign. When he was 4 3/4 years of age, he began attending Jericho as a day student.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small and slim for his age. He attended Jericho as a day student for 18 months while his parents lived in Richmond. When his father was transferred to the island for work, the plaintiff began boarding at Jericho. He returned home during the summer breaks and during Christmas and Easter holidays.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Not all of the teachers at Jericho taught using sign language. Some teachers signed, some did not. It was a less than perfect education for the plaintiff. The plaintiff alleges that he began to be sexually abused commencing at age nine. He states thereafter his concentration deteriorated such that his studies were affected. He performed poorly in math, science and English. Instead of providing him with books to read, his teachers gave him picture books with simple words describing their contents.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asserts in his pleadings that from age nine on, he was both sexually assaulted and physically assaulted by various older students of the school. Abuse continued on, says the plaintiff, until he was 15 or 16 years of age. I should note that these claims remain allegations. Given the narrow focus of this inquiry, the evidence at trial did not detail the allegations of sexual abuse contained in the statement of claim nor have they been proven.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Jericho Individual Compensation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early 1990s, the province of British Columbia retained special counsel, Thomas Berger, Q.C., to investigate allegations of systemic sexual abuse at Jericho throughout the period of the 1980s. In or around 1992, Mr. Berger prepared a report containing recommendations that the province set up an alternate dispute resolution process whereby the province could compensate former students of Jericho for the claims of alleged sexual abuse. In his report, Mr. Berger suggested compensation ranging from $3,000 to $60,000.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compliance with that recommendation, the province created the JICP. It began intake of claimants in late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program was created with input from the deaf and blind community and sought to resolve disputes arising from the alleged abuse at Jericho in a confidential and supportive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protocol was established whereby claimants would attend at JICP's offices and work with a compensation claims consultant fluent in American Sign Language ("ASL") so as to work up the data necessary to present their to the claim to the Compensation Panel (the "Panel"). The claimant and the consultant collaborated to create the claim. The two would meet and the claimant's 'story' would be reduced to writing. The claimant then approved the report and it was presented to the Panel.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individuals hired as compensation consultants, and the criteria for their hire, were determined through consultation with individuals in the deaf/blind community. The compensation consultants who were hired had to be fluent in ASL, have excellent interview skills, have experience with the deaf community, not be part of the local deaf community and have experience or education in the field of sexual abuse. Their duties were to act in a neutral fashion assisting claimants present their claims to the Panel.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Once created, the claim was then submitted to the Panel for consideration. The Panel offered an award which was open for acceptance by the claimant. If unsatisfied with the amount of the award, the claimant could apply for reconsideration upon submission of additional information. At this stage of the process, a claimant often appeared in person before the Panel with his or her consultant. The Panel could, upon reconsideration, increase the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Participation in the program was voluntary; claimants were advised by the consultants that they could participate in the program and, if unsatisfied with the amount suggested as the appropriate award, opt out of the program and continue with any legal action they deemed preferable. Other legal options included an individual suit against the government or, as time progressed, joining a class action which had been initiated against the provincial government (the "class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JICP had minimal evidentiary requirements to establish a claim. No corroboration was required to prove the claim and the sexual assaults needn't be proven on the balance of probabilities as required in a civil action. Instead, claims were assessed on the basis that they were reasonably likely to have occurred. Of the some 400 claims that were undertaken by the JICP, approximately 360 of them resulted in awards within the recommended range set by Mr. Berger.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program offered an additional incentive to claimants with respect to the receipt of social assistance. Normally, the rules governing receipt of social assistance required that any lump sums, including awards for damages for assault, physical or sexual, would be an impediment to the ongoing receipt of social assistance until the award had been spent by the claimant. Money paid out under the JICP was exempt from such consideration. Claimants could receive an award without it affecting their entitlement to receive social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Additionally, the JICP provided the claimants with access to independent legal advice, interpreters and financial planners without cost.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any time during the process, a claimant was entitled to free legal advice from a lawyer of their choice to explain the legal ramifications of accepting a JICP award. To facilitate access to legal services, the JICP created a list of lawyers for claimants who did not already have a lawyer. The list was made up of lawyers with backgrounds in providing legal counsel to victims of sexual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after presentation of their claim to the Panel, a claimant was dissatisfied with the award which had been recommended, the claimant had the option of opting out of the program and seeking redress in other forums or, alternatively, to appeal the decision of the Panel. In an appeal the claimant would rework their submissions and appear before the Panel for reconsideration of the amount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JICP went to great lengths to advertise itself in B.C. and outside the province. A website was created and brochures and newsletters were distributed. Information meetings were held and videos in ASL regarding the Berger report were created. These were aired on television and distributed throughout the deaf community.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Jane Morley, a member of the three-member Panel which heard the claims, the JICP was a unique process which allowed complainants to tell their story in their own language in a confidential setting. There was no requirement to face any of the alleged abusers, nor any cross-examination on the submissions they made. Claims were to be treated with respect and dignity.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Those claimants identified by the consultants as having mental disabilities or communication skills so poor that they could not understand the process, were placed on a special track and dealt with differently than the mainstream claimant.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Entry into the program didn't require accepting the award the Panel determined was appropriate. If a claimant was dissatisfied with the suggested award or required forms they could opt out of the process before they received any compensation. However, to receive money from the JICP, the claimant was required to sign the Release such that no further proceedings could be brought against the province in respect of sexual abuse which occurred at Jericho. Acceptance of JICP money did not prevent further claims for the same events as against the perpetrators of the sexual or physical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Parallel to the JICP, a class action had been commenced in British Columbia against the province. The class action was certified by the British Columbia Court of Appeal in November 1999: </w:t>
      </w:r>
      <w:r>
        <w:rPr>
          <w:rFonts w:ascii="arial" w:eastAsia="arial" w:hAnsi="arial" w:cs="arial"/>
          <w:i/>
          <w:color w:val="000000"/>
          <w:sz w:val="20"/>
          <w:lang w:val="en-US" w:eastAsia="en-US" w:bidi="ar-SA"/>
        </w:rPr>
        <w:t>L.R. v. British Columbia,</w:t>
      </w:r>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That certification was later upheld by the Supreme Court of Canada: </w:t>
      </w:r>
      <w:hyperlink r:id="rId1089"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Jane Morley, certification of the class action cast doubt upon the future of the JICP. It sought advice from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February 2000, Madam Justice Humphries, who presided as case manager over the class action, made a series of orders with respect to the class action. One of those was of particular significance to the JICP. It required that all claimants who participated in and accepted money from the JICP would now have to sign an "Opt-out Form", the effect of which was either to remove themselves as a member of the class or preclude them from joining the class in the future.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The Plaintiff's Participation in the JICP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made application to the JICP in 1999. He did so by completing, seemingly without assistance, an application form providing personal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completing his application form, he received correspondence from Dr. Rachelle Hole inviting him to make an appointment with her to begin preparation of his claim. He apparently received the letter and contacted Dr. Hole to begin processing 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Hole currently works as an associate professor at the University of British Columbia Okanagan. She has extensive academic credentials in social work and interdisciplinary studies together with broad experience working in the deaf community starting when she began working at the Elks Family Hearing Resource Centre for families of deaf and hard of hearing. She has a level 4 certification in ASL making her fluent in the language in which she communicated with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time the JICP was being established, Dr. Hole was working at the Deaf Children's' Society and was invited to make application for the position of compensation consultant. She underwent training which included watching videos of deaf individuals telling their stories of abuse together with detailed instruction on the creation of claims based on such interviews for presentation to the compensation Panel.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criteria for the position of compensation consultant were fluency in American Sign Language ("ASL"), respect for deaf culture and recognition as to the impact of the Jericho experience upon the deaf community. Dr. Hole met all three criteria.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Over the course of her employment with the JICP, Dr. Hole assisted between 70 and 80 claimants, including the plaintiff. She testified that her background of working with the Ministry of Children and Family Development, specifically interviewing children, assisted her with the interpersonal skills necessary to deal with vulnerable clients opening themselves up to strangers so as to advance a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Hole testified at trial. She did not specifically recall working with the plaintiff. However, she made contemporaneous notes to his file of events including the two day period surrounding the execution of the Release and Opt-out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Hole testified as to her standard procedure in dealing with claimants from the commencement of a claim to its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said that when she first met with a claimant, she would give a description of the program and advise the claimant what the program could and could not do for them. Specifically, the program was directed at compensation for sexual abuse; not physical or mental abuse. As part of the standard intake, Dr. Hole advised claimants of other available legal options such as an individual lawsuit against the government or, once it was certified, entry into the class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advised claimants of the limits on the compensation that the Panel could award; $3,000 to $60,000 range based upon the recommendations contained in the Berger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advised claimants of the exemption of the award from consideration in the continuation of social assistance benefits. She said that all claimants were told they could leave the program at any time before receiving compensation and pursue other legal remedies. But, if the claimants elected to accept JICP funds, then they would have to release the province from future claims arising out of sexual abuse which occurred while they were students at Jericho.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next phase of the claim was consultation with the client to craft the necessary report to submit to the Panel. As part of that function, compensation consultants were provided with documents from the Ministry, school records and, where appropriate, police reports. The next, and most important phase, was the taking of a narrative report from the claimant. This could take many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Hole described that process as a "back and forth" discussion to facilitate the collection of information through questions and answers. All discussion between Dr. Hole and the claimant were in ASL. The narrative was typed into English and then reviewed with the claimant to see what could be added or what need be subtracted. The claimant was given the opportunity through both reading and signing to expand on the report or clarify items within it. The claimant, not the compensation consultant, decided when the story was complete. Records in evidence demonstrate that Dr. Hole and the claimant spent some 21 hours on the completion of the report that was submitted to the Panel for first consideration. Dr. Hole did not identify the plaintiff as a person requiring placement in the special track.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claimant's report was submitted to the Panel in early March of 2000 and supplemented by inclusion of additional information on March 31,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compensation Panel consisted of Jane Morley, a lawyer, Liz Halperin, an academic who was deaf and blind herself and active in the deaf/blind community, and Frank Falzon, also a lawyer.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Panel reviewed the plaintiff's material and, on April 28, 2000, wrote to him advising: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are the compensation panel for the Jericho Compensation Program. Our job is to decide on compensation for pain and suffering caused by sexual abuse at Jericho Hill School. We have carefully reviewed your claim. You signed the main claim on March 2, 2000 and the additional information on March 31, 2000. We believe that the sexual abuse has hurt you. We have decided that your compensation should be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she had no independent recollection of the same, Dr. Hole testified that she would have been the one to communicate the Panel's finding to the claimant. She testified that based on protocol and policy, she would again, after receiving the Panel's findings, discuss with claimant their options; Those being, according to her evidence, acceptance of the recommended award, application for a reconsideration of the award based on further submissions, or decline the award and pursue redress either by way of an individual action or by joining the class action which, by this time, had been certified and under the management of Humphries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Hole testified it was her standard practice to make clear to claimants the implications of accepting the offer. If a claimant took the award they couldn't sue the province in the future for sexual abuse nor could they enter the class action lawsuit. At this stage, individuals were encouraged to seek independent legal advice regardless of whether their inclination was to accept the initial award or seek reconsideration.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Hole testified where an individual wanted to take that money right away, she encouraged reflection and independent legal advice because of the long-term implications of what acceptance meant. If their inclination was to refuse the offer, then she said she would respect that choice and the claimant's participation in the JICP would come to an end freeing them to pursue what other remedies they chose.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Hole said claimants could withdraw or suspend their involvement at any time. The only time limit that was engaged by the Panel's initial report was a 60 day time period to ask for reconsideration. In the event the 60 days passed without such a request being made then the decision of the Panel was final. That did not require acceptance by the claimant only that there would be no reconsideration upon the expiry of 60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Hole testified that upon learning of the $50,000 award, the claimant expressed dissatisfaction. He wanted more money; presumably the $60,000 maximum. He was referred by Dr. Hole to Megan Ellis, a lawyer with an extensive background in sexual abuse cases. Ms. Ellis had been approached by the JICP to be one of the lawyers to whom claimants were referred for independent legal advice. Her account was paid by the government but there is no suggestion that she gave anything other than independent advice to claimants referred her without regard to the government's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Ellis testified as to the protocol in effect on a referral such as the plaintiff. Where the question was, as was with the plaintiff, the propriety of the original award, Ms. Ellis did not discuss the Release or Opt-out Form with the claimant. Instead she reviewed the claimant's file in advance of meeting with him or her to ascertain whether to advise the claimant to accept the offered sum.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meeting between the plaintiff and Megan Ellis took place on May 17, 2000. An experienced ASL interpreter was present. All advice was translated from English into ASL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Ellis had no specific memory of the plaintiff and testified only as to her standard practice in interviews focused on whether a claimant should accept the government's initial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testified she would advise claimants of their other options, including compensation from the Criminal Compensation Board, individual lawsuits against the government and/or perpetrators and the class action, after it had been certified in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testified she explained to claimants that the options were mutually exclusive. That is to say, acceptance of JICP money precluded participation in the other options insofar as compensation from the provincial government was concerned.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Ellis did not review the Release signed by the claimant on May 24, 2000, or the Opt-out Form signed May 26, 2000, because the claimant had not accepted an offer at the time of their first meeting.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Ellis's account, dated March 25, 2001, discloses another half-hour meeting between her and the claimant on June 2, 2000. The subject matter of the meeting is not described. Mr. Adams testified it was to discuss the option of a lawsuit against his father for physical and mental abuse while growing up. Mr. Adams agreed he was free to ask Ms. Ellis at that meeting about the effect of both the Release and the Opt-out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It's unclear what advice Ms. Ellis provided to the claimant in either meeting. Mr. Adams testified she helped him with additional information to put before the Panel for a reconsideration of the original offer.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asked in cross examination: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did Ms Ellis explain to you that you agreed not to sue the province or any of her employees or contractors in connection with any claims of sexual abuse that occurred while at Jericho Hill School if you took JICP money and signed a release?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He replied: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She might have explained it. I don't know. I don't remember.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May 23, 2000, the claimant and Dr. Hole appeared in person before the Panel for reconsideration.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the reconsideration hearing, the Panel reconvened and increased the award to the claimant to the maximum allowable, $60,000. This was formalized in a letter from the Panel to Mr. Adams dated May 24, 2000. That letter was delivered by hand to him via Rachelle Hole. It read,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is our final decision. You may discuss your options with Rachelle Hole. Thank you again for coming to meet with us. We wish you well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Hole and the claimant met following the Panel's decision and Dr. Hole made a note to file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Larry Adams met with the panel today. They increased the initial decision to $60,000. Larry indicated that he wanted to accept the amount right away. I explained to him that if he accepted the amount and signed the release form then he would not be eligible to participate in the class action. He was adamant about his decision to accept the JIC offer for compensation. I encouraged him to think about the decision over night and set an appointment for the following day.</w:t>
      </w:r>
    </w:p>
    <w:p>
      <w:pPr>
        <w:spacing w:before="120" w:line="260" w:lineRule="atLeast"/>
        <w:ind w:left="720"/>
        <w:rPr>
          <w:lang w:val="en-US" w:eastAsia="en-US" w:bidi="ar-SA"/>
        </w:rPr>
      </w:pPr>
      <w:r>
        <w:rPr>
          <w:rFonts w:ascii="arial" w:eastAsia="arial" w:hAnsi="arial" w:cs="arial"/>
          <w:color w:val="000000"/>
          <w:sz w:val="20"/>
          <w:lang w:val="en-US" w:eastAsia="en-US" w:bidi="ar-SA"/>
        </w:rPr>
        <w:t>Larry had already received independent legal advice with Megan Ellis. I recommended that he could go back to Megan regarding his decision to sign the release and recommended that he get a certificate from Megan Ellis. [Certificate of Independent Legal Advice].</w:t>
      </w:r>
    </w:p>
    <w:p>
      <w:pPr>
        <w:spacing w:before="120" w:line="260" w:lineRule="atLeast"/>
        <w:ind w:left="720"/>
        <w:rPr>
          <w:lang w:val="en-US" w:eastAsia="en-US" w:bidi="ar-SA"/>
        </w:rPr>
      </w:pPr>
      <w:r>
        <w:rPr>
          <w:rFonts w:ascii="arial" w:eastAsia="arial" w:hAnsi="arial" w:cs="arial"/>
          <w:color w:val="000000"/>
          <w:sz w:val="20"/>
          <w:lang w:val="en-US" w:eastAsia="en-US" w:bidi="ar-SA"/>
        </w:rPr>
        <w:t>He explained to me that he does have another appointment with Megan Ellis regarding his claim for compensation relating to his experiences of physical and educational abuse but that he had already discussed his decision with Megan and was clear that he wanted to accept the JIC offer of $60,000.</w:t>
      </w:r>
    </w:p>
    <w:p>
      <w:pPr>
        <w:spacing w:before="120" w:line="260" w:lineRule="atLeast"/>
        <w:ind w:left="720"/>
        <w:rPr>
          <w:lang w:val="en-US" w:eastAsia="en-US" w:bidi="ar-SA"/>
        </w:rPr>
      </w:pPr>
      <w:r>
        <w:rPr>
          <w:rFonts w:ascii="arial" w:eastAsia="arial" w:hAnsi="arial" w:cs="arial"/>
          <w:color w:val="000000"/>
          <w:sz w:val="20"/>
          <w:lang w:val="en-US" w:eastAsia="en-US" w:bidi="ar-SA"/>
        </w:rPr>
        <w:t>[Handwritten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next day, May 24, 2000, the claimant and Dr. Hole met again. Dr. Hole made the following note to file after discussions with the claimant: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Larry came today to accept the JIC offer. I reviewed the implications of signing the release and opt out forms. I also recommended that he again talk with Megan Ellis about the decision but he again reiterated that he had already met with her and discussed his options. He wanted to proceed with the JIC option.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Hole and René de Vos, one of the program directors, both signed off on the notes. Dr. Hole testified that although she has no specific memory of the discussion with Mr. Adams, her standard procedure as to the matters raised in the aforementioned note to file was to advise claimants that acceptance of JICP money was at bar both to entry into the class action and any further lawsuit against the government for compensation arising from sexual abuse while a student at Jericho.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May 24, 2000, the plaintiff signed the Release which is the subject of this inquiry. It read:</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RELEASE - WHERE NO LITIGATION HAS BEEN COMMENCED</w:t>
      </w:r>
    </w:p>
    <w:p>
      <w:pPr>
        <w:spacing w:before="120" w:line="260" w:lineRule="atLeast"/>
        <w:ind w:left="720"/>
        <w:rPr>
          <w:lang w:val="en-US" w:eastAsia="en-US" w:bidi="ar-SA"/>
        </w:rPr>
      </w:pPr>
      <w:r>
        <w:rPr>
          <w:rFonts w:ascii="arial" w:eastAsia="arial" w:hAnsi="arial" w:cs="arial"/>
          <w:color w:val="000000"/>
          <w:sz w:val="20"/>
          <w:lang w:val="en-US" w:eastAsia="en-US" w:bidi="ar-SA"/>
        </w:rPr>
        <w:t>The Province established the Jericho Individual Compensation Program because of the recommendations of Thomas R. Berger as contained in his report submitted in March 1995.</w:t>
      </w:r>
    </w:p>
    <w:p>
      <w:pPr>
        <w:spacing w:before="120" w:line="260" w:lineRule="atLeast"/>
        <w:ind w:left="720"/>
        <w:rPr>
          <w:lang w:val="en-US" w:eastAsia="en-US" w:bidi="ar-SA"/>
        </w:rPr>
      </w:pPr>
      <w:r>
        <w:rPr>
          <w:rFonts w:ascii="arial" w:eastAsia="arial" w:hAnsi="arial" w:cs="arial"/>
          <w:color w:val="000000"/>
          <w:sz w:val="20"/>
          <w:lang w:val="en-US" w:eastAsia="en-US" w:bidi="ar-SA"/>
        </w:rPr>
        <w:t>The Compensation Panel set up under this program has offered me the sum of $60,000 for the pain and suffering that happened to me because of sexual abuse associated with my attendance at Jericho Hill School between 1962 and 1976.</w:t>
      </w:r>
    </w:p>
    <w:p>
      <w:pPr>
        <w:spacing w:before="120" w:line="260" w:lineRule="atLeast"/>
        <w:ind w:left="720"/>
        <w:rPr>
          <w:lang w:val="en-US" w:eastAsia="en-US" w:bidi="ar-SA"/>
        </w:rPr>
      </w:pPr>
      <w:r>
        <w:rPr>
          <w:rFonts w:ascii="arial" w:eastAsia="arial" w:hAnsi="arial" w:cs="arial"/>
          <w:color w:val="000000"/>
          <w:sz w:val="20"/>
          <w:lang w:val="en-US" w:eastAsia="en-US" w:bidi="ar-SA"/>
        </w:rPr>
        <w:t>I acknowledge that I have not commenced a civil action against the Crown, related to sexual abuse associated with my attendance at Jericho Hill School.</w:t>
      </w:r>
    </w:p>
    <w:p>
      <w:pPr>
        <w:spacing w:before="120" w:line="260" w:lineRule="atLeast"/>
        <w:ind w:left="720"/>
        <w:rPr>
          <w:lang w:val="en-US" w:eastAsia="en-US" w:bidi="ar-SA"/>
        </w:rPr>
      </w:pPr>
      <w:r>
        <w:rPr>
          <w:rFonts w:ascii="arial" w:eastAsia="arial" w:hAnsi="arial" w:cs="arial"/>
          <w:color w:val="000000"/>
          <w:sz w:val="20"/>
          <w:lang w:val="en-US" w:eastAsia="en-US" w:bidi="ar-SA"/>
        </w:rPr>
        <w:t>I accept this compensation payment.</w:t>
      </w:r>
    </w:p>
    <w:p>
      <w:pPr>
        <w:spacing w:before="120" w:line="260" w:lineRule="atLeast"/>
        <w:ind w:left="720"/>
        <w:rPr>
          <w:lang w:val="en-US" w:eastAsia="en-US" w:bidi="ar-SA"/>
        </w:rPr>
      </w:pPr>
      <w:r>
        <w:rPr>
          <w:rFonts w:ascii="arial" w:eastAsia="arial" w:hAnsi="arial" w:cs="arial"/>
          <w:color w:val="000000"/>
          <w:sz w:val="20"/>
          <w:lang w:val="en-US" w:eastAsia="en-US" w:bidi="ar-SA"/>
        </w:rPr>
        <w:t>I understand that, by accepting this money and by signing this form, I am agreeing to not sue the Province, and anyone who was an employee or contractor of the Province, in connection with the sexual abuse I suffered when I was a student at Jericho Hill School, except I may bring a civil action against any individual who sexually abused me.</w:t>
      </w:r>
    </w:p>
    <w:p>
      <w:pPr>
        <w:spacing w:before="120" w:line="260" w:lineRule="atLeast"/>
        <w:ind w:left="720"/>
        <w:rPr>
          <w:lang w:val="en-US" w:eastAsia="en-US" w:bidi="ar-SA"/>
        </w:rPr>
      </w:pPr>
      <w:r>
        <w:rPr>
          <w:rFonts w:ascii="arial" w:eastAsia="arial" w:hAnsi="arial" w:cs="arial"/>
          <w:color w:val="000000"/>
          <w:sz w:val="20"/>
          <w:lang w:val="en-US" w:eastAsia="en-US" w:bidi="ar-SA"/>
        </w:rPr>
        <w:t>I confirm that I was advised that I have the choice of obtaining independent legal advice respecting whether, in my circumstances, I should sign the release.</w:t>
      </w:r>
    </w:p>
    <w:p>
      <w:pPr>
        <w:spacing w:before="120" w:line="260" w:lineRule="atLeast"/>
        <w:ind w:left="720"/>
        <w:rPr>
          <w:lang w:val="en-US" w:eastAsia="en-US" w:bidi="ar-SA"/>
        </w:rPr>
      </w:pPr>
      <w:r>
        <w:rPr>
          <w:rFonts w:ascii="arial" w:eastAsia="arial" w:hAnsi="arial" w:cs="arial"/>
          <w:color w:val="000000"/>
          <w:sz w:val="20"/>
          <w:lang w:val="en-US" w:eastAsia="en-US" w:bidi="ar-SA"/>
        </w:rPr>
        <w:t>I understand this document and I confirm that I have freely chosen to sign this release.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Adams also signed a separate letter directed to the defendant requesting an apology for the subject abuse. He also signed a form entitling the defendant to make an inquiry with the Criminal Compensation Board as to any claims made by the plaintiff. The intent of that form was to avoid a double payment.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May 26, 2000, he signed a document entitled "Opt-out Form" which stated,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do not wish to be part of the class action lawsuit in British Columbia for damages against the defendant for allegedly failing to take reasonable steps to protect me from sexual misconduct of the school. I understand that by signing this form and sending it to you, I will not be allowed to share in any of the compensation which may be recovered in the class action lawsuit.</w:t>
      </w:r>
    </w:p>
    <w:p>
      <w:pPr>
        <w:spacing w:before="120" w:line="260" w:lineRule="atLeast"/>
        <w:ind w:left="720"/>
        <w:rPr>
          <w:lang w:val="en-US" w:eastAsia="en-US" w:bidi="ar-SA"/>
        </w:rPr>
      </w:pPr>
      <w:r>
        <w:rPr>
          <w:rFonts w:ascii="arial" w:eastAsia="arial" w:hAnsi="arial" w:cs="arial"/>
          <w:b/>
          <w:color w:val="000000"/>
          <w:sz w:val="20"/>
          <w:lang w:val="en-US" w:eastAsia="en-US" w:bidi="ar-SA"/>
        </w:rPr>
        <w:t>Mr. Adams'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testified he did not understand the legal effect of the Release and that Dr. Hole only advised him he could not join the class action if he accepted the $60,000 offer from the JICP.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acknowledged he was contacted by Dr. Hole after enrolling in the JICP and that they met over a number of occasions before the Panel's first decision. They discussed the incidents of sexual abuse so as to prepare the claim eventually submitted to the Panel.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acknowledged all communication between him and Dr. Hole was conducted in ASL. Mr. Adams acknowledged that he is fluent in ASL stating "I am pretty good, not superb". He further acknowledged that he can read and write in English, but that ASL; not English; is his first language and that he is "not good at all" in English. He says he can only understand simple words.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to the documents he signed, including the Release, he acknowledged that Dr. Hole explained the documents to him but said he didn't really understand what he signed and that he told her so. He testified that was the case with all of the documents he signed following the reconsideration. He didn't testify as to any other communication difficulties between Dr. Hole and him over the process leading to the reconsideration.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denies that he was told by Dr. Hole that signing the Release precluded him from suing the provincial government for the sexual abuse he says occurred at Jericho. He testified he understood that he could not participate in the class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Nonetheless, in January 2001, Mr. Adams applied to join the class action lawsuit on the advice of a friend. It wasn't until sometime in 2004, that he was advised by letter that he was ineligible to participate in the settlement that had been achieved because of the Opt-out Form signed by him in May 2000. He testified he didn't understand why he was not allowed to be a member of the class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agreed with the testimony of Wendy Duke, the speech pathologist that he reads at a Grade 4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asked in cross-examination as to how he communicated with his doctor on important matters such as his medical health , he noted that he always goes with an interpreter and when he cannot understand something he asks for clarification to make sure things are simplified.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agreed with counsel for the province that when he received notification that the original compensation award was $50,000, he understood well enough that he was entitled to a reconsideration of matters and that he could engage legal assistance, paid for by the government, to assist in making a further presentation to the Panel.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agreed that when he sought clarification from Dr. Hole she was forthcoming.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to the preparation of the submission itself, Mr. Adams agreed that Dr. Hole would tell him exactly what she was writing and adjust it if it was not quite right. He agrees they went through the whole thing together. He was satisfied with the package at the time it was submitted to the Panel, save for the minor adjustments made with the additional information submitted in late March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he said he was unhappy with the original $50,000 compensation, he agrees that it was made clear to him he could get independent legal advice paid for by the government. He says Meghan Ellis was suggested by Dr. Hole and he did not understand that other lawyers might be available to him. An interpreter was arranged and he attended at Meghan Ellis' office sometime in mid-May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interpreter who accompanied him was a gentleman by the name of David Still. Mr. Still attended upon Mr. Adams examination for discovery at the request of plaintiff's counsel. Mr. Still was acknowledged by Dr. Russell to be a leading interpreter in ASL.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said there was no discussion of any other legal options in the meeting with Meghan Ellis. Instead, he says they reviewed the methodology by which to increase the award first offered. He acknowledged Meghan Ellis told him there was a class action, but said she never told him that it was against the government.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says he was never told of the requirement that he opt out of the class action in the event that he accepted JICP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asked specifically by counsel for the province about the Release, he responded, "I can't remember." When asked whether he was told it was a binding agreement and he couldn't get any more money, he responded again, "I can't remember". When asked whether it was explained that by receiving the money he was agreeing not to sue the government or its employees upon signing the Release he said, "she might have, I don't remember".</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support of the contention that the plaintiff failed to appreciate the legal import and meaning of the documents he signed, particularly the Release, Ms. Wendy Duke, a speech pathologist, testified as to her opinion of the plaintiff's capability of reading and understanding the Release and Opt-out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Duke administered a number of proficiency tests to Mr. Adams which, in her opinion, disclose that he was incapable of either reading or understanding the Release and the Opt-out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Duke acknowledged that she has no training in ASL and was unaware that there was standardized testing available for ASL proficiency. Further, she confirmed that she was not testing the plaintiff's proficiency in ASL but rather his literacy and capacity to understand English when translated into ASL.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All of the testing was administered via interpretation from the English language into ASL and communicated to Mr. Adams. Ms. Duke acknowledged this procedure is fraught with complications and that the results must be interpreted with caution.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testing of the plaintiff was not videotaped such that the quality of the interpretation from English to ASL in the administering of the tests could be validated.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test results reveal, according to Ms. Duke, that the plaintiff is functionally illiterate. Of the testing performed, all but one of eight sub-tests was reading tests.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Only one of the sub-tests was conducted orally requiring interpretation from ASL into English. This test, described as the "Discourse Comprehension Test", was translated into ASL by a qualified interpreter, Ms. Debbie Miyashita.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test is comprised of stories being told to the subject who, in turn, answers questions as to the stories' content, express and implied.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Duke describes the plaintiff's scores as being in the lowest 5 percentile of others to whom the test was administered. However she acknowledged that the plaintiff scored 8 of 10 on that portion of the testing described as "range for stated main ideas" and 8 of 10 on that portion of the testing described as "range for comprehending details stated."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Where his scores dropped dramatically were in his requirement to understand implied ideas within the framework of the stories that were translated to him. His scores in both of these sub-tests were well below the cut-off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Duke agreed that the measure of cognitive linguistic abilities is not a test of the individual's cognitive 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called Dr. Debra Russell, a nationally certified signed language interpreter who holds a doctorate in Educational Psychology. Dr. Russell has extensive background working with the deaf. She currently is a director at the Western Canadian Centre for Deaf Studies at the University of Alberta and president of the World Association of Sign Language Interpreters. She opined that the Ms. Duke's test results were flawed, having regard to the fact that they provided no insight into the plaintiff's ability to function in his own language, specifically ASL.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bulk of the testing, in Dr. Russell's view, related only to his capacity to read the English language. She opined that translating English literacy and comprehension tests into ASL is not a valid methodology for testing the individual's proficiency in ASL. There are numerous standardized tests that would have determined whether or not Mr. Adams was linguistically functional in his first language, ASL.</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only question I am asked to resolve is the validity of the Release. If the answer is that the Release is binding, counsel for the plaintiff acknowledges its terms Release the defendant from further liability for the acts complained of in the action. If the Release is valid the claim will be dismissed. The plaintiff says that the Release is ineffective against him because he failed to understand its meaning when he signed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defendant suggests the evidence leads to the conclusion that the plaintiff did in fact understand the meaning of the Release. In the alternative, even if the plaintiff's evidence of lack of understanding is accepted,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has no application to these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 and Conclusions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burden to prove the application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rests on the plaintiff.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goes to negate a party's obligations under an agreement when that party can establish that the agreement was fundamentally or radically different from what he or she believed, or intended it to be, and where the execution was not the result of that party's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take reasonable precautions. </w:t>
      </w:r>
      <w:r>
        <w:rPr>
          <w:rFonts w:ascii="arial" w:eastAsia="arial" w:hAnsi="arial" w:cs="arial"/>
          <w:i/>
          <w:color w:val="000000"/>
          <w:sz w:val="20"/>
          <w:lang w:val="en-US" w:eastAsia="en-US" w:bidi="ar-SA"/>
        </w:rPr>
        <w:t>Frolick v. Frolick</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2007 BCSC 84</w:t>
        </w:r>
      </w:hyperlink>
      <w:r>
        <w:rPr>
          <w:rFonts w:ascii="arial" w:eastAsia="arial" w:hAnsi="arial" w:cs="arial"/>
          <w:color w:val="000000"/>
          <w:sz w:val="20"/>
          <w:lang w:val="en-US" w:eastAsia="en-US" w:bidi="ar-SA"/>
        </w:rPr>
        <w:t xml:space="preserve"> at para. 46.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Not only must the plaintiff establish that the agreement, in this case, the Release, is fundamentally different from that which he believed he was signing, but also that he was free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signing the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der Ros</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Van der Ros</w:t>
      </w:r>
      <w:r>
        <w:rPr>
          <w:rFonts w:ascii="arial" w:eastAsia="arial" w:hAnsi="arial" w:cs="arial"/>
          <w:color w:val="000000"/>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2003 BCCA 270</w:t>
        </w:r>
      </w:hyperlink>
      <w:r>
        <w:rPr>
          <w:rFonts w:ascii="arial" w:eastAsia="arial" w:hAnsi="arial" w:cs="arial"/>
          <w:color w:val="000000"/>
          <w:sz w:val="20"/>
          <w:lang w:val="en-US" w:eastAsia="en-US" w:bidi="ar-SA"/>
        </w:rPr>
        <w:t>, Smith J.A., on behalf of the Court of Appeal, explained the doctrine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[13] For many years there was some question as to the effect in law of the carelessness of a signer of a document on his or her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The law was settled in England in </w:t>
      </w:r>
      <w:r>
        <w:rPr>
          <w:rFonts w:ascii="arial" w:eastAsia="arial" w:hAnsi="arial" w:cs="arial"/>
          <w:i/>
          <w:color w:val="000000"/>
          <w:sz w:val="20"/>
          <w:lang w:val="en-US" w:eastAsia="en-US" w:bidi="ar-SA"/>
        </w:rPr>
        <w:t>Saunders v. Anglia Building Society (Sub. Nom. Gallie v. Lee)</w:t>
      </w:r>
      <w:r>
        <w:rPr>
          <w:rFonts w:ascii="arial" w:eastAsia="arial" w:hAnsi="arial" w:cs="arial"/>
          <w:color w:val="000000"/>
          <w:sz w:val="20"/>
          <w:lang w:val="en-US" w:eastAsia="en-US" w:bidi="ar-SA"/>
        </w:rPr>
        <w:t xml:space="preserve">, [1971] A.C. 1004 (H.L.), where the House of Lords concluded that the plea should be available only where the document was fundamentally or radically different from what the signer believed or intended it to be, and where the execution of the document was not the result of the signer's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take reasonable precautions.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[14] This principle was adopted in Canada in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[1982] 2 S.C.R. 774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that case, a married couple signed a collateral security instrument upon which the plaintiff relied. They did not read the instrument before signing it but relied on the fraudulent misrepresentations of their trusted son-in-law as to its nature. The Court applied </w:t>
      </w:r>
      <w:r>
        <w:rPr>
          <w:rFonts w:ascii="arial" w:eastAsia="arial" w:hAnsi="arial" w:cs="arial"/>
          <w:i/>
          <w:color w:val="000000"/>
          <w:sz w:val="20"/>
          <w:lang w:val="en-US" w:eastAsia="en-US" w:bidi="ar-SA"/>
        </w:rPr>
        <w:t>Saunders</w:t>
      </w:r>
      <w:r>
        <w:rPr>
          <w:rFonts w:ascii="arial" w:eastAsia="arial" w:hAnsi="arial" w:cs="arial"/>
          <w:color w:val="000000"/>
          <w:sz w:val="20"/>
          <w:lang w:val="en-US" w:eastAsia="en-US" w:bidi="ar-SA"/>
        </w:rPr>
        <w:t xml:space="preserve"> and held that the couple were not entitled to rely on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in defence of the plaintiff's claim because of their carelessness in failing to determine the nature of the document they were signing. The Court noted that the question was which of two innocent parties should bear the loss and said (at p. 786 i):</w:t>
      </w:r>
    </w:p>
    <w:p>
      <w:pPr>
        <w:spacing w:before="120" w:line="260" w:lineRule="atLeast"/>
        <w:ind w:left="1080"/>
        <w:rPr>
          <w:lang w:val="en-US" w:eastAsia="en-US" w:bidi="ar-SA"/>
        </w:rPr>
      </w:pPr>
      <w:r>
        <w:rPr>
          <w:rFonts w:ascii="arial" w:eastAsia="arial" w:hAnsi="arial" w:cs="arial"/>
          <w:color w:val="000000"/>
          <w:sz w:val="20"/>
          <w:lang w:val="en-US" w:eastAsia="en-US" w:bidi="ar-SA"/>
        </w:rPr>
        <w:t>This principle of law is based not only upon the principle of placing the loss on the person guilty of carelessness, but also upon a recognition of the need for certainty and security and commerce.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[15] The </w:t>
      </w:r>
      <w:r>
        <w:rPr>
          <w:rFonts w:ascii="arial" w:eastAsia="arial" w:hAnsi="arial" w:cs="arial"/>
          <w:i/>
          <w:color w:val="000000"/>
          <w:sz w:val="20"/>
          <w:lang w:val="en-US" w:eastAsia="en-US" w:bidi="ar-SA"/>
        </w:rPr>
        <w:t>Saunders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decisions were followed by this Court in </w:t>
      </w:r>
      <w:r>
        <w:rPr>
          <w:rFonts w:ascii="arial" w:eastAsia="arial" w:hAnsi="arial" w:cs="arial"/>
          <w:i/>
          <w:color w:val="000000"/>
          <w:sz w:val="20"/>
          <w:lang w:val="en-US" w:eastAsia="en-US" w:bidi="ar-SA"/>
        </w:rPr>
        <w:t>Adera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case where a guarantor pleaded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as a defence to the plaintiff's action for judgment on his guarantee of the debt of his business partner. The Court, per Hutcheon J.A., said (at p. 54), in the passage quoted by the trial judge, that "... it is unlikely that the plea would be available to a person who signed a document without informing himself of its meaning."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Here, the plaintiff suggests that he was only told by Dr. Hole that signing the Release precluded him from joining the class action and that he relied on her in signing the agreement without clearly understanding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For the following reasons, I do not agree with that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before me makes clear that the plaintiff was able to communicate, with the aid of an ASL interpreter, with both Dr. Hole and Megan Ellis. The plaintiff acknowledged that he is able to function in his day-to-day life with the aid of an interpreter to communicate such significant matters as relating medical symptoms to his doctor, taking the motor vehicle driver's examination and communication generally to manage his day-to-day living. He described his ASL skills as "pretty good" and, throughout the course of his examination both in direct and cross-examination, demonstrated that where he has any doubt as to the meaning of a question interpreted from English into ASL, he did not hesitate to clarify the question so that he could provide a meaningful answer.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observed the plaintiff throughout the course of his examination and cross examination and I am satisfied that when adequate translation provided to him he is, sometimes with clarification, able to grasp concepts of some complexity.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best evidence of what occurred after the plaintiff determined he would accept the final offer from the JICP is contained in the note of Dr. Hole over the course of May 23 and May 24,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accept that Dr. Hole relayed to Mr. Adams on May 23, 2000, that if he accepted the money offered by the JICP and signed the Release form then he would not be eligible to participate in the class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May 24, 2000, she further noted that she had reviewed the implications of signing the Release and Opt-out Forms.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This notation, in my view, needs to been seen in light of Dr. Hole's evidence, which I accept, as to her standard practice to advise claimants that acceptance of JICP money precluded recipients from suing the government in the future either in an individual action, such as this, or by joining the class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testified that he understood only that he was precluded from joining the class action but, nonetheless, within six months of signing the Opt-out Form he joined the class action despite this understanding.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Only when advised in 2004 that he was not eligible to participate in the class action because he had executed an Opt-out Form in 2000 did he seek legal advice and proceed to pursue an individual action against the province.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no argument that the Release clearly precludes a further action against the provincial government for the acts of sexual abuse alleged to have occurred at Jericho during the plaintiff's days as a student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While I accept Ms. Duke's opinion that the plaintiff is functionally illiterate and, would not be able to clearly comprehend the contents of the Release if left to read it on his own, I am satisfied that the terms of the Release were explained to him by Dr. Hole.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to his proficiency in ASL, the plaintiff testified that for the "most part" he understood ASL without problems. "I am pretty good at ASL. I'm not like, superb, or you know, super proficient, but, yes,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to what he was told of the settlement process by Dr. Hole, he was asked the following: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Dr. Hole explain to you if you took JICP money you could not get any money--any money awarded by a court?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replied: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but as I said, it wasn't really all that clear.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response, in my view, negates the denials by the plaintiff as to the extent of Dr. Hole's advice over the essence of the Release. He stated in direct examination that he was told only that the acceptance of JICP money precluded him from participation in the class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Generally, I find the plaintiff's evidence at to his meetings with both Ms Ellis and Dr. Hole to be lacking in detail as to what was said and why he says he failed to appreciate the Release precluded him from further action against the province for sexual abuse alleged to have occurred at Jericho.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accept the evidence of Megan Ellis that it was standard operating procedure for her to advise claimant's options for legal redress arising out of the plaintiff's time at Jericho. I further find that Dr. Hole would have advised him of same both during the intake procedure and over the two days in May referenced in her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 not accept Dr. Duke's evidence that the plaintiff is incapable of understanding the concept contained within the Release he signed when, as was the case here, the document was explained to him in ASL.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Further in cross-examination the plaintiff was asked: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she explain that the JICP was a legal settlement? Did she -- did Dr. Hole explain that the JICP was a legal settlement, so you should settle?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replied: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think she did, but I don't think I understood that clearly. It was sort of then this is--then it's done, here is the cheque, everything is done and I walked away realizing when I got home I didn't really understand 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Even were I to accept, which I do not, that the plaintiff didn't comprehend that receipt of JICP money precluded him from both pursuing an individual law suit such as the one before me and from entry into the class action which he acknowledged he did understand but entered anyway, I am of the view that the passage at para. 14 of </w:t>
      </w:r>
      <w:r>
        <w:rPr>
          <w:rFonts w:ascii="arial" w:eastAsia="arial" w:hAnsi="arial" w:cs="arial"/>
          <w:i/>
          <w:color w:val="000000"/>
          <w:sz w:val="20"/>
          <w:lang w:val="en-US" w:eastAsia="en-US" w:bidi="ar-SA"/>
        </w:rPr>
        <w:t>Van der Ros</w:t>
      </w:r>
      <w:r>
        <w:rPr>
          <w:rFonts w:ascii="arial" w:eastAsia="arial" w:hAnsi="arial" w:cs="arial"/>
          <w:color w:val="000000"/>
          <w:sz w:val="20"/>
          <w:lang w:val="en-US" w:eastAsia="en-US" w:bidi="ar-SA"/>
        </w:rPr>
        <w:t xml:space="preserve"> has application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acknowledged a good working relationship with Dr. Hole. She advised him to get legal advice as to the effect of the settlement, but he declined despite such advice being provided to him without charge.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conclude that over the course of their two meetings on May 23 and May 24, 2000, she discussed with the plaintiff the terms of each document, the Release and the Opt-out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met with Megan Ellis a second time in early June 2000, before he received the cheque for $60,000. He acknowledged that Megan Ellis would, if asked, have explained the terms of the Release to him. He did not ask. Had he second thoughts on the $60,000 settlement and returned the funds upon meeting with his lawyer, I have no doubt that the defendant would not have tried to enforce the settlement on the strength of the signed Release. Such would have been inconsistent with the goals of the program as explained by both Ms. Morley and Dr. Hole.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Instead, the plaintiff accepted the $60,000 and, despite clearly understanding the advice that he could not join the class action, enrolled in the class action some seven months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When advised he was unable to receive compensation because of the Opt-out Form, he caused this action to be commenced. He initiated no challenge to the determination that the Opt-out Form precluded his participation in the class action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Upon commencing this action in 2005, he didn't offer up the settlement funds to the government.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 concur with the defendant that even were I to accept that the plaintiff did not understand the full import of the Release he signed on May 24, 2000; he cannot now avoid its consequences based upon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make proper inquiry as to the consequences of the document which he willingly 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If clarity could not be obtained from Dr. Hole as to the documents' import, the plaintiff knew that he could obtain, at no expense to himself, legal advice from Megan Ellis as to the import of all documents he was being asked to sign and their impact upon any further compensation he might receive in respect of the events he says occurred at Jericho.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facts here are unlike those in the cases relied upon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Sullivan v. Crnogorac</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(1983) 60 N.S.R. (2d) 201</w:t>
        </w:r>
      </w:hyperlink>
      <w:r>
        <w:rPr>
          <w:rFonts w:ascii="arial" w:eastAsia="arial" w:hAnsi="arial" w:cs="arial"/>
          <w:color w:val="000000"/>
          <w:sz w:val="20"/>
          <w:lang w:val="en-US" w:eastAsia="en-US" w:bidi="ar-SA"/>
        </w:rPr>
        <w:t xml:space="preserve"> (NSSC), Hallet J. was satisfied that the defendant who was relying on a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was not negligent in relying on his solicitor for advice as to the contents of the agreement. The defendants had to rely on counsel because of their partial illiteracy and there appeared to be a misunderstanding between the lawyer and the defendants as to the contested term.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Here, the plaintiff says the explanation given by Dr. Hole was unclear but he chose not to seek clarification from her or seek legal advice from Megan Ellis as to the settlement's implications. While the plaintiff was illiterate, Dr. Hole specifically explained the implications of the settlement and the Release. If the plaintiff did not understand the terms, he could have taken further steps to clarify the agreement. From his other communications with Dr. Hole and in court, it is evident that the plaintiff has the skills to ask for further clarification if needed.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Crocker v. Sundance Northwest Resorts Ltd,</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[1988] 1 S.C.R. 1186</w:t>
        </w:r>
      </w:hyperlink>
      <w:r>
        <w:rPr>
          <w:rFonts w:ascii="arial" w:eastAsia="arial" w:hAnsi="arial" w:cs="arial"/>
          <w:color w:val="000000"/>
          <w:sz w:val="20"/>
          <w:lang w:val="en-US" w:eastAsia="en-US" w:bidi="ar-SA"/>
        </w:rPr>
        <w:t>, Wilson J. assessed the terms of a purported release signed by an intoxicated person. In deciding the waiver was ineffective as against the plaintiff, the court stated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already mentioned, the trial judge found that the waiver provision in the entry form was not drawn to the plaintiff's attention, that he had not read it, and, indeed, did not know of its existence. He thought he was simply signing an entry form. In these circumstances Sundance cannot rely upon the waiver clause in the entry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Those are hardly the facts here. Here, there were many attempts to clarify the implications of the Release, both at the time the plaintiff applied to the program, and at the time he accepted the $60,000.Further, on May 23, 2000, Dr. Hole suggested the plaintiff not accept the offer immediately but obtain further legal advice. To this suggestion, the plaintiff replied he had seen Megan Ellis and didn't need a further consultation. The following day he returned and signed the release.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Lastly, plaintiff's counsel referred me to </w:t>
      </w:r>
      <w:r>
        <w:rPr>
          <w:rFonts w:ascii="arial" w:eastAsia="arial" w:hAnsi="arial" w:cs="arial"/>
          <w:i/>
          <w:color w:val="000000"/>
          <w:sz w:val="20"/>
          <w:lang w:val="en-US" w:eastAsia="en-US" w:bidi="ar-SA"/>
        </w:rPr>
        <w:t>Arndt v. Ruskin Slo Pitch Association,</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2011 BCSC 1530</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a waiver was held unenforceable because the waiver sought to be relied upon by the defendant was 'hidden within a roster' provided to team coaches for preparation by players.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declining to enforce the waiver, Humphries J. noted: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[34] Given the nature of the document and the circumstances under which it was presented to the plaintiff, there were no reasonable steps taken by the defendants to ensure she understood what she was signing. The defendants simply left it to the coaches/managers to explain what the document was and to ensure it was signed by all players. There was no system in place to ensure that the players had had the nature of the document explained to them. The coaches and managers have provided no evidence to show that the plaintiff and the other players were advised of the release, nor that anyone was directed to the back of the document. There was no signature on the actual release on the back of the document. The document was not witnessed. The plaintiff did not get a copy. Although the plaintiff deals with legal documents in her work, she does not give legal advice nor does she deal with waivers.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That is not what happened here. Dr. Hole explained to all claimants, at the original intake into the Program, that acceptance of a JICP award precluded further action against the province. After the Panel first met with respect to the plaintiff's award, Dr. Hole advised the plaintiff to get legal advice. He declined. She then, as I have found, reviewed all the relevant documents signed by the plaintiff with him in his first language, ASL.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the result, I find that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has no application to the case at bar. The Release executed by the plaintiff is binding upon him and, as such, the action against the defendant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Costs, if sought, follow the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J.S. HARVEY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6"/>
          <w:headerReference w:type="default" r:id="rId1097"/>
          <w:footerReference w:type="even" r:id="rId1098"/>
          <w:footerReference w:type="default" r:id="rId1099"/>
          <w:headerReference w:type="first" r:id="rId1100"/>
          <w:footerReference w:type="first" r:id="rId1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2" w:history="1">
        <w:r>
          <w:rPr>
            <w:rFonts w:ascii="arial" w:eastAsia="arial" w:hAnsi="arial" w:cs="arial"/>
            <w:b/>
            <w:bCs/>
            <w:i/>
            <w:color w:val="0077CC"/>
            <w:kern w:val="32"/>
            <w:sz w:val="28"/>
            <w:szCs w:val="32"/>
            <w:u w:val="single"/>
            <w:shd w:val="clear" w:color="auto" w:fill="FFFFFF"/>
            <w:lang w:val="en-US" w:eastAsia="en-US" w:bidi="ar-SA"/>
          </w:rPr>
          <w:t>Aulakh v. Nahal, [2017] B.C.J. No. 1159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December 2, 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12-16, 2016; March 6-10,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S143946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1159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1000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Rajinderpal Singh Aulakh, Plaintiff, and Harbhajan Singh Nahal, Manjit Kaur Nahal, Sandra Li and Pan Pacific Platinum Real Estate Services Inc. doing business as New Coast Realty, Defendants, and Ranjit Kaur Aulakh, Inderjit Singh Aulakh and Harpreet Kaur Aulakh,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4" w:name="Keywords_41"/>
      <w:bookmarkEnd w:id="284"/>
      <w:r>
        <w:rPr>
          <w:rFonts w:ascii="arial" w:eastAsia="arial" w:hAnsi="arial" w:cs="arial"/>
          <w:b/>
          <w:color w:val="000000"/>
          <w:sz w:val="20"/>
          <w:lang w:val="en-US" w:eastAsia="en-US" w:bidi="ar-SA"/>
        </w:rPr>
        <w:t>Real property law — Sale of land — Agreement of purchase and sale — Breach of — Express terms — Repudiation — By vendor — Damages — Specific performance — Completion — Vacant possession — Action by purchasers for specific performance or damages from failed real estate transaction allowed in part — Counterclaim by vendors and third party claim against agent dismissed — Parties entered agreement of purchase and sale which provided for vacant possession — When plaintiffs learned defendants believed they would keep tenants, they agreed in exchange for $20,000 from agent, but agreement was never formalized — Defendants did not terminate rental agreements so failed to deliver vacant possession — No evidence on what made property unique, so specific performance not available — Plaintiffs suffered no damages, but were entitled to return of $100,000 deposit.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5" w:name="Case Summary_41"/>
            <w:bookmarkEnd w:id="2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purchaser for specific performance or damages arising from the failed real estate transaction. Counterclaim by the vendors and third party claim against the real estate agent for damages. The plaintiff was the elder son in a family looking for a large home to accommodate them all, and signed the documents, though his brother conducted most of the negotiations. There were tenants at the property, but the plaintiff's brother testified he made it clear that they required vacant possession. The brother testified he subsequently met with the defendant, who asked him about signing new rental agreements with the tenant. The brother testified the contract provided for vacant possession and he told the defendant this. The property was to close on April 3, and the brother testified the defendant tried to persuade him to keep the tenants, and threatened legal problems. The plaintiff stopped the transaction at that time, but negotiations continued, and the brother agreed to keep the tenants in exchange for $20,000 from the agent. A revised draft addendum was signed, which also changed the closing date to April 4. On April 4, it became apparent the transaction could not close on time, so the agent changed the date to April 7, but then advised the plaintiff that the defendants would not close. The plaintiff had since purchased another property. The defendants testified they told the real estate agent about the tenants and believed the plaintiff intended to keep them, but then were subsequently advised they wanted vacant possession. The defendant testified he made arrangements with the tenants to leave on short notice so the property was vacant by 6:00 p.m. on April 3. The defendants testified the tenants moved back in after the plaintiff agreed to keep them, but then the property did not close and they had enough. The real estate agent testified the plaintiff knew about the tenants but said they would work it out with the defendants. The agent testified the new agreement was reached but when it became too late to close on April 4, the parties agreed to close on Monday April 7, but the defendant subsequently demanded $100,000 from her and then refused to close.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6" w:name="Holdings of Court_36"/>
            <w:bookmarkEnd w:id="28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and third party claim dismissed. It was accepted that all parties knew about the tenants and no formal agreement with respect to them was reached. The plaintiff's evidence they wanted vacant possession from the outset was accepted. This made sense, given the size of the family, and fact the buyer and seller statements of advancement made no mention of the tenants. It was also accepted that the defendants believed the plaintiff would keep the tenants, as evidenced by their failure to take any steps to terminate the tenancy agreements. The real estate agent believed the parties would come to their own agreement about the tenants, but failed to follow up on the issue. While the plaintiffs opportunistically demanded $20,000 from the agent in exchange for keeping the tenants, this agreement was never formalized. While the defendants had the tenants move out by April 3 at 6:00 p.m., this did not constitute vacant possession, as the tenancy agreements were not terminated in accordance with the Residential Tenancy Act. As such, the tenants could subsequently assert rights and, in fact, when the defendants signed the revised draft addendum, they confirmed ongoing tenancies. The defendants' failure to deliver vacant possession was a repudiatory breach that entitled the plaintiff to treat the contract as at and end, and the fact there were subsequent attempts to salvage it did not change this. The plaintiff purchased a new property in the same area with ample living space, and gave no evidence to establish the defendants' property was unique to them, so the claim for specific performance and equitable damages failed. Based on the averaged appraisals, the plaintiff did not suffer any loss, and there was no evidence he incurred expenses personally. The plaintiff was only entitled to the return of the $100,000 deposit. Given there were no damages, the third party claim was academic, though the agent was 25 per cent liable, for her failure to ensure the tenancies were addressed.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7" w:name="Legislation Cited_29"/>
      <w:bookmarkEnd w:id="2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Residential Tenancy Act, </w:t>
      </w:r>
      <w:hyperlink r:id="rId1103" w:history="1">
        <w:r>
          <w:rPr>
            <w:rFonts w:ascii="arial" w:eastAsia="arial" w:hAnsi="arial" w:cs="arial"/>
            <w:i/>
            <w:color w:val="0077CC"/>
            <w:sz w:val="20"/>
            <w:u w:val="single"/>
            <w:shd w:val="clear" w:color="auto" w:fill="FFFFFF"/>
            <w:lang w:val="en-US" w:eastAsia="en-US" w:bidi="ar-SA"/>
          </w:rPr>
          <w:t>S.B.C. 2002, c. 78, s. 44(1)(c)</w:t>
        </w:r>
      </w:hyperlink>
      <w:r>
        <w:rPr>
          <w:rFonts w:ascii="arial" w:eastAsia="arial" w:hAnsi="arial" w:cs="arial"/>
          <w:color w:val="000000"/>
          <w:sz w:val="20"/>
          <w:lang w:val="en-US" w:eastAsia="en-US" w:bidi="ar-SA"/>
        </w:rPr>
        <w:t>, s. 44(1)(d)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8" w:name="Counsel_42"/>
      <w:bookmarkEnd w:id="2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the Defendants by Counterclaim: B.B. Olthuis, G. 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Harbhajan Singh Nahal and Manjit Kaur Nahal: D.J. Taylor, L.J. Marriner.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Sandra Li and Pan Pacific Platinum Real Estate Services Inc. doing business as New Coast Realty: D.J. Marks, M.S. MacGregor.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42"/>
      <w:bookmarkEnd w:id="289"/>
      <w:r>
        <w:pict>
          <v:line id="_x0000_s1242"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PROPERTY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CONTRACT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Aulakhs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Nahals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 FOR THE FAILURE OF THE TRANSACTION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NAHALS' THIRD PARTY CLAIM AGAINST MS. LI AND NEW COAST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0" w:name="R.A. SKOLROOD J."/>
            <w:bookmarkEnd w:id="290"/>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involves a dispute over a failed real estate transaction involving a property located at 6131 No. 6 Road, Richmond, B.C.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Pursuant to a contract of purchase and sale dated February 2, 2014 (the "Contract"), the plaintiff, Rajinderpal Singh Aulakh, agreed to buy, and the defendants, Harbhajan Singh Nahal and Manjit Kaur Nahal, agreed to sell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Nahals breached the Contract by failing to deliver vacant possession of the Property by the possession date of 6:00 p.m. on April 3, 2014, as required by the terms of the Contract. He seeks an order of specific performance or, alternatively,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Nahals allege that they were able to deliver vacant possession on the stipulated date and that it was the plaintiff who failed to complete the transaction. They have counterclaimed for damages and for forfeiture of the $100,000 deposit paid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other parties are Sandra Li, the real estate agent who acted on the transaction, and the brokerage that employs her, Pan Pacific Platinum Real Estate Services Inc. doing business as New Coast Realty ("New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helpfully provided the Court with an agreed statement of facts, from which some of the basic facts set out below have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the above provides a brief introduction to the litigation, it is useful to say a bit more at the outset about the parties and their various roles and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Rajinderpal Singh Aulakh, and the defendant by counterclaim, Inderjit Singh Aulakh, are brothers. Inderjit was often referred to during the trial by his nickname "Jicky". Also referred to in the evidence although not a party is Rajinderpal and Inderjit's brother Bahadur Singh Aulakh. Bahadur is often referred to by his nickname of "Sabi".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other defendants by counterclaim are Ranjit Kaur Aulakh, who is Rajinderpal and Inderjit's mother, and Harpreet Kaur Aulakh, who is Inderjit's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number of members of the Aulakh family are involved in the litigation, I will refer to them by their given names, or their commonly used nicknames. This accords with the practice adopted by the parties in the 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set out above, Harbhajan Singh Nahal and Manjit Kaur Nahal are husband and wife and were at all material times the registered owners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Inderpaul Singh Nahal is Mr. and Mrs. Nahal's son who was very involved in the transaction on behalf of his parents. Throughout the trial he was commonly referred to as "Inder". Again, to distinguish the various different members of the Nahal family, I will refer to them by their given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also set out above, the defendant Sandra Li is a real estate agent licensed by the Real Estate Council of British Columbia employed by the defendant New Coast. Her assistant, who had some involvement in events at the Property, is Jesse 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also useful to say a few words at the outset about the Property. It was originally purchased by the Nahals in 2005. In 2008, they demolished the existing structures and built two new structures: the main house and a detached accessory building, which was referred to at trial as the "coach house". As will be discussed below, existing zoning bylaws did not permit use of the coach house for living purposes but over time the Nahals performed some renovations to make it inhabitable, although at all material times use as a living space was not legally permitted. The living quarters were on the second floor, accessible by an outside staircase.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to the coach house, there is an "in-law suite" within the main house, which is a self-contained unit with its own external entrance, as well as an entrance from within the main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main house is approximately 8,600 square feet and it sits on a large lot of approximately 22,000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dispute between the parties about the essential terms of the Contract. It provided for a purchase price of $2,025,000, with a deposit of $100,000 payable on acceptance. The completion date was stipulated as April 3, 2014 and the Contract provided for vacant possession at 6:00 p.m.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will be seen, various addenda were prepared and exchanged between the parties after the closing date, but it is common ground that no agreement was ever reached with respect to any of those addenda and that accordingly, the Contract is the governing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Various members of both the Aulakh and Nahal families testified, as did Ms. Li and her assistant Ms. Wu. Rather than summarize the evidence of each individual witness, I will provide an overview of the version of events advanced by each of the Aulakhs, the Nahals and Ms. Li and then will address the evidence in greater detail as needed when dealing with the issues that arise.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Aulakhs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Aulakhs' version of events, while the Contract was signed by Rajinderpal, who is also the named plaintiff, he had minimal evidence to give about the circumstances surrounding the transaction or about the matters in dispute. This reflects one of the themes that emerged from the Aulakhs' evidence: the division of responsibilities within the family. A number of family members testified that it was Jicky's responsibility to make important decisions regarding family businesses and finances, thus he took the lead in dealing with the proposed purchase of the Property and he was the principal witness on behalf of the Aulakhs. Rajinderpal was in effect a figurehead who, as he said, signed where Jicky told him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2013, prior to the date of the failed transaction in issue, members of the extended Aulakh family lived in a house located at 528 East 57th Avenue in Vancouver. The house was registered in the names of Rajinderpal and Jicky. Resident in the house were: Ranjit and her husband, who has since passed away; Rajinderpal, his wife and two children; Jicky, Harpreet and their three children; and a grandfather, although he passed away in the fall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That house has three floors, and in the basement there are two self-contained suites that in the past have been rented out. As of 2013, however, Jicky and his family lived in one of the basement suites, his father and grandfather occupied the second one; Ranjit had a room on the main floor and Rajinderpal and his family occupied the top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some point, the family decided they should look for a larger home. According to Jicky, he spent time looking on the internet and in the newspaper for a suitable property. The family wanted a house that would comfortably accommodate the different generations, preferably on a larger lot so that the elder family members could walk about. They also wanted a house with multiple kitchens so that the different family units could have their own cooking spaces. Location was also important as Ranjit and her husband regularly attended temple, plus different family members worked in different locations throughout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Jicky, before making an offer on the Nahals' property, they had made a number of previous offers on other properties, none of which were successful. He said that they often made offers in the names of all of the family members, but that made it difficult to coordinate things like signing documents. They then decided to use only one name on offers, and initially they used Sabi's name, because he was the oldest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Nahals' property first came to their attention when Harpreet saw it online. Jicky said that when she showed it to him, he initially did not pay much attention because they had "tried so many times" and it had not worked out. However, when he looked more closely at the feature sheet taken off the internet, there were a number of aspects that appealed to him, including a large lot that would be safe for the parents and for children and a reasonably convenient location for family members to get to temple and to work. On the location point, Jicky testified that it was "not exactly" where they wanted to be "but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Harpreet contacted the realtor and arranged to visit the Property in January 2014. Jicky asked Sabi to accompany them so the two of them and Harpreet visited the property on January 19, 2014. They were met at the property by Jesse Wu, Sandra Li's assistant, who showed them around. According to Jicky, Harbhajan Nahal was present in the house but no one else from the Nahal family was there. During this visit, the Aulakhs did not view either the coach house or the in-law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Aulakhs say that the Property appealed to them for a number of reasons:</w:t>
      </w:r>
      <w:r>
        <w:rPr>
          <w:rFonts w:ascii="arial" w:eastAsia="arial" w:hAnsi="arial" w:cs="arial"/>
          <w:sz w:val="20"/>
          <w:lang w:val="en-US" w:eastAsia="en-US" w:bidi="ar-SA"/>
        </w:rPr>
        <w:cr/>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sufficient living space for the different family units including separate kitchen facilities;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coach house provided additional private living space that could be used to host out-of-town visitors;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was well situated for travel to work by the various family members and was walking distance to a temple for Ranjit;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was large enough for the children to play in and for the elders to walk about and a ditch that ran in front of the Property along No. 6 Road had been filled in, which made it safer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Aulakhs were sufficiently interested in the Property that arrangements were made for Sabi to make an offer to purchase, which he did on January 21, 2014 in the amount of $1,850,000. At the time, the list price for the Property was $2,288,000. Sabi prepared the offer with the assistance of Ms. Li. The Nahals then counter-offered for $2,200,000 but that offer was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Aulakhs remained interested in the Property and a second visit was arranged for February 2, 2014. At that visit, according to the Aulakhs, numerous family members attended, including Ranjit, Rajinderpal and Jicky's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that date, a second offer to purchase was prepared. Jicky, Sabi and Ms. Li sat at the dining room table and prepared the offer, which was in the amount of $2,025,000. At some point, Jicky called Rajinderpal and asked him to attend. Ultimately, it was Rajinderpal who signed the offer. Jicky said Rajinderpal signed the offer because he was the elder of the brothers who intended to live in the new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he signed the Contract, Rajinderpal also signed a Limited Dual Agency Agreement authorizing Ms. Li to act in the transaction for both the sellers and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Jicky, during the course of preparing the offer, there were discussions about the tenants on the Property and Jicky said they made it very clear that they required vacant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Nahals signed the offer on February 3, 2014, thus formalizing the Contract. In keeping with the terms of the Contract, the Aulakhs provided a deposit of $100,000 by way of a cheque dated February 3, 2014 payable to New Coast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February 3 to April 3, 2014, there was minimal contact between the Aulakhs and Ms. Li and between the Aulakhs and the Nahals, other than some text messages in which Ms. Li raised with Jicky whether the Aulakhs were interested in any of the Nahals'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During that period, the Aulakhs took various steps in preparation for the completion of the transaction and their move to the Property. These included finding tenants for the house on East 57th Avenue, some of whom moved into one of the basement suites on April 2, 2014. The family also packed up the house and arranged for trucks to transport their belongings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Aulakhs also retained a lawyer to act for them on the conveyance and they obtained financing. On April 1, 2014, the Aulakh's lawyer, Mr. Chodha of CGM Lawyers, prepared buyer and seller statements of adjustment and he sent the seller statement to the Nahals' notary public, Ms. Maida, along with other documents including a Land Title Office Form A transfer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April 3, 2014, the intended completion and possession date, Jicky went to the Property in the morning. He says he did so because he had received a telephone call from Ms. Li advising him that the Nahals were having difficulty moving all of their furniture and they were again asking if the Aulakhs were interested in buying some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he arrived, he met Inder Nahal who said that they were having difficulty completing the move out. According to Jicky, Inder also then said that he would introduce Jicky to the tenants so that Jicky could sign new tenancy agreements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Jicky said he told Inder that he did not believe the Aulakhs had agreed to take the tenants and he then left somewhat abruptly in order to go and check the Contract. Jicky testified that he wanted to make sure that the Aulakhs had not made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leaving the Property, Jicky called Mr. Chodha to confirm that the Contract required vacant possession, then he called Ms. Li and told her that they had never agreed to take the tenants. Ms. Li said that they were good tenants who could help with the mortgage but Jicky reiterated that they did not want to keep the tenants. According to Jicky, he was not prepared to leave his elderly parents and his children alone in a home with "these unknown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Jicky testified that he had further conversations with both Ms. Li and Inder that day in which he repeatedly confirmed that the Aulakhs did not want to keep the tenants. He says that in one of those conversations with Inder, Inder told him that his wife was a lawyer and he threatened to make Jicky's life miserable if the Aulakhs did not agree to take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these discussions, Jicky instructed Mr. Chodha to stop the transaction and at about 2:20 p.m. on April 3rd, Mr. Chodha sent a letter to the Land Title Office withdrawing the transfer documents. It was Jicky's understanding and belief that the Nahals were unable to deliver vacant possession which is why he put a halt to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the Aulakhs continued to be interested in the Property, and therefore considered completing the transaction with the tenants remaining. Jicky asked Ms. Li for information about the tenancies. He says he talked to Ms. Li on the evening of April 3 and in the morning of April 4 and she told him she was trying to get information from the Nahals about the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some point, Jicky and Ms. Li came to an agreement whereby the Aulakhs would agree to keep the tenants and Ms. Li would pay $20,000 out of her commission to the Aulakhs.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morning of April 4, 2014, Ms. Li sent Ms. Maida a draft addendum reflecting the agreement that she and Jicky had reached (the "Draft Addendum"). At about 4:00 p.m. that day, Ms. Li sent Jicky a revised form of addendum that she had received from Ms. Maida and that was signed by the Nahals (the "Revised Draft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Revised Draft Addendum included details of the tenancies at the Property and further provided that Ms. Li would: i) reduce her commission payable by the seller to $35,125.00 plus GST and ii) would pay $20,000 to the buyer. The Revised Draft Addendum also changed the completion and possession date from April 3 to April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Jicky received the Revised Draft Addendum, he called Mr. Chodha who called him back around 4:30 or 5:00 p.m. By that time, it was too late in the day to complete the transaction. April 4 was a Friday, so Mr. Chodha said that they would deal with it on Monday, April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that day, Jicky provided Ms. Li with a copy of the Revised Draft Addendum with handwritten changes amending the completion and possession dates to April 7. This further revised addendum was signed by Jicky in the space designated for Rajinderpal, who was still the named purchaser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Also on April 7, 2014, CGM Lawyers prepared a new buyer statement of adjustments that included adjustments for the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some point, Jicky was advised by Ms. Li that the Nahals were not going to complete the transaction and that was the end of the deal as far as the Aulakhs were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Thereafter, the Aulakhs purchased a property located at 6211 No. 6 Road in Richmond ("6211"). That property had an older house on it which the Aulakhs demolished and commenced construction of a new home. According to Jicky, the Aulakhs hoped to build a similar coach house at 6211 but their plans to do so were rejected by the City of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Aulakhs have continued with the construction at 6211 but they say they have no plans to live there and intend to sell it on completion. More will be said about 6211 in the context of the claim for specific performance.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Nahals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Similar to the situation with the Aulakhs, while Harbhajan and Manjit Nahal are the contracting parties and the named defendants, their son Inder played the lead role in the transaction on their behalf and he was the principal witness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Nahals purchased the Property in 2005. At the time, there was an older house on the lot which they later demolished before they built a larger home to accommodate their family. Inder was involved in the design and construction of the new house. They moved into the new house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Initially, when the coach house was constructed on the Property, it contained a garage, some offices and some storage areas. The original design plans had included an area for cooking as well as an area that could accommodate a bathtub or shower. These plans however were rejected by the City of Richmond because the Property was not zoned to permit additional dwelling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coach house was therefore constructed without those elements but was later renovated to provide for a separate living space. The Nahals were aware however that the accommodation was unauthorized, including for rental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senior Nahals testified that in 2013, they were interested in selling their home and downsizing. They had previously listed the Property for sale but had not been successful. Harbhajan said he saw lots of "for sale" signs with Ms. Li's name and he decided to make an appointment with her. Mr. and Mrs. Nahal met with Ms. Li at the Property in December 2013 and signed a listing agreement dated December 19, 2013. The listing agreement included a $50,000 bonus in addition to the standard commission. Harbhajan testified that the bonus was included as incentive for Ms. Li to sell the Property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the time that the Nahals signed the listing agreement with Ms. Li, they had two tenants on the Property. Nathan Abbott rented the in-law suite within the main house. He had been a tenant since 2010 and had recently signed a new one year tenancy agreement effective December 1, 2013. Patrick Bertrand had recently begun renting a portion of the coach house and had signed a one year tenancy agreement effective November 1, 2013. While Harbhajan signed the tenancy agreements, he testified that Inder had prepared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Harbhajan also testified that at the time he and his wife signed the listing agreement, he told Ms. Li about the tenants, including the amount of the rents and the deposits that each had paid. He said that he told Ms. Li she should write down something about the tenancy agreements but she said she would deal with it later when the house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Harbhajan and Inder both testified about a viewing by the Aulakhs in January 2014. Inder testified that he was present in the house with his parents and that the viewing was attended by a number of members of the Aulakh family, including children, as well as by Ms. Li and Ms. Wu. Harbhajan gave similar evidence, although he was more vague about the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Inder said that while the Aulakhs were in the house, he was working in his office and he overheard Ms. Li ask Jicky if the Aulakhs would like to keep the tenants, to which Jicky replied yes. Harbhajan said that he spoke to Jicky directly about the tenants and Jicky confirmed that he would keep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that viewing, the Aulakhs made an offer to purchase in Sabi's name, however the offer price of $1,850,000 was not acceptable to the Nahals. Thereafter, there were negotiations through Ms. Li which culminated in the Aulakhs agreeing to pay $2,025,000. The Nahals were willing to accept that price if Ms. Li removed the $50,000 bonus in the listing agreement, which she agreed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second viewing of the Property by the Aulakhs took place on February 2, 2014. Harbhajan was the only member of the Nahal family present. He said that Jicky and his wife attended. On that day, the Aulakhs made an offer to purchase the Property for $2,025,000.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Inder was not present on February 2, 2014 but Ms. Li emailed him a copy of the offer that evening. He was in California but returned home the next day and he and his parents met with Ms. Li at the Property on February 3, 2014. Mr. and Mrs. Nahal signed the offer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Inder testified that during the meeting with Ms. Li, he specifically asked her about the tenants and Ms. Li told him not to worry because the purchasers were going to assume the tenancies. She said nothing needed to be written down at the time because the purchasers will come later and sign new agreements with the tenants. Inder said that he was aware of Clause 5 of the purchase agreement that called for vacant possession but he trusted Ms. Li when she said that the purchasers would keep the tenants. Harbhajan gave similar, although again quite vague, evidence about the assurances provided by 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the closing date approached, the Nahals began preparations to move out of their home. They began packing up their belongings and Inder rented another house, located on Hankin Drive in Richmond, where the family intended to move. According to Inder, his parents intended to live there while they looked for a smaller property on which to build a new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Nahals retained a notary public, Gail Maida, to assist them with the transaction. On April 2, 2014, Inder and Mr. and Mrs. Nahal attended at Ms. Maida's office to sign the closing documents. Inder said that Ms. Maida asked if the house would be vacant and she was told that the tenants were staying. Both Inder and Harbhajan testified that Ms. Maida then telephoned Ms. Li using a speaker phone and told her that an addendum was needed to deal with the tenancies. Ms. Li however said that she was too busy and would deal with it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Inder testified that he assumed that the buyers would come to the house the next day and sign new tenancy agreements so his parents signed the closing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Most of the Nahals' belongings were moved out of the house on April 1 and 2, 2014 and the Nahals slept at the Hankin Drive house on the night of April 2. Inder returned to the Property in the morning of April 3. He said he had a call at about 9:50 a.m. from Ms. Li who told him that the buyer was coming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Jicky arrived at about 10:00 a.m. He, Inder and Harbhajan walked through the house to the back courtyard and Inder introduced Jicky to Patrick Bertrand. Nathan Abbott was also present at the house doing some patch work on the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Inder said he thought Jicky was there to sign new tenancy agreements and he had printed blank forms. However, Jicky left abruptly, saying something to the effect of "I'll be back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Shortly thereafter, Inder learned from Ms. Li that the buyers wanted vacant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 to Inder, he and his father decided they should approach the tenants to see if they would assist the Nahals by agreeing to move out on short notice. He spoke first to Nathan who reluctantly agreed to move. Inder asked Nathan to retrieve his tenancy agreement which Inder then ripped up. Inder repaid Nathan his security deposit and one month's rent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Inder then spoke to Patrick who also agreed to move, although he was very unhappy about having to do so. Inder also ripped up his tenancy agreement. Inder said he was short of cash so he was only able to repay Patrick his security deposit but not his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Inder said he told both Nathan and Patrick that he would "take care of them". His plan was to move Nathan and Patrick's belongings to Hankin Drive, and they could stay there with the Nahals until alternate arrangements were made. Nathan and Patrick both gave similar evidence about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fact, Patrick was leaving on a long haul truck trip and Nathan stayed with a friend. Both subsequently moved back into their rental suites when the transaction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Inder, Mr. Nahal, Patrick and Nathan all testified that Patrick and Nathan's belongings were moved out on April 3. Both Inder and Mr. Nahal testified that the house was vacant by 3:00 or 3:30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Cell phone records entered into evidence indicate that Inder placed a call to Jicky at 1:47 p.m. which lasted for 19 minutes. Inder testified that he was on hold for much of that time and he did not have a chance to tell Jicky that the house was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Li came by the house at about 3:30 p.m. but did not go inside. Again, the Nahals say that the house was vacant by that time. Numerous photographs of various portions of the main house and the accessory building were entered into evidence in support of the Nahals' contention that the Property was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Jesse Wu arrived at the Property just before 6:00 p.m. She had been instructed by Ms. Li to attend and to be there at 6:00 p.m., which was the designated closing and possession time. Ms. Wu walked around the house but she did not look in the rental suites. She said this was because she thought the tenants were still there. When the buyers did not come to take possession at 6:00 p.m., she phoned Ms. Li then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Inder left about the same time. He locked up the house and went to Hankin Road. Around midnight, he received a telephone call from Ms. Li who told him that she had reached an agreement with the buyers to keep the tenants. At 12:20 a.m. on April 4, Ms. Li emailed Inder the Draft Addendum that made reference to the tenants, but the details were left blank. The Draft Addendum also had a clause stating that Ms. Li would rebate $20,000 of her commission to the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next morning Inder forwarded the Draft Addendum to Ms. Maida then he and his parents attended at her office. The Draft Addendum sent by Ms. Li was amended to add details of the tenancies and to provide that in addition to paying the buyers $20,000, Ms. Li would reduce her commission payable by the Nahals. With those changes, Mr. and Mrs. Nahal signed the addendum. The addendum contemplated closing that day, April 4. This is the Revised Draft Addendum referred to in paras. 45-46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Inder understood that when the Revised Draft Addendum was sent to Ms. Li, the buyers refused to sign off on it until they had received a cheque for $20,000 from Ms. Li. Ms. Li was unable to deliver the cheque in time for the transaction to close on April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April 4 was a Friday, so the Aulakhs changed the completion and possession dates on the Revised Draft Addendum to the following Monday, April 7 and returned it to the Nahals. However, according to Inder, by that time the Nahals had had enough and the deal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Nahals then moved back into the Property as did the tenants Nathan Abbott and Patrick Bertrand. Both singed new tenancy agreements with the Nahals, at a reduced rental rate. Inder said they agreed to reduce the rate because of the trouble they had been put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Li testified with the assistance of an interpreter. Although she speaks and understands English, she said that her English is not perfect and she wanted to be sure that her evidence was accurate. Her dealings with the Aulakhs and the Nahals were all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Li first came into contact with the Nahals when one of them called New Coast and indicated that they were interested in selling the Property. Ms. Li went to the Property to meet with them and in order to obtain a listing. Before going, she printed off some market research information concerning real estate sales in the neighborhood. As part of her initial research, she determined that the Property had been previously listed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she went to the Property, she met with Harbhajan and Manjit Nahal. They showed her around the Property and she reviewed the market research information with them. They discussed the price that the Nahals were looking for. According to Ms. Li, the Nahals told her that parts of the Property were occupied by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Nahals wanted to think about things, so Ms. Li made an appointment to return in a couple days, at which time the Nahals signed a multiple listing agreement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Li said that at the second meeting she asked about the tenancies, but was not given copies of the tenancy agreements nor was she shown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multiple listing agreement signed by the Nahals included a provision for a $50,000 bonus to the buying agent. Ms. Li said this was included to encourage agents to find qualified buyers, given that the market was slow and the Property had been previously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Li's first contact with the Aulakhs was when someone from the family called wanting to view the Property. Ms. Li arranged for her assistant Jesse Wu to show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Her next contact with the Aulakhs was when she met with Sabi at his office and he made an initial offer to purchase the Property for $1,850,000. Ms. Li described Sabi as very knowledgeable about purchasing properties. He struck out some of the terms she had included in the offer and added others. Ms. Li said there were no discussions about the tenants during her meetings with Sabi.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Li showed the initial offer to the Nahals, who thought it was too low. They had her prepare a counter-offer for $2,200,000, which they then increased to $2,250,000. According to Ms. Li, there followed about a week of verbal discussions after which the parties agreed on the price of $2,025,000. She dealt primarily with Sabi on behalf of the Aulakhs and Inder Nahal on behalf of the Nahals.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Li said that the Aulakhs wanted another viewing of the Property and in particular wanted to see the rental suites. That took place on Sunday, February 2, 2014. Ms. Li said that a number of members of the Aulakh family came along, including senior members and some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During the visit, Ms. Li showed Sabi the rental suites and then they sat at a table in the living room to draw up the final offer. Sabi was there with Jicky, and another brother, Rajinderpal, came later. According to Ms. Li, the only member of the Nahal family present in the house was Harbhajan, who was in the family room adjacent to the living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Li said that she discussed the tenants with the Aulakhs and told them that they were good tenants who could generate income as a mortgage helper. The Aulakhs said they would deal directly with the sellers with respect to the tenants. She said she spoke to Harbhajan, who also said he would deal directly with the buyers about the tenants. Ms. Li's understanding at the time was that the Aulakhs intended to keep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Ms. Li had largely dealt with Sabi, when it came time to sign the offer, the Aulakhs wanted it in the name of the other brother, Rajinderpal, so that is how it was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offer required a $100,000 deposit and Ms. Li said that the buyers insisted on providing her with a personal cheque because they could not get a certified cheque or bank draft on a Sunday. Ms. Li accepted the personal cheque for $100,000, although she knew that New Coast would insist on a proper certified cheque for the deposit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At the time the offer was signed, Ms. Li also presented the Aulakhs with a Limited Dual Agency Agreement, and explained to them that it allowed her to act for both the sellers and the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Once the offer was signed, Ms. Li told Harbhajan about it and said that she would email a copy to Inder,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Li then met with Inder, Harbhajan and Manjit the next day to review the Aulakh's offer. The Nahals signed the offer and also signed the Limited Dual Agency agreement that had previously been signed by Rajinderpal. At the request of the Nahals, Ms. Li agreed to remove the $50,000 bonus and so a listing amendment agreement was also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Li says that when the Nahals signed the Contract, they were aware that it provided for vacant possession but they said they would deal directly with the Aulakhs about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Between February 3 and April 3, Ms. Li had some communications with both Jicky and Inder about the possibility of the Aulakhs buying some of the Nahal's furniture. It is apparent that Ms. Li assumed the parties were also discussing the issue of the tenants, but she was not involved in any such discussions. Ms. Li acknowledges that she did not follow up with either the Aulakhs or the Nahals about the issue of the tenants prior to April 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Li says she first became aware that there was an issue when she received a telephone call at approximately 9:38 a.m. on April 3 from Ms. Maida, who said that an addendum was needed to deal with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Li testified that when the issue of the tenants came to light, Jicky demanded compensation from her to keep the tenants. Initially he demanded $10,000 which she agreed to, then he upped his demand to $50,000. Ms. Li also testified that Jicky initially agreed that they would keep the tenants and would sign an addendum, then he called back and demanded vacant possession. Ms. Li then left voice messages for Inder advising that the buyers wanted vacant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Li says she went to the Property at around 3:00 p.m. on April 3, shortly after being advised by Ms. Maida that the buyers were withdrawing the documents from the Land Title office. She spoke to Inder at the Property and told him that the buyers would keep the tenants if she paid them $50,000. She asked if it was possible to move the tenants to other vacant properties that she had listed, but Inder said no. She then left to return to her office but asked Jesse Wu to go to the Property at 6:00 p.m. to see if the buyers came to collect the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According to Ms. Li, when she left the Property, it was her belief that the tenants were still there. She says that Inder never told her that the tenants had been or would be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Later that evening, Sabi called her and said that the Aulakhs would close the deal if they received $20,000, which Ms. Li agreed to pay out of her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Li thought that would be sufficient to permit the transaction to close. She called Inder but was unable to get a hold of him. She also texted him asking for copies of the tenancy agreements. They finally spoke late in the evening and at 12:20 am, she emailed Inder the Draft Addendum providing for the $20,000 payment to the buyers. The Draft Addendum referenced the tenancies but did not contain details about them because Ms. Li was still waiting for copies of the agreements from 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At 2:44 p.m. on April 4, Ms. Maida sent the Revised Draft Addendum to Ms. Li which provided for both a reduction in her commission and a payment to the buyers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According to Ms. Li, Ms. Maida told her she needed to sign the Revised Draft Addendum to indicate her agreement to the changes in her commission, but she was told by her managing broker that it was not necessary for her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about 4:00 p.m., Ms. Li sent the Revised Draft Addendum to Jicky. She said Jicky insisted that she provide a cheque for the $20,000 before he would sign the Revised Addendum so arranged for a cheque to be sent to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later spoke to Jicky again and it was apparent that it was too late to close the deal on April 4 so Ms. Li expected that it would close the following Monday, April 7. She testified that both Jicky and Inder agreed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However, over the weekend, Inder called Ms. Li and said that he had consulted lawyers. He said it was her fault that the deal had not closed and he demanded $100,000. According to Ms. Li, Inder told her that if she did not pay, her career and reputation would "go down the drain".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Monday, April 7, Inder and Mr. Nahal came to New Coast's office and met with Ms. Li and her managing broker. Inder repeated his demand for $100,000 and his threats about Ms. Li's career and reputation. The Nahals refused to agree to the April 7 closing date and the deal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Each of the plaintiff and the Nahals introduced expert evidence from professional appraisers. The plaintiff relies on an expert report dated October 19, 2016 prepared by Dean Doolan, who provides his opinion of the market value of the Property as of April 3, 2014 and October 7, 2016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2"/>
        <w:gridCol w:w="1568"/>
        <w:gridCol w:w="67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3, 2014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$2,000,000</w:t>
            </w:r>
          </w:p>
        </w:tc>
        <w:tc>
          <w:tcPr>
            <w:tcW w:w="665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7, 2016</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$2,750,000</w:t>
            </w:r>
          </w:p>
        </w:tc>
        <w:tc>
          <w:tcPr>
            <w:tcW w:w="665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Nahals rely on an expert report dated February 5, 2016 prepared by Michael Reilly, who provides his opinion of the market value of the Property as of April 3, 2014 and January 5, 2016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2"/>
        <w:gridCol w:w="1568"/>
        <w:gridCol w:w="67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3, 2014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$2,050,000</w:t>
            </w:r>
          </w:p>
        </w:tc>
        <w:tc>
          <w:tcPr>
            <w:tcW w:w="665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5, 2016</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$2,600,000</w:t>
            </w:r>
          </w:p>
        </w:tc>
        <w:tc>
          <w:tcPr>
            <w:tcW w:w="665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can be seen from the above, the parties differ on a number of key details in their respective versions of events. Before turning to my factual findings, I will touch briefly on the issues of credibility and reliability since each of the parties took issue with the evidence provided by the witness for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Sohi v. Sohi</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2015 BCSC 1043</w:t>
        </w:r>
      </w:hyperlink>
      <w:r>
        <w:rPr>
          <w:rFonts w:ascii="arial" w:eastAsia="arial" w:hAnsi="arial" w:cs="arial"/>
          <w:color w:val="000000"/>
          <w:sz w:val="20"/>
          <w:lang w:val="en-US" w:eastAsia="en-US" w:bidi="ar-SA"/>
        </w:rPr>
        <w:t>, Mr. Justice Armstrong said the following about assessing credibility, at paras. 96-97: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Credibility cannot be gauged solely by the test of whether the personal demeanour of the particular witness carried conviction of the truth. The task is to assess the reliable evidence given by each witness and weigh the inherent probabilities and improbabilities of their versions of the events. The test of the truth of the story of a witness must be its harmony with the preponderance of the probabilities which a practical and informed person would readily recognize as reasonable in that place and in those conditions: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The distinction between reliability and credibility can be important. It is not the witness's belief in the truth of their evidence or their sincerity that must be considered but the reliability of that evidence is paramount: </w:t>
      </w:r>
      <w:r>
        <w:rPr>
          <w:rFonts w:ascii="arial" w:eastAsia="arial" w:hAnsi="arial" w:cs="arial"/>
          <w:i/>
          <w:color w:val="000000"/>
          <w:sz w:val="20"/>
          <w:lang w:val="en-US" w:eastAsia="en-US" w:bidi="ar-SA"/>
        </w:rPr>
        <w:t>R. v. Norman</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87 C.C.C. (3d) 153</w:t>
        </w:r>
      </w:hyperlink>
      <w:r>
        <w:rPr>
          <w:rFonts w:ascii="arial" w:eastAsia="arial" w:hAnsi="arial" w:cs="arial"/>
          <w:color w:val="000000"/>
          <w:sz w:val="20"/>
          <w:lang w:val="en-US" w:eastAsia="en-US" w:bidi="ar-SA"/>
        </w:rPr>
        <w:t xml:space="preserve"> at 14; </w:t>
      </w:r>
      <w:r>
        <w:rPr>
          <w:rFonts w:ascii="arial" w:eastAsia="arial" w:hAnsi="arial" w:cs="arial"/>
          <w:i/>
          <w:color w:val="000000"/>
          <w:sz w:val="20"/>
          <w:lang w:val="en-US" w:eastAsia="en-US" w:bidi="ar-SA"/>
        </w:rPr>
        <w:t>R. v. W.S.</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90 C.C.C. (3d) 242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C.J.S.</w:t>
      </w:r>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[1996] P.E.I.J. No. 8</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Mr. Justice Armstrong went on to cite the well-known decision of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1109"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1110"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xml:space="preserve">, where she held that conflicting testimony should be assessed in light of the "preponderance of probabilities which a practical and informed person would readily recognize as reasonable in that place and in those conditions" (at para. 187, citing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1111"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Credibility and reliability are not all or nothing propositions. A trier of fact may believe all, part or none of a witness's evidence, and may attach different weight to different parts of a witness's evidence. (See </w:t>
      </w:r>
      <w:r>
        <w:rPr>
          <w:rFonts w:ascii="arial" w:eastAsia="arial" w:hAnsi="arial" w:cs="arial"/>
          <w:i/>
          <w:color w:val="000000"/>
          <w:sz w:val="20"/>
          <w:lang w:val="en-US" w:eastAsia="en-US" w:bidi="ar-SA"/>
        </w:rPr>
        <w:t>R. v. R. (D.)</w:t>
      </w:r>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[1996] 2 S.C.R. 291</w:t>
        </w:r>
      </w:hyperlink>
      <w:r>
        <w:rPr>
          <w:rFonts w:ascii="arial" w:eastAsia="arial" w:hAnsi="arial" w:cs="arial"/>
          <w:color w:val="000000"/>
          <w:sz w:val="20"/>
          <w:lang w:val="en-US" w:eastAsia="en-US" w:bidi="ar-SA"/>
        </w:rPr>
        <w:t xml:space="preserve">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This latter principle has particular application in this case in which there were significant problems with the evidence of many of the lay witnesses. For example, all of the Aulakh witnesses and the Nahal witnesses gave evidence that often appeared to be tailored to conform to their respective family narratives. Similarly, Ms. Li was often at pains in her evidence to downplay her role with respect to the issue of the tenants and to deflect blame elsewhere. There were however also aspects of the evidence of virtually every witness that were believable and that accorded with the "preponderance of probabilities" when considered in the context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For that reason, rather than making a sweeping determination of each witness's credibility, I have approached their evidence on the various issues in accordance with the framework set out in the above-noted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would add that, for the most part, it is not necessary to resolve the various factual disputes because the issues can largely be determined on the basis of the uncontested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this in mind, I make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set out above in paras. 17 and 18, there is no dispute about the essential terms of the Contract. In particular, there is no issue about whether the Contract required the Nahals to provide vacant possession of the Property by 6:00 p.m. on April 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is difficult to discern what was said by the various parties about the tenants at the time the Contract was entered into, although it is apparent that all parties knew of the tenancies. What is clear is that no formal agreement was ever reached for the Aulakhs to keep the tenants. I accept the Aulakhs' evidence that from the outset, they wanted vacant possession of the Property, which makes sense given the number of family members who were intending to live there. Their subsequent proposal to keep the tenants in exchange for a $20,000 rebate from Ms. Li, as reflected in the Draft Addendum and the Revised Draft Addendum, was never formally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note in this regard that on April 1, 2014, the Aulakhs' lawyer prepared buyer and seller statements of adjustments that made no reference to, and included no adjustments for, the tenancies. This is consistent with the Aulakhs' position that they were not intending to assume the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also accept that the Nahals were under the impression that the Aulakhs were going to keep the tenants. This is borne out by the fact that they took no steps to terminate the tenancies from the date they signed the Contract on February 3, 2014 to the intended closing date of April 3, 2014. The source of that understanding is less clear. On this point, I do not accept Inder's evidence that he overheard Jicky tell Ms. Li at the first viewing of the Property that the Aulakhs would keep the tenants. Inder was not present at that viewing.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accept the evidence of Jicky and Harpreet that the first viewing was attended by the two of them and Sabi and that the only other people present were Harbhajan and Ms. Wu. While Ms. Wu's evidence was vague about the showings, Ms. Li was clear in her evidence that she was not present at the first one. Inder testified that he overheard the alleged conversation between Jicky and Ms. Li at a showing where there were many people present, including a number of Aulakh children. However, the evidence establishes that the children attended the second viewing, as did Ms. Li, but Inder did not. Ms. Li and Inder were not present together at either of the two showings and there was simply no opportunity for Inder to overhear the alleged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At the end of the day, little turns on this detail, however it is perhaps the most obvious example of Inder tailoring his evidence to conform to the Nahal family narrative.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apparent that the Aulakhs and the Nahals had different understandings about what was to happen with the tenancies. It is also apparent that there were no discussions between the parties about the issue between the date the Contract was signed and the intended closing date. Ms. Li testified that she put Inder and Jicky into contact with one another, and she assumed they spoke about the tenancies. However, on her own evidence, she took no steps to follow up with either party and did nothing to ensure the issue was addressed prior to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With respect to Ms. Li, I accept that she believed that the Aulakhs and Nahals were going to deal directly about the tenancies. However, her failure to document this, (for example as a note on the Contract) and her failure to follow up to ensure the matter had been addressed prior to closing, were contributing factors to the ultimate collapse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Turning to the events of April 3, 2014, each of Inder, Harbhajan and Manjit Nahal testified that all of their possessions and the possessions of the tenants were removed from the Property by late afternoon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During the course of the trial, the parties entered into two additional agreed statements of fact regarding the evidence of Nirbhai Gill and Gurnam Nahal. Mr. Gill is a truck driver employed by Inder's company and Mr. Nahal is Harbhajan's brother. Both were involved in assisting the Nahals to move out of the Property on April 2 and 3. According to the agreed statements of fact, both helped move the tenants' belongings out on April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Counsel for the Aulakhs subsequently sought to withdraw admissions made in the agreed statements of fact concerning the removal of the tenants' belongings because of evidence that emerged later in the trial. Counsel relied on the following statement of Mr. Justice Taylor in </w:t>
      </w:r>
      <w:r>
        <w:rPr>
          <w:rFonts w:ascii="arial" w:eastAsia="arial" w:hAnsi="arial" w:cs="arial"/>
          <w:i/>
          <w:color w:val="000000"/>
          <w:sz w:val="20"/>
          <w:lang w:val="en-US" w:eastAsia="en-US" w:bidi="ar-SA"/>
        </w:rPr>
        <w:t>La v. Le</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(2013), 78 B.C.L.R. (2d) 322</w:t>
        </w:r>
      </w:hyperlink>
      <w:r>
        <w:rPr>
          <w:rFonts w:ascii="arial" w:eastAsia="arial" w:hAnsi="arial" w:cs="arial"/>
          <w:color w:val="000000"/>
          <w:sz w:val="20"/>
          <w:lang w:val="en-US" w:eastAsia="en-US" w:bidi="ar-SA"/>
        </w:rPr>
        <w:t xml:space="preserve"> (C.A.)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to be remembered, of course, that if the courts do not permit admissions to be withdrawn when new facts are unexpectedly brought to light thereafter, parties will inevitably be discouraged from making what seem at the time to be proper admissions, to the considerable disadvantage of litigants and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Aulakhs rely in particular on the evidence of Ms. Li and Ms. Wu which they say casts serious doubt on the veracity of the statements concerning the removal of the tenants' belongings. I do not agree. At best, Ms. Li and Ms. Wu testified that they believed the tenants were still in the rental suites at 6:00 p.m. on April 3, but neither had direct knowledge of this fact. In contrast, the evidence of each of the Nahals was that the tenants' belongings had been completely removed. That evidence is consistent with the statements of Mr. Gill and Mr. Nahal contained in the agreed statements of fact and there is no basis for those statements to be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any event, the issue of whether the Nahals were in a position to deliver vacant possession does not turn on whether there were, or were not, some items still on the Property at 6:00 p.m. on April 3. If either the Nahals or the tenants had left some belongings behind on the Property, this would not have amounted to a breach of sufficient importance to permit the Aulakhs to treat the Contract as being at an end. Rather, the issue turns on whether the tenancies had been properly terminated such that the Property was vacant in a legal sense. I will return to that issue below. However, on the evidence, I am satisfied that the Property was empty of the Nahals' and the tenants' belongings by 6:00 p.m. on April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events post-April 3 are not directly relevant to my determination of the dispute because, as noted, despite the exchange of draft addenda, no new agreement was reached. However, it is worth touching on a couple of points that shed light on why the transaction ultimately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apparent from the evidence that this proposed transaction involved a willing buyer and a willing seller and that despite the misunderstanding about the tenants, the deal could have closed had reason and common sense prevailed. Alas,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When the issue of the tenancies arose, Jicky used it as an opportunity to try to leverage money from Ms. Li and to reduce the overall amount being paid by the Aulakhs. I do not accept Jicky's evidence that he simply wanted security for any unforeseen matters that might arise due to the unknown tenants. Any such security would have been dealt with in new buyer and seller statements of adjustments, which were in fact prepared by the Aulakhs' lawyer and which contained adjustments for the parties' share of rent and security deposits paid by the tenants. Rather, it was an opportunistic demand on Jicky's part. This is supported by the fact that he demanded that a cheque be delivered before he would agree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Regardless, the Aulakhs' agreement to take the tenants in exchange for a rebate from Ms. Li could have resolved the issue and permitted the deal to close. However, Inder also saw an opportunity and he demanded a reduction in Ms. Li's commission. Then, when it became apparent that the deal could not close on April 4, he made further demands and threats. Whether he was demanding additional compensation of $100,000 or was simply demanding forfeiture of the Aulakhs' deposit, his over-reaction ultimately led to the transaction failing.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her closing submissions, Ms. Li suggested that the transaction failed because both the seller and the buyer failed to act in a reasonable manner. That is a fair characterization; however, it fails to acknowledge Ms. Li's role in the demise of the transaction. Had she taken reasonable steps to follow up on the tenancy issue and to ensure that it was addressed in advance of the closing date, any misunderstanding would have been avoided and the deal would likely have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can be seen, all of the parties are at fault to some degree for the transaction failing. I turn now to what this means for the legal claims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Failure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 set out in the Introduction section of these Reasons, the Aulakhs submit that the Nahals breached the Contract by failing to deliver vacant possession of the Property by 6:00 p.m. on April 3, 2014. Even if the tenants were physically out of the Property by that time, the Aulakhs submit that the tenancies had not been legally terminated and thus the Property was not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Aulakhs submit further that vacant possession was a fundamental requirement of the Contract given that many members of their extended family intended to live in the Property and that the failure to provide vacant possession deprived them a substantial part of the benefit that they contracted for. As such, the Nahals' breach constituted a repudiation of the Contract and the Aulakhs were entitled to treat it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Nahals deny that they breached the Contract, as they insist that they were able to provide vacant possession by 6:00 p.m. on April 3. They submit that it was the Aulakhs who committed an anticipatory repudiation of the Contract by withdrawing the land title documents during the day on April 3. This entitled the Nahals to accept the repudiation and terminate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considering the respective positions of the Aulakhs and the Nahals, both of whom allege repudiation on the part of the other, it is useful to first outline the governing legal principles. A very helpful and concise summary is provided by Mr. Justice Cromwell in his concurring Reasons in </w:t>
      </w:r>
      <w:r>
        <w:rPr>
          <w:rFonts w:ascii="arial" w:eastAsia="arial" w:hAnsi="arial" w:cs="arial"/>
          <w:i/>
          <w:color w:val="000000"/>
          <w:sz w:val="20"/>
          <w:lang w:val="en-US" w:eastAsia="en-US" w:bidi="ar-SA"/>
        </w:rPr>
        <w:t>Potter v. New Brunswick Legal Aid Services Commission</w:t>
      </w:r>
      <w:r>
        <w:rPr>
          <w:rFonts w:ascii="arial" w:eastAsia="arial" w:hAnsi="arial" w:cs="arial"/>
          <w:color w:val="000000"/>
          <w:sz w:val="20"/>
          <w:lang w:val="en-US" w:eastAsia="en-US" w:bidi="ar-SA"/>
        </w:rPr>
        <w:t xml:space="preserve">, </w:t>
      </w:r>
      <w:hyperlink r:id="rId1114" w:history="1">
        <w:r>
          <w:rPr>
            <w:rFonts w:ascii="arial" w:eastAsia="arial" w:hAnsi="arial" w:cs="arial"/>
            <w:i/>
            <w:color w:val="0077CC"/>
            <w:sz w:val="20"/>
            <w:u w:val="single"/>
            <w:shd w:val="clear" w:color="auto" w:fill="FFFFFF"/>
            <w:lang w:val="en-US" w:eastAsia="en-US" w:bidi="ar-SA"/>
          </w:rPr>
          <w:t>2015 SCC 10</w:t>
        </w:r>
      </w:hyperlink>
      <w:r>
        <w:rPr>
          <w:rFonts w:ascii="arial" w:eastAsia="arial" w:hAnsi="arial" w:cs="arial"/>
          <w:color w:val="000000"/>
          <w:sz w:val="20"/>
          <w:lang w:val="en-US" w:eastAsia="en-US" w:bidi="ar-SA"/>
        </w:rPr>
        <w:t xml:space="preserve"> at paras. 144-49 where he sets out the key principles and, as well, clarifies the use of certain terminology that often gives rise to confusion: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 term repudiation refers to the situation in which a breach of contract by one party gives rise to the right of the other party to terminate the contract and pursue the available remedies for the breach: J.D. McCamus,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xml:space="preserve"> (2nd ed. 2012), at pp. 676-78. This occurs when one party actually breaches the contract in some very important respect and is said to thereby repudiate the contract. If the other party "accepts" the repudiation, the contract is over. If the other party does not accept the repudiation, the contract continues (subject to various other doctrines). In either case, the non-breaching party can pursue the available remedies which may vary depending on whether that party has accepted the repudiation or affirmed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There is a wealth of learning about the types of breach that constitute repudiation. Without getting into the details, we may say in brief that a breach is a repudiation of the contract if it is a breach of a contractual condition or of some other sufficiently important term of the contract so that there is a substantial failure of performance: S.M. Waddams,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xml:space="preserve"> (6th ed. 2010), at para590; McCamus, at pp. 676-77.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I pause here to deal with three problems of terminology that can cause confusion.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[147] The first relates to the word "repudiation"; it is used in at least two different senses. Sometimes it refers to the conduct of the breaching party in committing a breach that is sufficiently serious to give the non-breaching party the right to treat the contract as over. At other times the term is used to refer to the choice of the non-breaching party, faced with this sort of serious breach, to treat the contract as over. I will use the word "repudiation" to refer to the acts of the party alleged to be in breach. I will refer to the choice of the non-breaching party to treat the contract as over as "acceptance" of the repudiation.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[148] The second terminological clarification deals with the term "fundamental breach". The types of breach that are sufficiently serious to constitute repudiation are often referred to as "fundamental" breaches. However, use of the term "fundamental breach" can cause confusion because it is also used in the distinct context of deciding whether a contractual provision excluding or limiting liability is effective in the face of a radical departure from the contractual obligations: see, e.g.,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115"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1115"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 at paras. 104-23. To avoid that confusion, I prefer to refer to breaches of this nature as breaches of "sufficiently important terms" or "repudiatory" breaches: see, e.g., McCamus, at p. 651.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The final point of terminology is concerned with "anticipatory" breach. An anticipatory breach "occurs when one party manifests, through words or conduct, an intention not to perform or not to be bound by provisions of the agreement that require performance in the future": McCamus, at p. 689; see also A. Swan, with the assistance of J. Adamski, </w:t>
      </w:r>
      <w:r>
        <w:rPr>
          <w:rFonts w:ascii="arial" w:eastAsia="arial" w:hAnsi="arial" w:cs="arial"/>
          <w:i/>
          <w:color w:val="000000"/>
          <w:sz w:val="20"/>
          <w:lang w:val="en-US" w:eastAsia="en-US" w:bidi="ar-SA"/>
        </w:rPr>
        <w:t>Canadian Contract Law</w:t>
      </w:r>
      <w:r>
        <w:rPr>
          <w:rFonts w:ascii="arial" w:eastAsia="arial" w:hAnsi="arial" w:cs="arial"/>
          <w:color w:val="000000"/>
          <w:sz w:val="20"/>
          <w:lang w:val="en-US" w:eastAsia="en-US" w:bidi="ar-SA"/>
        </w:rPr>
        <w:t xml:space="preserve"> (2nd ed. 2009), at sec.7.89. When the anticipated future non-observance relates to important terms of the contract or shows an intention not to be bound in the future, the anticipatory breach gives rise to anticipatory repudiation. The focus in such cases is on what the party's words and/or conduct say about future performance of the contract. For example, there will be an anticipatory repudiation if the words and conduct evince an intention to breach a term of the contract which, if actually breached, would constitute repudiation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determining whether a breach of contract, including an anticipatory breach, constitutes repudiation, the analysis focusses on whether the breach is of "sufficiently important terms" (as per Cromwell J. above) so as to permit the innocent party to treat the contract as at an end. In his text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2nd ed., (Toronto: Irwin Law, 2012), Professor John McCamus describes the test in these terms at 693-94: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modern analysis, the test for determining whether a repudiatory breach giving rise to the right to terminate the agreement has occurred is to consider whether the consequences of the breach in the particular circumstances of the case deprive the innocent party of "substantially the whole of the benefit" that it was the intention of the parties that the innocent party would obtain from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Whether or not a repudiatory breach occurred in this case turns on the question of whether the Nahals were able to deliver vacant possession of the Property by 6:00 p.m. on April 3, 2014. If they were, then the plaintiff was in breach by failing to close the deal. In my view, it matters not whether that breach was anticipatory, in that they withdrew the land title documents before the closing time, or occurred when the closing time came and went without the plaintiff tendering the remainder of the purchase price. Conversely, if the Nahals were unable to deliver vacant possession by 6:00 p.m. on April 3 then they were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this issue, I do not accept the Nahals' submission that vacant possession was not an important or central concern for the Aulakhs such that failure to provide it would not amount to a repudiation. The Nahals point to the fact that the Aulakhs subsequently agreed to take the tenants in exchange for compensation. However, the subsequent proposal, which was never accepted or formalized into an agreement, reflected the circumstances in which the Aulakhs found themselves and while I have found that Jicky acted opportunistically in demanding $20,000 from Ms. Li, this does not diminish the fact that the Aulakhs clearly wanted vacant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also do not accept the Nahals' submission that they in fact were able to deliver vacant possession by 6:00 p.m. on April 3. While, as I have found, their possessions and the tenants' possessions had been physically removed, I am not satisfied that the Nahals' actions on April 3 constituted a legal termination of the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tenancies were not terminated in accordance with the requirements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None of the circumstances described in s. 44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for ending a tenancy existed and, in any event, the Nahals did not give notice in accordance with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Section 44(1)(c) provides that the landlord and tenant may agree in writing to end a tenancy, yet there was no such written agreement here. Instead, the evidence has Inder taking the rather dramatic step of "ripping up" the tenants' existing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Similarly, I do not accept that the tenants abandoned the Property within the meaning of s. 44(1)(d). That section is intended to provide the landlord with some recourse in circumstances in which a tenant unilaterally vacates or abandons a rental unit. That is not the situation here where, on the Nahals' own evidence, they asked the tenants to do them a favour by moving out on short notice and the tenants reluctantly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That agreement was not however formalized in writing and thus did not amount to valid termination within the meaning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Absent a valid termination, it was open to the tenants to subsequently assert rights in respect of the Property, which runs counter to the concept of vacant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There is also the fact that on April 4, 2014, the Nahals signed the Revised Draft Addendum that provided for the tenancies to continue with the Aulakhs. In that Revised Draft Addendum, the Nahals confirmed the ongoing existence of the tenancies. Had the tenancies in fact been terminated, the Nahals could simply have advised the Aulakhs that the issue had been resolved and that the only required change to the Contract was to extend the closing date by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For all of these reasons, I find that the Nahals were not able to provide vacant possession of the Property by 6:00 p.m. on April 3, 2014. This amounted to a repudiatory breach of the Contract, permitting the plaintiff to treat the Contract at the end. The fact that there were subsequent unsuccessful attempts to salvage the transaction does not alter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Remedy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seeks an order of specific performance that would permit him to purchase the Property at the Contract price of $2,025,000. He also seeks recovery of special damages he says the Aulakhs have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Both the plaintiff and the Nahals cite </w:t>
      </w:r>
      <w:r>
        <w:rPr>
          <w:rFonts w:ascii="arial" w:eastAsia="arial" w:hAnsi="arial" w:cs="arial"/>
          <w:i/>
          <w:color w:val="000000"/>
          <w:sz w:val="20"/>
          <w:lang w:val="en-US" w:eastAsia="en-US" w:bidi="ar-SA"/>
        </w:rPr>
        <w:t>Semelhago v. Paramadevan</w:t>
      </w:r>
      <w:r>
        <w:rPr>
          <w:rFonts w:ascii="arial" w:eastAsia="arial" w:hAnsi="arial" w:cs="arial"/>
          <w:color w:val="000000"/>
          <w:sz w:val="20"/>
          <w:lang w:val="en-US" w:eastAsia="en-US" w:bidi="ar-SA"/>
        </w:rPr>
        <w:t xml:space="preserve">, </w:t>
      </w:r>
      <w:hyperlink r:id="rId1116" w:history="1">
        <w:r>
          <w:rPr>
            <w:rFonts w:ascii="arial" w:eastAsia="arial" w:hAnsi="arial" w:cs="arial"/>
            <w:i/>
            <w:color w:val="0077CC"/>
            <w:sz w:val="20"/>
            <w:u w:val="single"/>
            <w:shd w:val="clear" w:color="auto" w:fill="FFFFFF"/>
            <w:lang w:val="en-US" w:eastAsia="en-US" w:bidi="ar-SA"/>
          </w:rPr>
          <w:t>[1996] 2 S.C.R. 415</w:t>
        </w:r>
      </w:hyperlink>
      <w:r>
        <w:rPr>
          <w:rFonts w:ascii="arial" w:eastAsia="arial" w:hAnsi="arial" w:cs="arial"/>
          <w:color w:val="000000"/>
          <w:sz w:val="20"/>
          <w:lang w:val="en-US" w:eastAsia="en-US" w:bidi="ar-SA"/>
        </w:rPr>
        <w:t xml:space="preserve"> where the Supreme Court of Canada confirmed that specific performance will only be granted in respect of a failed real estate transaction if it is established that the subject property is unique. Mr. Justice Sopinka stated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Specific performance should, therefore, not be granted as a matter of course absent evidence that the property is unique to the extent that its substitute would not be readily available. The guideline proposed by Estey J. in </w:t>
      </w:r>
      <w:r>
        <w:rPr>
          <w:rFonts w:ascii="arial" w:eastAsia="arial" w:hAnsi="arial" w:cs="arial"/>
          <w:i/>
          <w:color w:val="000000"/>
          <w:sz w:val="20"/>
          <w:lang w:val="en-US" w:eastAsia="en-US" w:bidi="ar-SA"/>
        </w:rPr>
        <w:t>Asamera Oil Corp. v. Seal Oil &amp; General Corp.</w:t>
      </w:r>
      <w:r>
        <w:rPr>
          <w:rFonts w:ascii="arial" w:eastAsia="arial" w:hAnsi="arial" w:cs="arial"/>
          <w:color w:val="000000"/>
          <w:sz w:val="20"/>
          <w:lang w:val="en-US" w:eastAsia="en-US" w:bidi="ar-SA"/>
        </w:rPr>
        <w:t xml:space="preserve">, </w:t>
      </w:r>
      <w:hyperlink r:id="rId1117" w:history="1">
        <w:r>
          <w:rPr>
            <w:rFonts w:ascii="arial" w:eastAsia="arial" w:hAnsi="arial" w:cs="arial"/>
            <w:i/>
            <w:color w:val="0077CC"/>
            <w:sz w:val="20"/>
            <w:u w:val="single"/>
            <w:shd w:val="clear" w:color="auto" w:fill="FFFFFF"/>
            <w:lang w:val="en-US" w:eastAsia="en-US" w:bidi="ar-SA"/>
          </w:rPr>
          <w:t>[1979] 1 S.C.R. 633</w:t>
        </w:r>
      </w:hyperlink>
      <w:r>
        <w:rPr>
          <w:rFonts w:ascii="arial" w:eastAsia="arial" w:hAnsi="arial" w:cs="arial"/>
          <w:color w:val="000000"/>
          <w:sz w:val="20"/>
          <w:lang w:val="en-US" w:eastAsia="en-US" w:bidi="ar-SA"/>
        </w:rPr>
        <w:t>, with respect to contracts involving chattels is equally applicable to real property. At p. 668, Estey J.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Before a plaintiff can rely on a claim to specific performance so as to insulate himself from the consequences of failing to procure alternate property in mitigation of his losses, some fair, real and substantial justification for his claim to performance must be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similar position has been taken by the British Columbia Supreme Court in </w:t>
      </w:r>
      <w:r>
        <w:rPr>
          <w:rFonts w:ascii="arial" w:eastAsia="arial" w:hAnsi="arial" w:cs="arial"/>
          <w:i/>
          <w:color w:val="000000"/>
          <w:sz w:val="20"/>
          <w:lang w:val="en-US" w:eastAsia="en-US" w:bidi="ar-SA"/>
        </w:rPr>
        <w:t>McNabb v. Smith</w:t>
      </w:r>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(1981), 124 D.L.R. (3d) 547</w:t>
        </w:r>
      </w:hyperlink>
      <w:r>
        <w:rPr>
          <w:rFonts w:ascii="arial" w:eastAsia="arial" w:hAnsi="arial" w:cs="arial"/>
          <w:color w:val="000000"/>
          <w:sz w:val="20"/>
          <w:lang w:val="en-US" w:eastAsia="en-US" w:bidi="ar-SA"/>
        </w:rPr>
        <w:t>, at p. 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Uniqueness is a question of fact that must be assessed in light of the specific circumstances of the proposed purchaser and of the particular property in issue. A further consideration is whether damages would provide adequate compensation: </w:t>
      </w:r>
      <w:r>
        <w:rPr>
          <w:rFonts w:ascii="arial" w:eastAsia="arial" w:hAnsi="arial" w:cs="arial"/>
          <w:i/>
          <w:color w:val="000000"/>
          <w:sz w:val="20"/>
          <w:lang w:val="en-US" w:eastAsia="en-US" w:bidi="ar-SA"/>
        </w:rPr>
        <w:t>Youyi Group Holdings (Canada) Ltd. v. Brentwood Lanes Canada Ltd.</w:t>
      </w:r>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2014 BCCA 388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Youyi</w:t>
      </w:r>
      <w:r>
        <w:rPr>
          <w:rFonts w:ascii="arial" w:eastAsia="arial" w:hAnsi="arial" w:cs="arial"/>
          <w:color w:val="000000"/>
          <w:sz w:val="20"/>
          <w:lang w:val="en-US" w:eastAsia="en-US" w:bidi="ar-SA"/>
        </w:rPr>
        <w:t xml:space="preserve">] at paras. 44-45, citing </w:t>
      </w:r>
      <w:r>
        <w:rPr>
          <w:rFonts w:ascii="arial" w:eastAsia="arial" w:hAnsi="arial" w:cs="arial"/>
          <w:i/>
          <w:color w:val="000000"/>
          <w:sz w:val="20"/>
          <w:lang w:val="en-US" w:eastAsia="en-US" w:bidi="ar-SA"/>
        </w:rPr>
        <w:t>John E. Dodge Holdings Ltd. v. 805062 Ontario Ltd</w:t>
      </w:r>
      <w:r>
        <w:rPr>
          <w:rFonts w:ascii="arial" w:eastAsia="arial" w:hAnsi="arial" w:cs="arial"/>
          <w:color w:val="000000"/>
          <w:sz w:val="20"/>
          <w:lang w:val="en-US" w:eastAsia="en-US" w:bidi="ar-SA"/>
        </w:rPr>
        <w:t xml:space="preserve">. </w:t>
      </w:r>
      <w:hyperlink r:id="rId1120" w:history="1">
        <w:r>
          <w:rPr>
            <w:rFonts w:ascii="arial" w:eastAsia="arial" w:hAnsi="arial" w:cs="arial"/>
            <w:i/>
            <w:color w:val="0077CC"/>
            <w:sz w:val="20"/>
            <w:u w:val="single"/>
            <w:shd w:val="clear" w:color="auto" w:fill="FFFFFF"/>
            <w:lang w:val="en-US" w:eastAsia="en-US" w:bidi="ar-SA"/>
          </w:rPr>
          <w:t>(2001), 56 O.R. (3d) 341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1121" w:history="1">
        <w:r>
          <w:rPr>
            <w:rFonts w:ascii="arial" w:eastAsia="arial" w:hAnsi="arial" w:cs="arial"/>
            <w:i/>
            <w:color w:val="0077CC"/>
            <w:sz w:val="20"/>
            <w:u w:val="single"/>
            <w:shd w:val="clear" w:color="auto" w:fill="FFFFFF"/>
            <w:lang w:val="en-US" w:eastAsia="en-US" w:bidi="ar-SA"/>
          </w:rPr>
          <w:t>(2003), 63 O.R. (3d) 304</w:t>
        </w:r>
      </w:hyperlink>
      <w:r>
        <w:rPr>
          <w:rFonts w:ascii="arial" w:eastAsia="arial" w:hAnsi="arial" w:cs="arial"/>
          <w:color w:val="000000"/>
          <w:sz w:val="20"/>
          <w:lang w:val="en-US" w:eastAsia="en-US" w:bidi="ar-SA"/>
        </w:rPr>
        <w:t xml:space="preserve"> (C.A.) (leave to appeal dismissed), </w:t>
      </w:r>
      <w:hyperlink r:id="rId1122" w:history="1">
        <w:r>
          <w:rPr>
            <w:rFonts w:ascii="arial" w:eastAsia="arial" w:hAnsi="arial" w:cs="arial"/>
            <w:i/>
            <w:color w:val="0077CC"/>
            <w:sz w:val="20"/>
            <w:u w:val="single"/>
            <w:shd w:val="clear" w:color="auto" w:fill="FFFFFF"/>
            <w:lang w:val="en-US" w:eastAsia="en-US" w:bidi="ar-SA"/>
          </w:rPr>
          <w:t>[2003] S.C.C.A. No. 145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Dodge Holdings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At para. 45 of </w:t>
      </w:r>
      <w:r>
        <w:rPr>
          <w:rFonts w:ascii="arial" w:eastAsia="arial" w:hAnsi="arial" w:cs="arial"/>
          <w:i/>
          <w:color w:val="000000"/>
          <w:sz w:val="20"/>
          <w:lang w:val="en-US" w:eastAsia="en-US" w:bidi="ar-SA"/>
        </w:rPr>
        <w:t>Youyi</w:t>
      </w:r>
      <w:r>
        <w:rPr>
          <w:rFonts w:ascii="arial" w:eastAsia="arial" w:hAnsi="arial" w:cs="arial"/>
          <w:color w:val="000000"/>
          <w:sz w:val="20"/>
          <w:lang w:val="en-US" w:eastAsia="en-US" w:bidi="ar-SA"/>
        </w:rPr>
        <w:t xml:space="preserve">, Madam Justice Newbury cited with approval the following comments from </w:t>
      </w:r>
      <w:r>
        <w:rPr>
          <w:rFonts w:ascii="arial" w:eastAsia="arial" w:hAnsi="arial" w:cs="arial"/>
          <w:i/>
          <w:color w:val="000000"/>
          <w:sz w:val="20"/>
          <w:lang w:val="en-US" w:eastAsia="en-US" w:bidi="ar-SA"/>
        </w:rPr>
        <w:t>Dodge Holdings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both a subjective and objective aspect to uniqueness. While it is difficult to be precise about this, it strikes me that normally, the subjective aspect will be less significant in commercial transactions and more significant in residential purchases, unless the motivation in the latter case is principally to earn profit. </w:t>
      </w:r>
      <w:r>
        <w:rPr>
          <w:rFonts w:ascii="arial" w:eastAsia="arial" w:hAnsi="arial" w:cs="arial"/>
          <w:color w:val="000000"/>
          <w:sz w:val="20"/>
          <w:u w:val="single"/>
          <w:lang w:val="en-US" w:eastAsia="en-US" w:bidi="ar-SA"/>
        </w:rPr>
        <w:t>In terms of the subjective aspect, the court should examine this from the point of view of the plaintiff at the time of contracting</w:t>
      </w:r>
      <w:r>
        <w:rPr>
          <w:rFonts w:ascii="arial" w:eastAsia="arial" w:hAnsi="arial" w:cs="arial"/>
          <w:color w:val="000000"/>
          <w:sz w:val="20"/>
          <w:lang w:val="en-US" w:eastAsia="en-US" w:bidi="ar-SA"/>
        </w:rPr>
        <w:t xml:space="preserve">. In some cases, there may be a single feature of the property that is significant, but where there are a number of factors, the property should be viewed as a whole. </w:t>
      </w:r>
      <w:r>
        <w:rPr>
          <w:rFonts w:ascii="arial" w:eastAsia="arial" w:hAnsi="arial" w:cs="arial"/>
          <w:color w:val="000000"/>
          <w:sz w:val="20"/>
          <w:u w:val="single"/>
          <w:lang w:val="en-US" w:eastAsia="en-US" w:bidi="ar-SA"/>
        </w:rPr>
        <w:t>The court will determine objectively whether the plaintiff has demonstrated that the property has characteristics that make an award of damages inadequate for that particular plaintiff</w:t>
      </w:r>
      <w:r>
        <w:rPr>
          <w:rFonts w:ascii="arial" w:eastAsia="arial" w:hAnsi="arial" w:cs="arial"/>
          <w:color w:val="000000"/>
          <w:sz w:val="20"/>
          <w:lang w:val="en-US" w:eastAsia="en-US" w:bidi="ar-SA"/>
        </w:rPr>
        <w:t>. Obviously, investment properties are candidates for damages and not specific performance.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important to keep in mind that uniqueness does not mean singularity. It means that the property has a quality (or qualities) that make it especially suitable for the proposed use that cannot be reasonably duplicated elsewhere. ... To put this another way, the plaintiff must show that the property has distinctive features that make an award of damages inadequate. The plaintiff need not show that the property is incomparable</w:t>
      </w:r>
      <w:r>
        <w:rPr>
          <w:rFonts w:ascii="arial" w:eastAsia="arial" w:hAnsi="arial" w:cs="arial"/>
          <w:color w:val="000000"/>
          <w:sz w:val="20"/>
          <w:lang w:val="en-US" w:eastAsia="en-US" w:bidi="ar-SA"/>
        </w:rPr>
        <w:t>. [At para. 17;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At para. 27 above, I set out some of the key features of the Property that appealed to the Aulakhs and which, in their submission, make it unique. Of particular importance to the Aulakhs was the presence of the coach house, with its additional living space, that could not be replicated elsewhere due to zoning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my view, the evidence falls well short of establishing that specific performance is an appropriate remedy in the circumstances of this case. I come to this conclusion for the following reasons: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into the Contract to purchase the Property, the Aulakhs had made numerous offers to purchase other properties, which presumably they considered suitable for their needs;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deal for the Property failed, the Aulakhs proceeded to purchase 6211 without investigating whether it was possible to build an accessory building on that property;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Jicky testified that the house being constructed at 6211 is custom built, larger than the house on the Property and it has everything the Aulakhs are looking for in a new home, with the exception of the coach house. However, the evidence from the Aulakhs about their intended use of the accessory building was vague at best. None of the Aulakh family members intended to live there, rather they hoped to make it available for visitors, although there was no evidence about the frequency of any such visitors;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Harpreet confirmed that 6211 was in the same area as the Property and that the new home had ample living space to meet the Aulakhs' needs;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Ranjit testified in her examination for discovery, excerpts of which were read in to the record, that she was not looking for any particular features in a new home and that there was nothing about the Property that she particularly liked. She was happy to go wherever her children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These factors alone are sufficient to defeat the claim for specific performance. However, also fatal to the claim, in my view, is the evidence of Rajinderpal, who it must be remembered was the contracting party and is the sole named plaintiff. His evidence was that he had minimal involvement in looking for a new home or in any of the dealings that led to the Contract. He stated that he simply signed the Contract where he was told to do so by Jicky and the realtor. Most importantly, Rajinderpal gave no evidence about why the Property was unique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Aulakhs submit that uniqueness need not be assessed solely through the eyes of the purchaser and that it can be established based on the evidence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accept that specific performance may be available where a purchaser contracts to buy property it considers unique for reasons that are not personal to him or her. An example would be where one family member wishes to purchase a home that has unique features to accommodate the special needs of another family member. However, in such a case, evidence would still be required from the proposed purchaser about the distinctive features of the property and why damages would be an inadequate remedy. That evidence was wholly lacking from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absence of such evidence from the plaintiff is explained by the Aulakhs on the basis of the family dynamics and the respective roles of various family members. That dynamic is reflected in other dealings as well. For example, it was Jicky who signed the Draft Addendum in which the Aulakhs proposed to retain the tenants and it was also Jicky who signed the caveat registered against the Property and swore to the truth of its contents. This is despite the fact that both documents are made out in Rajinderpal's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While these actions by Jicky may reflect the practical reality of how the Aulakh family operates, they ignore the legal reality that Rajinderpal is the sole contracting party from the Aulakh family. He is also the named plaintiff in this action, which is brought in his personal capacity and not as a representative of other family members. The burden is on him to establish the criteria for an award of specific performance and he has failed to do so. The claim for specific performance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an alternative to the claim for specific performance, the plaintiff claims equitable damages which he quantifies in the amount of $725,000, based on a market value for the Property of $2,750,000 as of October 16, 2016 as stated by Mr. Doolan.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However, the plaintiff acknowledges that equitable damages are only available where a claim for specific performance is made out but the court awards damages instead. That is not the case here. I have found that he plaintiff has failed to establish that specific performance is appropriate thus there is no basis for an award of equitable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proper measure of damages is therefore the normal "expectation" measure assessed at the date of breach. In </w:t>
      </w:r>
      <w:r>
        <w:rPr>
          <w:rFonts w:ascii="arial" w:eastAsia="arial" w:hAnsi="arial" w:cs="arial"/>
          <w:i/>
          <w:color w:val="000000"/>
          <w:sz w:val="20"/>
          <w:lang w:val="en-US" w:eastAsia="en-US" w:bidi="ar-SA"/>
        </w:rPr>
        <w:t>Roy v. 1216393 Ontario Inc</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2016 BCSC 1635</w:t>
        </w:r>
      </w:hyperlink>
      <w:r>
        <w:rPr>
          <w:rFonts w:ascii="arial" w:eastAsia="arial" w:hAnsi="arial" w:cs="arial"/>
          <w:color w:val="000000"/>
          <w:sz w:val="20"/>
          <w:lang w:val="en-US" w:eastAsia="en-US" w:bidi="ar-SA"/>
        </w:rPr>
        <w:t>, Mr. Justice Harvey stated the following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clearest statement of the law regarding the assessment of damages in real estate cases where sellers have breached the contract of sale is set out in Jamie Cassels and Elizabeth Adjin-Tettey, </w:t>
      </w:r>
      <w:r>
        <w:rPr>
          <w:rFonts w:ascii="arial" w:eastAsia="arial" w:hAnsi="arial" w:cs="arial"/>
          <w:i/>
          <w:color w:val="000000"/>
          <w:sz w:val="20"/>
          <w:lang w:val="en-US" w:eastAsia="en-US" w:bidi="ar-SA"/>
        </w:rPr>
        <w:t>Remedies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3rd ed. (Toronto: Irwin Law, 2014) at p. 75, where the learned authors observe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Expectation damages in real estate cases will be the difference between the contract price and the market price of the land, For example, if the vendor refuses to deliver the property at a contract price of $100,000, and its value has increased to $110,000 at the time of the breach, the vendor will be liable for $10,000 (and the buyer will be entitled to the return of any deposit paid). Likewise, if the buyer is in breach, and the land has decreased in value, the vendor will be entitled to the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buyer has incurred legal fees or other expenses in anticipation of closing, these are not recoverable since they would have been incurred in any event had the contract gone through. And if the plaintiff has saved such expenses, they must be deducted from the damages for the lost value of the land since, had the contract been performed, these expenses would have been incurred in order to earn that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evidence of market value again came from the two appraisers, with the Aulakhs' appraiser Mr. Doolan suggesting a value of $2,000,000 and the Nahals' appraiser, Mr. Reilly, suggesting $2,050,000, both as of April 3, 2014. Thus, on the Aulakhs' evidence, the Contract price of $2,025,000 was more than market value whereas, on the Nahals' evidence, it was less. In the circumstances, it is reasonable to average the two appraisals which results in a value of $2,025,000. Using this figure, the plaintiff has not established that he suffered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He is however entitled to the return of his deposit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terms of special damages, the plaintiff claims $104,000, which reflects expenses incurred as a result of the Nahals' breach of the Contract. However, this claim suffers from a similar flaw as the claim for specific performance in that there is no evidence that Rajinderpal incurred any of the expenses personally. In response to extensive cross-examination on this issue, Rajinderpal repeatedly said that he had no knowledge of any of the expenses and that Inder could answer the questions better. While this again may reflect the practical reality of how the Aulakh family operates, I find that the plaintiff has failed to establish his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would add that it was not clear on the evidence in any event that other members of the Aulakh family personally incurred expenses related to the failed transaction and aborted move. For example, the two most significant amounts claimed are for rental payments for alternative accommodation and transportation and storage costs. However, all of the invoices in respect to these costs were issued to a company, TransBC Freightways (2007) Ltd., of which Ranjit Aulakh is apparently a director, and the evidence did not establish how these expenses constitute personal expenses of any of the Aulakhs, even assuming they are recoverable in an action brought solely in the name of Rajinderpal.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Nahals' Third Party Claim Against Ms. Li and New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Nahals claim contribution and indemnity from Ms. Li and New Coast for any damages or loss that result from a finding of liability on their part to the plaintiff, including any liability for costs. The Nahals advance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Given my finding that the plaintiff has not established that he suffered any damages for which the Nahals are liable, the third party claim is largely academic. However, as it may impact the issue of costs, I will deal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While I have found that Ms. Li's failure to follow up on the tenancy issue and ensure that it was addressed prior to closing contributed to the ultimate demise of the transaction, in order to succeed in their third party claim, the Nahals must establish the requisite elements of the various causes of action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Ms. Li submits that the Nahals'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fail because they have failed to lead any evidence to establish the applicable standard of care. Ms. Li cites the decision of the Ontario Court of Appeal in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where the Court said at paras. 125 and 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To avoid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real estate agent must exercise the standard of care that would be expected of a reasonable and prudent agent in the same circumstances. This general standard, a question of law, will not vary between cases and there is no need for it to be established through the use of expert evidence: see Wong v. 407527 Ontario Ltd., </w:t>
      </w:r>
      <w:hyperlink r:id="rId1125" w:history="1">
        <w:r>
          <w:rPr>
            <w:rFonts w:ascii="arial" w:eastAsia="arial" w:hAnsi="arial" w:cs="arial"/>
            <w:i/>
            <w:color w:val="0077CC"/>
            <w:sz w:val="20"/>
            <w:u w:val="single"/>
            <w:shd w:val="clear" w:color="auto" w:fill="FFFFFF"/>
            <w:lang w:val="en-US" w:eastAsia="en-US" w:bidi="ar-SA"/>
          </w:rPr>
          <w:t>1999 CanLII 3788</w:t>
        </w:r>
      </w:hyperlink>
      <w:r>
        <w:rPr>
          <w:rFonts w:ascii="arial" w:eastAsia="arial" w:hAnsi="arial" w:cs="arial"/>
          <w:color w:val="000000"/>
          <w:sz w:val="20"/>
          <w:lang w:val="en-US" w:eastAsia="en-US" w:bidi="ar-SA"/>
        </w:rPr>
        <w:t xml:space="preserve"> (ON CA), </w:t>
      </w:r>
      <w:hyperlink r:id="rId1125" w:history="1">
        <w:r>
          <w:rPr>
            <w:rFonts w:ascii="arial" w:eastAsia="arial" w:hAnsi="arial" w:cs="arial"/>
            <w:i/>
            <w:color w:val="0077CC"/>
            <w:sz w:val="20"/>
            <w:u w:val="single"/>
            <w:shd w:val="clear" w:color="auto" w:fill="FFFFFF"/>
            <w:lang w:val="en-US" w:eastAsia="en-US" w:bidi="ar-SA"/>
          </w:rPr>
          <w:t>[1999] O.J. No. 3377</w:t>
        </w:r>
      </w:hyperlink>
      <w:r>
        <w:rPr>
          <w:rFonts w:ascii="arial" w:eastAsia="arial" w:hAnsi="arial" w:cs="arial"/>
          <w:color w:val="000000"/>
          <w:sz w:val="20"/>
          <w:lang w:val="en-US" w:eastAsia="en-US" w:bidi="ar-SA"/>
        </w:rPr>
        <w:t xml:space="preserve">, </w:t>
      </w:r>
      <w:hyperlink r:id="rId1125" w:history="1">
        <w:r>
          <w:rPr>
            <w:rFonts w:ascii="arial" w:eastAsia="arial" w:hAnsi="arial" w:cs="arial"/>
            <w:i/>
            <w:color w:val="0077CC"/>
            <w:sz w:val="20"/>
            <w:u w:val="single"/>
            <w:shd w:val="clear" w:color="auto" w:fill="FFFFFF"/>
            <w:lang w:val="en-US" w:eastAsia="en-US" w:bidi="ar-SA"/>
          </w:rPr>
          <w:t>179 D.L.R. (4th) 38</w:t>
        </w:r>
      </w:hyperlink>
      <w:r>
        <w:rPr>
          <w:rFonts w:ascii="arial" w:eastAsia="arial" w:hAnsi="arial" w:cs="arial"/>
          <w:color w:val="000000"/>
          <w:sz w:val="20"/>
          <w:lang w:val="en-US" w:eastAsia="en-US" w:bidi="ar-SA"/>
        </w:rPr>
        <w:t xml:space="preserve"> (C.A.), at para. 23; Fellowes, McNeil v. Kansa General International Insurance Co., </w:t>
      </w:r>
      <w:hyperlink r:id="rId1126" w:history="1">
        <w:r>
          <w:rPr>
            <w:rFonts w:ascii="arial" w:eastAsia="arial" w:hAnsi="arial" w:cs="arial"/>
            <w:i/>
            <w:color w:val="0077CC"/>
            <w:sz w:val="20"/>
            <w:u w:val="single"/>
            <w:shd w:val="clear" w:color="auto" w:fill="FFFFFF"/>
            <w:lang w:val="en-US" w:eastAsia="en-US" w:bidi="ar-SA"/>
          </w:rPr>
          <w:t>2000 CanLII 22279</w:t>
        </w:r>
      </w:hyperlink>
      <w:r>
        <w:rPr>
          <w:rFonts w:ascii="arial" w:eastAsia="arial" w:hAnsi="arial" w:cs="arial"/>
          <w:color w:val="000000"/>
          <w:sz w:val="20"/>
          <w:lang w:val="en-US" w:eastAsia="en-US" w:bidi="ar-SA"/>
        </w:rPr>
        <w:t xml:space="preserve"> (ON CA), </w:t>
      </w:r>
      <w:hyperlink r:id="rId1126" w:history="1">
        <w:r>
          <w:rPr>
            <w:rFonts w:ascii="arial" w:eastAsia="arial" w:hAnsi="arial" w:cs="arial"/>
            <w:i/>
            <w:color w:val="0077CC"/>
            <w:sz w:val="20"/>
            <w:u w:val="single"/>
            <w:shd w:val="clear" w:color="auto" w:fill="FFFFFF"/>
            <w:lang w:val="en-US" w:eastAsia="en-US" w:bidi="ar-SA"/>
          </w:rPr>
          <w:t>[2000] O.J. No. 3309</w:t>
        </w:r>
      </w:hyperlink>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138 O.A.C. 28</w:t>
        </w:r>
      </w:hyperlink>
      <w:r>
        <w:rPr>
          <w:rFonts w:ascii="arial" w:eastAsia="arial" w:hAnsi="arial" w:cs="arial"/>
          <w:color w:val="000000"/>
          <w:sz w:val="20"/>
          <w:lang w:val="en-US" w:eastAsia="en-US" w:bidi="ar-SA"/>
        </w:rPr>
        <w:t xml:space="preserve"> (C.A.), at para. 11. The translation of that standard into a particular set of obligations owed by a defendant in a given case, however, is a question of fact (Wong, at para. 23; Fellowes, at para. 11). External indicators of reasonable conduct, such as custom, industry practice and statutory or regulatory standard, may inform the standard. Where a debate arises as to how a reasonable agent would have conducted himself or herself, recourse should generally be made to 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The jurisprudence indicates that, in general, it is inappropriate for a trial court to determine the standard of care in a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in the absence of expert evidence. See Zink v. Adrian, </w:t>
      </w:r>
      <w:hyperlink r:id="rId1127"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(CanLII), </w:t>
      </w:r>
      <w:hyperlink r:id="rId1127" w:history="1">
        <w:r>
          <w:rPr>
            <w:rFonts w:ascii="arial" w:eastAsia="arial" w:hAnsi="arial" w:cs="arial"/>
            <w:i/>
            <w:color w:val="0077CC"/>
            <w:sz w:val="20"/>
            <w:u w:val="single"/>
            <w:shd w:val="clear" w:color="auto" w:fill="FFFFFF"/>
            <w:lang w:val="en-US" w:eastAsia="en-US" w:bidi="ar-SA"/>
          </w:rPr>
          <w:t>[2005] B.C.J. No. 295</w:t>
        </w:r>
      </w:hyperlink>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37 B.C.L.R. (4th) 389</w:t>
        </w:r>
      </w:hyperlink>
      <w:r>
        <w:rPr>
          <w:rFonts w:ascii="arial" w:eastAsia="arial" w:hAnsi="arial" w:cs="arial"/>
          <w:color w:val="000000"/>
          <w:sz w:val="20"/>
          <w:lang w:val="en-US" w:eastAsia="en-US" w:bidi="ar-SA"/>
        </w:rPr>
        <w:t xml:space="preserve"> (C.A.), at para. 43, Southin J.A., concurring; Gauvreau v. Paci, </w:t>
      </w:r>
      <w:hyperlink r:id="rId1128" w:history="1">
        <w:r>
          <w:rPr>
            <w:rFonts w:ascii="arial" w:eastAsia="arial" w:hAnsi="arial" w:cs="arial"/>
            <w:i/>
            <w:color w:val="0077CC"/>
            <w:sz w:val="20"/>
            <w:u w:val="single"/>
            <w:shd w:val="clear" w:color="auto" w:fill="FFFFFF"/>
            <w:lang w:val="en-US" w:eastAsia="en-US" w:bidi="ar-SA"/>
          </w:rPr>
          <w:t>[1996] O.J. No. 2396</w:t>
        </w:r>
      </w:hyperlink>
      <w:r>
        <w:rPr>
          <w:rFonts w:ascii="arial" w:eastAsia="arial" w:hAnsi="arial" w:cs="arial"/>
          <w:color w:val="000000"/>
          <w:sz w:val="20"/>
          <w:lang w:val="en-US" w:eastAsia="en-US" w:bidi="ar-SA"/>
        </w:rPr>
        <w:t xml:space="preserve"> (C.A.), at para. 1; Precision Remodeling Ltd. v. Soskin, Soskin &amp; Potasky LLP, </w:t>
      </w:r>
      <w:hyperlink r:id="rId1129" w:history="1">
        <w:r>
          <w:rPr>
            <w:rFonts w:ascii="arial" w:eastAsia="arial" w:hAnsi="arial" w:cs="arial"/>
            <w:i/>
            <w:color w:val="0077CC"/>
            <w:sz w:val="20"/>
            <w:u w:val="single"/>
            <w:shd w:val="clear" w:color="auto" w:fill="FFFFFF"/>
            <w:lang w:val="en-US" w:eastAsia="en-US" w:bidi="ar-SA"/>
          </w:rPr>
          <w:t>[2008] O.J. No. 2560</w:t>
        </w:r>
      </w:hyperlink>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2008 CanLII 31411</w:t>
        </w:r>
      </w:hyperlink>
      <w:r>
        <w:rPr>
          <w:rFonts w:ascii="arial" w:eastAsia="arial" w:hAnsi="arial" w:cs="arial"/>
          <w:color w:val="000000"/>
          <w:sz w:val="20"/>
          <w:lang w:val="en-US" w:eastAsia="en-US" w:bidi="ar-SA"/>
        </w:rPr>
        <w:t xml:space="preserve"> (ON SC), </w:t>
      </w:r>
      <w:hyperlink r:id="rId1129" w:history="1">
        <w:r>
          <w:rPr>
            <w:rFonts w:ascii="arial" w:eastAsia="arial" w:hAnsi="arial" w:cs="arial"/>
            <w:i/>
            <w:color w:val="0077CC"/>
            <w:sz w:val="20"/>
            <w:u w:val="single"/>
            <w:shd w:val="clear" w:color="auto" w:fill="FFFFFF"/>
            <w:lang w:val="en-US" w:eastAsia="en-US" w:bidi="ar-SA"/>
          </w:rPr>
          <w:t>2008 CanLII 31411</w:t>
        </w:r>
      </w:hyperlink>
      <w:r>
        <w:rPr>
          <w:rFonts w:ascii="arial" w:eastAsia="arial" w:hAnsi="arial" w:cs="arial"/>
          <w:color w:val="000000"/>
          <w:sz w:val="20"/>
          <w:lang w:val="en-US" w:eastAsia="en-US" w:bidi="ar-SA"/>
        </w:rPr>
        <w:t xml:space="preserve"> (S.C.J.), at para. 57; Dinevski v. Snowdon, </w:t>
      </w:r>
      <w:hyperlink r:id="rId1130" w:history="1">
        <w:r>
          <w:rPr>
            <w:rFonts w:ascii="arial" w:eastAsia="arial" w:hAnsi="arial" w:cs="arial"/>
            <w:i/>
            <w:color w:val="0077CC"/>
            <w:sz w:val="20"/>
            <w:u w:val="single"/>
            <w:shd w:val="clear" w:color="auto" w:fill="FFFFFF"/>
            <w:lang w:val="en-US" w:eastAsia="en-US" w:bidi="ar-SA"/>
          </w:rPr>
          <w:t>[2010] O.J. No. 2516</w:t>
        </w:r>
      </w:hyperlink>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2010 ONSC 2715</w:t>
        </w:r>
      </w:hyperlink>
      <w:r>
        <w:rPr>
          <w:rFonts w:ascii="arial" w:eastAsia="arial" w:hAnsi="arial" w:cs="arial"/>
          <w:color w:val="000000"/>
          <w:sz w:val="20"/>
          <w:lang w:val="en-US" w:eastAsia="en-US" w:bidi="ar-SA"/>
        </w:rPr>
        <w:t xml:space="preserve"> (CanLII), at paras. 68-69; Adeshina v. Litwiniuk &amp; Co., </w:t>
      </w:r>
      <w:hyperlink r:id="rId1131" w:history="1">
        <w:r>
          <w:rPr>
            <w:rFonts w:ascii="arial" w:eastAsia="arial" w:hAnsi="arial" w:cs="arial"/>
            <w:i/>
            <w:color w:val="0077CC"/>
            <w:sz w:val="20"/>
            <w:u w:val="single"/>
            <w:shd w:val="clear" w:color="auto" w:fill="FFFFFF"/>
            <w:lang w:val="en-US" w:eastAsia="en-US" w:bidi="ar-SA"/>
          </w:rPr>
          <w:t>2010 ABQB 80</w:t>
        </w:r>
      </w:hyperlink>
      <w:r>
        <w:rPr>
          <w:rFonts w:ascii="arial" w:eastAsia="arial" w:hAnsi="arial" w:cs="arial"/>
          <w:color w:val="000000"/>
          <w:sz w:val="20"/>
          <w:lang w:val="en-US" w:eastAsia="en-US" w:bidi="ar-SA"/>
        </w:rPr>
        <w:t xml:space="preserve"> (CanLII), </w:t>
      </w:r>
      <w:hyperlink r:id="rId1131" w:history="1">
        <w:r>
          <w:rPr>
            <w:rFonts w:ascii="arial" w:eastAsia="arial" w:hAnsi="arial" w:cs="arial"/>
            <w:i/>
            <w:color w:val="0077CC"/>
            <w:sz w:val="20"/>
            <w:u w:val="single"/>
            <w:shd w:val="clear" w:color="auto" w:fill="FFFFFF"/>
            <w:lang w:val="en-US" w:eastAsia="en-US" w:bidi="ar-SA"/>
          </w:rPr>
          <w:t>[2010] A.J. No. 125</w:t>
        </w:r>
      </w:hyperlink>
      <w:r>
        <w:rPr>
          <w:rFonts w:ascii="arial" w:eastAsia="arial" w:hAnsi="arial" w:cs="arial"/>
          <w:color w:val="000000"/>
          <w:sz w:val="20"/>
          <w:lang w:val="en-US" w:eastAsia="en-US" w:bidi="ar-SA"/>
        </w:rPr>
        <w:t xml:space="preserve">, </w:t>
      </w:r>
      <w:hyperlink r:id="rId1131" w:history="1">
        <w:r>
          <w:rPr>
            <w:rFonts w:ascii="arial" w:eastAsia="arial" w:hAnsi="arial" w:cs="arial"/>
            <w:i/>
            <w:color w:val="0077CC"/>
            <w:sz w:val="20"/>
            <w:u w:val="single"/>
            <w:shd w:val="clear" w:color="auto" w:fill="FFFFFF"/>
            <w:lang w:val="en-US" w:eastAsia="en-US" w:bidi="ar-SA"/>
          </w:rPr>
          <w:t>24 Alta. L.R. (5th) 67</w:t>
        </w:r>
      </w:hyperlink>
      <w:r>
        <w:rPr>
          <w:rFonts w:ascii="arial" w:eastAsia="arial" w:hAnsi="arial" w:cs="arial"/>
          <w:color w:val="000000"/>
          <w:sz w:val="20"/>
          <w:lang w:val="en-US" w:eastAsia="en-US" w:bidi="ar-SA"/>
        </w:rPr>
        <w:t xml:space="preserve"> (Q.B.), at paras. 160-75.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Numerous decisions of this court have found that expert evidence is required to establish the standard of care of a realtor: </w:t>
      </w:r>
      <w:r>
        <w:rPr>
          <w:rFonts w:ascii="arial" w:eastAsia="arial" w:hAnsi="arial" w:cs="arial"/>
          <w:i/>
          <w:color w:val="000000"/>
          <w:sz w:val="20"/>
          <w:lang w:val="en-US" w:eastAsia="en-US" w:bidi="ar-SA"/>
        </w:rPr>
        <w:t>Summit Staging Ltd. v. 596373 B.C. Ltd.</w:t>
      </w:r>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2008 BCSC 198</w:t>
        </w:r>
      </w:hyperlink>
      <w:r>
        <w:rPr>
          <w:rFonts w:ascii="arial" w:eastAsia="arial" w:hAnsi="arial" w:cs="arial"/>
          <w:color w:val="000000"/>
          <w:sz w:val="20"/>
          <w:lang w:val="en-US" w:eastAsia="en-US" w:bidi="ar-SA"/>
        </w:rPr>
        <w:t xml:space="preserve"> at paras. 46-54; </w:t>
      </w:r>
      <w:r>
        <w:rPr>
          <w:rFonts w:ascii="arial" w:eastAsia="arial" w:hAnsi="arial" w:cs="arial"/>
          <w:i/>
          <w:color w:val="000000"/>
          <w:sz w:val="20"/>
          <w:lang w:val="en-US" w:eastAsia="en-US" w:bidi="ar-SA"/>
        </w:rPr>
        <w:t>Perrault v. North Vancouver (District)</w:t>
      </w:r>
      <w:r>
        <w:rPr>
          <w:rFonts w:ascii="arial" w:eastAsia="arial" w:hAnsi="arial" w:cs="arial"/>
          <w:color w:val="000000"/>
          <w:sz w:val="20"/>
          <w:lang w:val="en-US" w:eastAsia="en-US" w:bidi="ar-SA"/>
        </w:rPr>
        <w:t xml:space="preserve">, </w:t>
      </w:r>
      <w:hyperlink r:id="rId1133" w:history="1">
        <w:r>
          <w:rPr>
            <w:rFonts w:ascii="arial" w:eastAsia="arial" w:hAnsi="arial" w:cs="arial"/>
            <w:i/>
            <w:color w:val="0077CC"/>
            <w:sz w:val="20"/>
            <w:u w:val="single"/>
            <w:shd w:val="clear" w:color="auto" w:fill="FFFFFF"/>
            <w:lang w:val="en-US" w:eastAsia="en-US" w:bidi="ar-SA"/>
          </w:rPr>
          <w:t>2010 BCSC 382</w:t>
        </w:r>
      </w:hyperlink>
      <w:r>
        <w:rPr>
          <w:rFonts w:ascii="arial" w:eastAsia="arial" w:hAnsi="arial" w:cs="arial"/>
          <w:color w:val="000000"/>
          <w:sz w:val="20"/>
          <w:lang w:val="en-US" w:eastAsia="en-US" w:bidi="ar-SA"/>
        </w:rPr>
        <w:t xml:space="preserve"> at paras. 12-27; </w:t>
      </w:r>
      <w:r>
        <w:rPr>
          <w:rFonts w:ascii="arial" w:eastAsia="arial" w:hAnsi="arial" w:cs="arial"/>
          <w:i/>
          <w:color w:val="000000"/>
          <w:sz w:val="20"/>
          <w:lang w:val="en-US" w:eastAsia="en-US" w:bidi="ar-SA"/>
        </w:rPr>
        <w:t>Shaw v. Thody</w:t>
      </w:r>
      <w:r>
        <w:rPr>
          <w:rFonts w:ascii="arial" w:eastAsia="arial" w:hAnsi="arial" w:cs="arial"/>
          <w:color w:val="000000"/>
          <w:sz w:val="20"/>
          <w:lang w:val="en-US" w:eastAsia="en-US" w:bidi="ar-SA"/>
        </w:rPr>
        <w:t xml:space="preserve">, </w:t>
      </w:r>
      <w:hyperlink r:id="rId1134" w:history="1">
        <w:r>
          <w:rPr>
            <w:rFonts w:ascii="arial" w:eastAsia="arial" w:hAnsi="arial" w:cs="arial"/>
            <w:i/>
            <w:color w:val="0077CC"/>
            <w:sz w:val="20"/>
            <w:u w:val="single"/>
            <w:shd w:val="clear" w:color="auto" w:fill="FFFFFF"/>
            <w:lang w:val="en-US" w:eastAsia="en-US" w:bidi="ar-SA"/>
          </w:rPr>
          <w:t>2014 BCSC 688</w:t>
        </w:r>
      </w:hyperlink>
      <w:r>
        <w:rPr>
          <w:rFonts w:ascii="arial" w:eastAsia="arial" w:hAnsi="arial" w:cs="arial"/>
          <w:color w:val="000000"/>
          <w:sz w:val="20"/>
          <w:lang w:val="en-US" w:eastAsia="en-US" w:bidi="ar-SA"/>
        </w:rPr>
        <w:t xml:space="preserve"> at para. 34 and </w:t>
      </w:r>
      <w:r>
        <w:rPr>
          <w:rFonts w:ascii="arial" w:eastAsia="arial" w:hAnsi="arial" w:cs="arial"/>
          <w:i/>
          <w:color w:val="000000"/>
          <w:sz w:val="20"/>
          <w:lang w:val="en-US" w:eastAsia="en-US" w:bidi="ar-SA"/>
        </w:rPr>
        <w:t>Currie v. Sonnenberg</w:t>
      </w:r>
      <w:r>
        <w:rPr>
          <w:rFonts w:ascii="arial" w:eastAsia="arial" w:hAnsi="arial" w:cs="arial"/>
          <w:color w:val="000000"/>
          <w:sz w:val="20"/>
          <w:lang w:val="en-US" w:eastAsia="en-US" w:bidi="ar-SA"/>
        </w:rPr>
        <w:t xml:space="preserve">, </w:t>
      </w:r>
      <w:hyperlink r:id="rId1135" w:history="1">
        <w:r>
          <w:rPr>
            <w:rFonts w:ascii="arial" w:eastAsia="arial" w:hAnsi="arial" w:cs="arial"/>
            <w:i/>
            <w:color w:val="0077CC"/>
            <w:sz w:val="20"/>
            <w:u w:val="single"/>
            <w:shd w:val="clear" w:color="auto" w:fill="FFFFFF"/>
            <w:lang w:val="en-US" w:eastAsia="en-US" w:bidi="ar-SA"/>
          </w:rPr>
          <w:t>2017 BCSC 526</w:t>
        </w:r>
      </w:hyperlink>
      <w:r>
        <w:rPr>
          <w:rFonts w:ascii="arial" w:eastAsia="arial" w:hAnsi="arial" w:cs="arial"/>
          <w:color w:val="000000"/>
          <w:sz w:val="20"/>
          <w:lang w:val="en-US" w:eastAsia="en-US" w:bidi="ar-SA"/>
        </w:rPr>
        <w:t xml:space="preserve"> at paras. 33-37.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There are exceptions to this principle, which were noted by the court in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at paras. 133 and 135: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first exception applies to cases in which it is possible to reliably determine the standard of care without the assistance of expert evidence. As explained by Southin J.A., at para. 44 of Zink, this will be the case only where the court is faced with "non-technical matters or those of which an ordinary person may be expected to have knowledge".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The second exception applies to cases in which the impugned actions of the defendant are so egregious that it is obvious that his or her conduct has fallen short of the standard of care, even without knowing precisely the parameters of that standard: see [page 630] Cosway v. Boorman's Investment Co., </w:t>
      </w:r>
      <w:hyperlink r:id="rId1136" w:history="1">
        <w:r>
          <w:rPr>
            <w:rFonts w:ascii="arial" w:eastAsia="arial" w:hAnsi="arial" w:cs="arial"/>
            <w:i/>
            <w:color w:val="0077CC"/>
            <w:sz w:val="20"/>
            <w:u w:val="single"/>
            <w:shd w:val="clear" w:color="auto" w:fill="FFFFFF"/>
            <w:lang w:val="en-US" w:eastAsia="en-US" w:bidi="ar-SA"/>
          </w:rPr>
          <w:t>[2008] B.C.J. No. 2081</w:t>
        </w:r>
      </w:hyperlink>
      <w:r>
        <w:rPr>
          <w:rFonts w:ascii="arial" w:eastAsia="arial" w:hAnsi="arial" w:cs="arial"/>
          <w:color w:val="000000"/>
          <w:sz w:val="20"/>
          <w:lang w:val="en-US" w:eastAsia="en-US" w:bidi="ar-SA"/>
        </w:rPr>
        <w:t xml:space="preserve">, </w:t>
      </w:r>
      <w:hyperlink r:id="rId1136" w:history="1">
        <w:r>
          <w:rPr>
            <w:rFonts w:ascii="arial" w:eastAsia="arial" w:hAnsi="arial" w:cs="arial"/>
            <w:i/>
            <w:color w:val="0077CC"/>
            <w:sz w:val="20"/>
            <w:u w:val="single"/>
            <w:shd w:val="clear" w:color="auto" w:fill="FFFFFF"/>
            <w:lang w:val="en-US" w:eastAsia="en-US" w:bidi="ar-SA"/>
          </w:rPr>
          <w:t>2008 BCSC 1482</w:t>
        </w:r>
      </w:hyperlink>
      <w:r>
        <w:rPr>
          <w:rFonts w:ascii="arial" w:eastAsia="arial" w:hAnsi="arial" w:cs="arial"/>
          <w:color w:val="000000"/>
          <w:sz w:val="20"/>
          <w:lang w:val="en-US" w:eastAsia="en-US" w:bidi="ar-SA"/>
        </w:rPr>
        <w:t xml:space="preserve"> (CanLII), at para. 35. As can be seen, this second exception involves circumstances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determined without first identifying the parameters of the standard of care rather than identifying a standard of care without the assistance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Nahals cite the decision of Mr. Justice Smith in </w:t>
      </w:r>
      <w:r>
        <w:rPr>
          <w:rFonts w:ascii="arial" w:eastAsia="arial" w:hAnsi="arial" w:cs="arial"/>
          <w:i/>
          <w:color w:val="000000"/>
          <w:sz w:val="20"/>
          <w:lang w:val="en-US" w:eastAsia="en-US" w:bidi="ar-SA"/>
        </w:rPr>
        <w:t>Pepper's Produce Ltd. v. Medallion Realty Ltd.</w:t>
      </w:r>
      <w:r>
        <w:rPr>
          <w:rFonts w:ascii="arial" w:eastAsia="arial" w:hAnsi="arial" w:cs="arial"/>
          <w:color w:val="000000"/>
          <w:sz w:val="20"/>
          <w:lang w:val="en-US" w:eastAsia="en-US" w:bidi="ar-SA"/>
        </w:rPr>
        <w:t xml:space="preserve">, </w:t>
      </w:r>
      <w:hyperlink r:id="rId1137" w:history="1">
        <w:r>
          <w:rPr>
            <w:rFonts w:ascii="arial" w:eastAsia="arial" w:hAnsi="arial" w:cs="arial"/>
            <w:i/>
            <w:color w:val="0077CC"/>
            <w:sz w:val="20"/>
            <w:u w:val="single"/>
            <w:shd w:val="clear" w:color="auto" w:fill="FFFFFF"/>
            <w:lang w:val="en-US" w:eastAsia="en-US" w:bidi="ar-SA"/>
          </w:rPr>
          <w:t>2013 BCSC 2314</w:t>
        </w:r>
      </w:hyperlink>
      <w:r>
        <w:rPr>
          <w:rFonts w:ascii="arial" w:eastAsia="arial" w:hAnsi="arial" w:cs="arial"/>
          <w:color w:val="000000"/>
          <w:sz w:val="20"/>
          <w:lang w:val="en-US" w:eastAsia="en-US" w:bidi="ar-SA"/>
        </w:rPr>
        <w:t xml:space="preserve"> as an example of the type of case in which the court was able to determine the standard of care without expert evidence. There, a realtor acted for both parties in a proposed transaction for the purchase and sale of a business. It was a term of the contract that the plaintiff purchaser be approved by the landlord to assume the lease for the business. The plaintiff ultimately removed all subjects on the advice of the realtor even though neither a new lease nor an assignment of the existing lease had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response to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realtor cited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and argued that there was no expert evidence establishing the standard of care. Mr. Justice Smith rejected that argument, noting that in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the Court of Appeal substituted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 notwithstanding the absence of expert evidence. Mr. Justice Smith said at paras.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Mr. Ng had no duty to obtain a lease on behalf of the plaintiff. That was clearly the job of the plaintiff's solicitor, who appears to have attempted to do so. However, I find that a reasonable realtor would be expected to recommend against removing the last subject until a new lease or a proper assignment was in place and to advise Mr. Wong that a purely verbal agreement with the landlord was insufficient.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failing to give that advice, I find that Mr. Ng breached the applicable standard of care. This finding flows from basic principles of agency and contract and requires no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agree with the Nahals that this is a case in which no expert evidence is required to establish that Ms. Li breached the applicable standard of care. On her own evidence, Ms. Li said that she believed i) that the Aulakhs were going to keep the tenants and ii) the parties were going to deal directly on the issue. However, she failed to draft the Contract to reflect these terms and she failed to take any steps to confirm her understanding or to ensure that the issue was in fact dealt with prior to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the Ontario Court of Appeal described the general standard of care applicable to realtors at para. 125 as that of a "reasonable and prudent agent" in similar circumstances. The Court acknowledged that how the general standard translates into a specific set of obligations in a particular case is a question of fact that will generally require expert evidence. However, the nature of the realtor's conduct in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was such that the court was able to make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"whatever the standard of care" might be (at para. 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the same to be true in this case. In the circumstances, I need not consider the Nahals' additional claims for breach of contract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also find that Ms. Li's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transaction to fail in that but for her failure to follow up on the tenancy issue and ensure that it was properly addressed, the transaction likely would have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That said, it would be unreasonable to apportion fault entirely to Ms. Li. The Nahals knowingly signed the Contract which required them to provide vacant possession and yet they took no steps before the closing date to either terminate the tenancies or to come to a different agreement with the plaintiff. Further, the transaction was able to be salvaged once the Aulakhs' agreed to keep the tenants, yet the Nahals refused to complete and in doing so failed to mitigate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Taking account of all of the evidence, I apportion fault between the Nahals and Ms. Li at 75% for the Nahals and 25% for 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summary, I find that the Nahals breached the Contract by failing to deliver vacant possession by the closing date. The plaintiff, however, has failed to establish that he suffered any damage as a result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is entitled to a return of the deposit he paid in the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caveat and certificate of pending litigation filed against the Property will be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Liability on the Nahals' third party claim against Ms. Li is apportioned 75% to the Nahals and 25% to 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Nahal's counterclaim and the Aulakhs' Third Party Notice to Ms. Li and New Coast are both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8"/>
          <w:headerReference w:type="default" r:id="rId1139"/>
          <w:footerReference w:type="even" r:id="rId1140"/>
          <w:footerReference w:type="default" r:id="rId1141"/>
          <w:headerReference w:type="first" r:id="rId1142"/>
          <w:footerReference w:type="first" r:id="rId11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4" w:history="1">
        <w:r>
          <w:rPr>
            <w:rFonts w:ascii="arial" w:eastAsia="arial" w:hAnsi="arial" w:cs="arial"/>
            <w:b/>
            <w:bCs/>
            <w:i/>
            <w:color w:val="0077CC"/>
            <w:kern w:val="32"/>
            <w:sz w:val="28"/>
            <w:szCs w:val="32"/>
            <w:u w:val="single"/>
            <w:shd w:val="clear" w:color="auto" w:fill="FFFFFF"/>
            <w:lang w:val="en-US" w:eastAsia="en-US" w:bidi="ar-SA"/>
          </w:rPr>
          <w:t>Bagnell v. Taser International, Inc., [2006] B.C.J. No. 3235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December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S064046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3235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1857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C.C.L.T. (3d)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M.P.L.R. (4th)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563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3073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Janna Lavaughan Bagnell, Robert William Bagnell, and Patricia Louise Gillman, Personal Representative of Robert Wayne Bagnell, Deceased, Plaintiffs, and Taser International, Inc., M.D. Charlton Co. Ltd., City of Vancouver, Vancouver Police Board, Vancouver Police Department, Chief Constable Jamie Graham, Mark Steinkampf, Don Chapman, James Flewelling, Evan Williams and Gary Oleskiw,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1" w:name="Keywords_42"/>
      <w:bookmarkEnd w:id="29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Application by defdnnt Police Board for dismissal of action for failure to disclose cause of action dismissed — Plaintiffs alleged Police Board was negligent in purchasing and supplying its police officers with tasers and by failing to ensure tasers were in fact non-lethal means of intervention — Sufficient proximity between plaintiffs and Police Board justifying prima facie duty of care — Policy reasons for negating duty of care in cases of losses arising from exercise of legislative functions thus inapplicable as decision to supply tasers was not exercise of legislative function.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2" w:name="Case Summary_42"/>
            <w:bookmarkEnd w:id="2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Police Board for order dismissing claim against Board for failure to disclose reasonable cause of action -- Plaintiff family commenced present action for compensation after family member died in police custody -- Plaintiffs alleged death occurred as a result of use of taser by officers -- Plaintiffs alleged Police Board was negligent in purchasing and supplying its police officers with tasers and by failing to ensure tasers were in fact non-lethal means of intervention -- Board argued it did not owe plaintiff a private law duty of care -- HELD: Application dismissed -- Sufficient proximity between plaintiffs and Police Board justifying prima facie duty of care -- Police Act created employer-employee relationship between Police Board and its officers -- As employer, Board had operational powers over its police officers -- Act also empowered Board to set policies that governed police force and to make rules respecting all aspects of policing -- Board determine what equipment officers required to carry out duties -- Decision to supply officers with tasers was not exercise of legislative function but made pursuant to Board's statutory mandate to supply officers with necessary equipment to carry out police duties -- Policy reasons for negating duty of care in cases of losses arising from exercise of legislative functions thus inapplicable.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3" w:name="Legislation Cited_30"/>
      <w:bookmarkEnd w:id="2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5"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19(24)(a), Rule 19(27)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1038" w:history="1">
        <w:r>
          <w:rPr>
            <w:rFonts w:ascii="arial" w:eastAsia="arial" w:hAnsi="arial" w:cs="arial"/>
            <w:i/>
            <w:color w:val="0077CC"/>
            <w:sz w:val="20"/>
            <w:u w:val="single"/>
            <w:shd w:val="clear" w:color="auto" w:fill="FFFFFF"/>
            <w:lang w:val="en-US" w:eastAsia="en-US" w:bidi="ar-SA"/>
          </w:rPr>
          <w:t>R.S.B.C. 1996, c. 367, s. 20</w:t>
        </w:r>
      </w:hyperlink>
      <w:r>
        <w:rPr>
          <w:rFonts w:ascii="arial" w:eastAsia="arial" w:hAnsi="arial" w:cs="arial"/>
          <w:color w:val="000000"/>
          <w:sz w:val="20"/>
          <w:lang w:val="en-US" w:eastAsia="en-US" w:bidi="ar-SA"/>
        </w:rPr>
        <w:t>, s. 21, s. 26, s. 26(3), s. 26(3)(a), s. 26(3)(b), s. 26(3)(c), s. 26(4), s. 28(1), s. 28(1)(a), s. 28(1)(b), s. 28(1)(c), s. 34(1), s. 46(1), s. 64(1)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Services Act, s. 139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4" w:name="Counsel_43"/>
      <w:bookmarkEnd w:id="2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A.C.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City of Vancouver, Vancouver Police Board, Chief Constable Jamie Graham, Mark Steinkampf, Don Chapman, James Flewelling, Evan Williams and Gary Oleskiw: T. Zworski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5" w:name="Judgment_43"/>
      <w:bookmarkEnd w:id="295"/>
      <w:r>
        <w:pict>
          <v:line id="_x0000_s1247" style="position:absolute;z-index:251856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6" w:name="WEDGE J. (orally)"/>
            <w:bookmarkEnd w:id="296"/>
            <w:r>
              <w:rPr>
                <w:rFonts w:ascii="arial" w:eastAsia="arial" w:hAnsi="arial" w:cs="arial"/>
                <w:b/>
                <w:color w:val="000000"/>
                <w:sz w:val="30"/>
                <w:lang w:val="en-US" w:eastAsia="en-US" w:bidi="ar-SA"/>
              </w:rPr>
              <w:t>WEDGE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Robert Bagnell died in police custody on June 23, 2004. The plaintiffs, who are members of his family, have brought an action under the ,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claiming Mr. Bagnell died as a result of the use of a "taser" by police officers in the Vancouver Police Department. The plaintiffs have named as defendants the police officers involved, the Chief Constable, the City of Vancouver and the Vancouver Police Board, (collectively referred to as the "Police Defendants"), as well as the manufacturer and the Canadian distributor of tasers.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primarily that the Police Board was negligent in purchasing and supplying its police officers with tasers and by failing to ensure the tasers were in fact a non-lethal means of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Vancouver Police Board has brought this application under Rule 19(24)(a)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for an order dismissing the action against the Police Board on the basis that it discloses no reasonable claim. The Police Board argued that it cannot be liable because it does not, and did not, owe the plaintiff a private law duty of care in relation to the alleged acts or omissions. More specifically, it argued there is not sufficient proximity between it and the plaintiffs to establish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argued that the Police Board made the operational decision to purchase and supply its police officers with tasers and, as such, owed the plaintiffs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narrow issue is whether it is "plain and obvious" that the Police Board did not owe the plaintiffs a private law duty of care such that the action against it is certain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Allegations Contained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essence of the plaintiffs' claim against the Police Board is that Mr. Bagnell died as a result of the Police Board's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particulars of the Board's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contained in paragraph 28 of the statement of claim, and are as follows:</w:t>
      </w:r>
      <w:r>
        <w:rPr>
          <w:rFonts w:ascii="arial" w:eastAsia="arial" w:hAnsi="arial" w:cs="arial"/>
          <w:sz w:val="20"/>
          <w:lang w:val="en-US" w:eastAsia="en-US" w:bidi="ar-SA"/>
        </w:rPr>
        <w:cr/>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instruct, train, supervise or control individual police defendants;</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the individual police defendants with tasers; and</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the tasers were independently tested and properly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Also relevant to this application are the facts alleged in other paragraphs of the statement of claim. They are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individual police officers involved in Mr. Bagnell's death were employed, trained and supervised by the Police Board (para. 17);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police board purchased the tasers and supplied them to the individual police officers (paras. 23 &amp; 24);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although the Police Board knew many people have died after being shot by tasers, the Police Board continued to supply them to its officers for use as a non-lethal means of intervention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Applications under Rule 19(24)(a)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common ground between the parties that for purposes of this application the allegations of fact in the statement of claim must be accepted as if proven: Rule 19(27);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Police Board accepts that the test is a stringent one. Only if the action is certain to fail should the claim be struck. The Court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said the following at page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 should the relevant portions of a plaintiff's statement of claim be struck out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Test for Establishing Existence of Duty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the Supreme Court of Canada, affirming the two-stage test, articulated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with respect to the existence of a private law duty of care. At the first stage, the question is whether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If so, the question at the second stage is whether there are policy considerations that might negate the imposition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first-stage inquiry involves two issues: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must fall within, or be analogous to, a category of cases in which a duty of care has previously been recognized;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enough that the harm complained of is a reasonably foreseeable consequence of the alleged breach. There must also be sufficient relational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focus of the inquiry at this stage is the nature of the relationship between the plaintiff and the defendant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second stage inquiry involves policy considerations, not with respect to the relationship between the parties, but as to the effect of imposing a duty of care in the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Police Board says there is insufficient proximity between it and the plaintiffs to create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Board's functions, it argued, are analogous to those of the statutory regulator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In that case the Supreme Court of Canada held that any factors giving rise to proximity must be found in the legislation governing the public body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was an investor who alleged that the Registrar of Mortgage Brokers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properly oversee the conduct of an investment company which the Registrar had licensed. The question was whether the Registrar owed a private law duty of care to members of the investing public, giving rise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losses suffered by the investors of Eron Mortgage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concluded that the regulatory scheme governing mortgage brokers provided only a general framework to ensure the efficient operation of the mortgage marketplace. The Registrar's overarching duty was to the public as a whole. At para. 49,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must balance a myriad of competing interests, ensuring that the public has access to capital through mortgage financing while at the same time instilling public confidence in the system by determining who is "suitable" and whose proposed registration as a broker is "not objectionable". All of the powers or tools conferred by the Act on the Registrar are necessary to undertake this delicate balancing. Even though to some degree the provisions of the Act serve to protect the interests of investors, the overall scheme of the Act mandates that the Registrar's duty of care is not owed to investors exclusively but to the public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observed at para. 50 that it could not construe the statute to impose a duty on the Registrar specific to investments with mortgage brokers because "Such a duty would ... come at the expense of other important interests, of efficiency and finally at the expense of public confidence in the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1145"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the Court held there was insufficient proximity between a person who deposited money into a lawyer's trust account and the Law Society responsible for setting the standards of the legal profession. At para. 14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Law Society Act</w:t>
      </w:r>
      <w:r>
        <w:rPr>
          <w:rFonts w:ascii="arial" w:eastAsia="arial" w:hAnsi="arial" w:cs="arial"/>
          <w:color w:val="000000"/>
          <w:sz w:val="20"/>
          <w:lang w:val="en-US" w:eastAsia="en-US" w:bidi="ar-SA"/>
        </w:rPr>
        <w:t xml:space="preserve"> is geared for the protection of clients and thereby the public as a whole, it does not mean that the Law Society owes a private law duty of care to a member of the public who deposits money into a solicitor's trust account. Decisions made by the Law Society require the exercise of legislatively delegated discretion and involve pursuing a myriad of objectives consistent with public rather than private law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 xml:space="preserve">Private Law Duty of Care under the </w:t>
            </w:r>
            <w:r>
              <w:rPr>
                <w:rFonts w:ascii="arial" w:eastAsia="arial" w:hAnsi="arial" w:cs="arial"/>
                <w:b/>
                <w:i/>
                <w:color w:val="000000"/>
                <w:sz w:val="18"/>
                <w:lang w:val="en-US" w:eastAsia="en-US" w:bidi="ar-SA"/>
              </w:rPr>
              <w:t>Police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will turn now to the issue of whether there exists, in the circumstances of this case, a private law duty of care under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Police Board argued that any factors giving rise to proximity must be found in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which is the legislation creating and governing the Police Board. It said a reading of the statute discloses that the role of the Police Board is limited to setting policy by determining the priorities, goals and objectives of the Vancouver Police Department. Assuming it was the decision of the Police Board to purchase the tasers and arm its police officers with them, it argued that the decision was a policy decision and not an operational one. As such, said the Police Board, there is insufficient proximity between the Board and members of the public whose family members are harmed by individual police officers using tasers as a means of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on the other hand, submitted that the decision to buy and arm its police force with tasers was an operational decision that only the Police Board could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Police Board relied on the decision of the Supreme Court of Canada in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to argue that it does not owe a private duty of care to provide proper policing services. In that case the Court concluded there was insufficient proximity between the municipal police board and individual members of the public to establish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a man was shot and killed by municipal police officers in Toronto. The family of the deceased commenced an action against, among others, the Toronto Police Services Board. The action was not related to the allegedly wrongful death but to the alleged failure of the police officers involved in the shooting to cooperate with the investigation into the death. That failure, they said, caused them, among other things, to suffer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significant to note that the plaintiffs in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did not allege the Board was under a private law obligation to ensure that its police officers cooperated with the investigation into the death of the deceased. They alleged that the Board had a private law duty of care to ensure that police officers, as a matter of general policy, cooperated with investigations into their conduct. The Court concluded there was a lack of a close causal connection between the alleged misconduct and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also significant to note that the Court found the police chief had the statutory authority to supervise the day-to-day conduct of police officers </w:t>
      </w:r>
      <w:r>
        <w:rPr>
          <w:rFonts w:ascii="arial" w:eastAsia="arial" w:hAnsi="arial" w:cs="arial"/>
          <w:i/>
          <w:color w:val="000000"/>
          <w:sz w:val="20"/>
          <w:lang w:val="en-US" w:eastAsia="en-US" w:bidi="ar-SA"/>
        </w:rPr>
        <w:t>to the exclusion of the Board</w:t>
      </w:r>
      <w:r>
        <w:rPr>
          <w:rFonts w:ascii="arial" w:eastAsia="arial" w:hAnsi="arial" w:cs="arial"/>
          <w:color w:val="000000"/>
          <w:sz w:val="20"/>
          <w:lang w:val="en-US" w:eastAsia="en-US" w:bidi="ar-SA"/>
        </w:rPr>
        <w:t xml:space="preserve">. The Court noted (at para. 6) a specific provision of the </w:t>
      </w:r>
      <w:r>
        <w:rPr>
          <w:rFonts w:ascii="arial" w:eastAsia="arial" w:hAnsi="arial" w:cs="arial"/>
          <w:b/>
          <w:i/>
          <w:color w:val="000000"/>
          <w:sz w:val="20"/>
          <w:lang w:val="en-US" w:eastAsia="en-US" w:bidi="ar-SA"/>
        </w:rPr>
        <w:t>Police Services Act</w:t>
      </w:r>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R.S.O. 1990, c. P.15</w:t>
        </w:r>
      </w:hyperlink>
      <w:r>
        <w:rPr>
          <w:rFonts w:ascii="arial" w:eastAsia="arial" w:hAnsi="arial" w:cs="arial"/>
          <w:color w:val="000000"/>
          <w:sz w:val="20"/>
          <w:lang w:val="en-US" w:eastAsia="en-US" w:bidi="ar-SA"/>
        </w:rPr>
        <w:t>, which precluded the Board from directing the police chief in operational matters. The provision, s. 34(4),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shall not direct the chief of police with respect to specific operational decisions or with respect to the day-to-day operation of the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the Court, this lack of involvement by the Board in the operational matters of its police force substantially weakened the nexus between the Board and members of the public injured as a consequence of police misconduct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also a specific provision in the Act imposing on the police chief the obligation to ensure that members of the force carried out the duties in accordance with the Act and the needs of the community. That included an obligation to ensure compliance by members of the force with internal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Further, the Court found that the Board's general obligation under the </w:t>
      </w:r>
      <w:r>
        <w:rPr>
          <w:rFonts w:ascii="arial" w:eastAsia="arial" w:hAnsi="arial" w:cs="arial"/>
          <w:b/>
          <w:i/>
          <w:color w:val="000000"/>
          <w:sz w:val="20"/>
          <w:lang w:val="en-US" w:eastAsia="en-US" w:bidi="ar-SA"/>
        </w:rPr>
        <w:t>Police Services Act</w:t>
      </w:r>
      <w:r>
        <w:rPr>
          <w:rFonts w:ascii="arial" w:eastAsia="arial" w:hAnsi="arial" w:cs="arial"/>
          <w:color w:val="000000"/>
          <w:sz w:val="20"/>
          <w:lang w:val="en-US" w:eastAsia="en-US" w:bidi="ar-SA"/>
        </w:rPr>
        <w:t xml:space="preserve"> was to provide "adequate and effective police services," an obligation found in s. 139 of the statute. The Board had the broad discretion to implement general policies designed to provide those services, but was not under any express obligation to ensure that members carried out their duties in accordance with the </w:t>
      </w:r>
      <w:r>
        <w:rPr>
          <w:rFonts w:ascii="arial" w:eastAsia="arial" w:hAnsi="arial" w:cs="arial"/>
          <w:b/>
          <w:i/>
          <w:color w:val="000000"/>
          <w:sz w:val="20"/>
          <w:lang w:val="en-US" w:eastAsia="en-US" w:bidi="ar-SA"/>
        </w:rPr>
        <w:t>Police Services Act</w:t>
      </w:r>
      <w:r>
        <w:rPr>
          <w:rFonts w:ascii="arial" w:eastAsia="arial" w:hAnsi="arial" w:cs="arial"/>
          <w:color w:val="000000"/>
          <w:sz w:val="20"/>
          <w:lang w:val="en-US" w:eastAsia="en-US" w:bidi="ar-SA"/>
        </w:rPr>
        <w:t>. More specifically, there was nothing in the statute requiring the Board to enact a general policy with respect to officers cooperating with internal investigations. Thus, said the Court, the Board was free to determine what objectives to pursue and what policies to enact to achieve those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significant to note, however, that the Court found sufficient proximity between the plaintiffs and the police chief - the person responsible for the operational decisions concerning the police force - to establish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 the Court acknowledged there may be circumstances in which the Board could have a positive duty to address a particular issue, even in its limited role as policy-maker. In that regard, the Court said the following at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I concede, that circumstances might arise in which the Board is required to address a particular problem in order to discharge its statutory obligation to provide adequate and effective police services. If there was evidence, for example, of a widespread problem in respect of the excessive use of force in the detention of visible minorities, the Board arguably is under a positive obligation to combat racism and the resultant use of excessive force. But as a general matter, courts should be loath to interfere with the Board's broad discretion to determine what objectives and priorities to pursue, or what policies to enact in pursuit of those objectives. Suffice it to say, the Board's decision not to enact additional policies or training procedures in respect of s. 113(9) does not constitute a breach of its obligation to provide "adequate and effective" police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Ribeiro v. Vancouver (City)</w:t>
      </w:r>
      <w:r>
        <w:rPr>
          <w:rFonts w:ascii="arial" w:eastAsia="arial" w:hAnsi="arial" w:cs="arial"/>
          <w:color w:val="000000"/>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[2005] B.C.J. No. 579</w:t>
        </w:r>
      </w:hyperlink>
      <w:r>
        <w:rPr>
          <w:rFonts w:ascii="arial" w:eastAsia="arial" w:hAnsi="arial" w:cs="arial"/>
          <w:color w:val="000000"/>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2005 BCSC 395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it was held that the Police Board did not owe a private law duty of care to a plaintiff injured by police officers. The plaintiff suffered from a mental illness that precipitated a confrontation with officers of the Vancouver Police Department. The plaintiff sued the City of Vancouver as a result of injuries he sustained in the confrontation. The City applied to strike the action. The plaintiff brought a cross-application to add the Police Board as a defendant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alleged that under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the Police Board had a duty to generate policies to assist its members in effectively and safely dealing with mentally ill citizens, and had breached that duty. The issue was whether the Police Board had a private law duty of care to create policies with the objective of providing policing services designed specifically to deal with persons suffering from mental illness. The Police Board argued there was insufficient proximity between it and the plaintiff to impose such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Kirkpatrick J. (as she then was), citing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concluded that in the circumstances of the case there was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on the part of the Police Board. She observed that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made the Board responsible for setting policies for the police department. As such, the Court should not interfere with the Board's broad statutory discretion to enact or decline to enact those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from the Act that the Board's function is to determine the "priorities, goals and objectives" of the police department. That is classically a policy function. The execution of the policies are, under s. 34(2) of the Act, left to the chief constable. As was the case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the Board is "much further in the background than the chief." There is nothing in the Act to suggest that the Board is involved in the supervision of the day-to-day conduct of the police officers. As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the Board supervises the chief constable who, in turn, supervises the members of the police force. [</w:t>
      </w:r>
      <w:r>
        <w:rPr>
          <w:rFonts w:ascii="arial" w:eastAsia="arial" w:hAnsi="arial" w:cs="arial"/>
          <w:b/>
          <w:i/>
          <w:color w:val="000000"/>
          <w:sz w:val="20"/>
          <w:lang w:val="en-US" w:eastAsia="en-US" w:bidi="ar-SA"/>
        </w:rPr>
        <w:t>Rebeiro</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Kirkpatrick J. emphasized that Mr. Ribeiro was essentially attempting by means of a tort claim to impose on the Police Board the duty to implement social policy. She concluded that such policy-making was the function of the Police Board, and accordingly there was not a relationship of sufficient proximity to justify imposing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unique problem posed by mentally ill persons is that they are not a "visible" minority. They may behave in a manner that is unusual, but that behaviour may not necessarily categorize them as mentally ill. Mr. Ribeiro has pleaded that members of the VPD have, in the past, wounded or killed citizens who suffer from mental illness and has provided a list of specific incidents. But again, the duties owed by the Board under the statutory scheme are owed to the general public as a whole, not to a particular class of persons, and are inherently public and political in nature. The statute imposes an obligation to provide policing services and it would not be appropriate to 'read in' other specific duties. </w:t>
      </w:r>
      <w:r>
        <w:rPr>
          <w:rFonts w:ascii="arial" w:eastAsia="arial" w:hAnsi="arial" w:cs="arial"/>
          <w:i/>
          <w:color w:val="000000"/>
          <w:sz w:val="20"/>
          <w:lang w:val="en-US" w:eastAsia="en-US" w:bidi="ar-SA"/>
        </w:rPr>
        <w:t>... In effect, Mr. Ribeiro is attempting to litigate a social policy issue by means of a tort claim. The law is clear that the issues raised by Mr. Ribeiro in his independent tort claims against the City and the Board are more appropriately dealt with in the political and legislative context, rather than in the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these circumstances, I conclude that the Board, whose </w:t>
      </w:r>
      <w:r>
        <w:rPr>
          <w:rFonts w:ascii="arial" w:eastAsia="arial" w:hAnsi="arial" w:cs="arial"/>
          <w:i/>
          <w:color w:val="000000"/>
          <w:sz w:val="20"/>
          <w:lang w:val="en-US" w:eastAsia="en-US" w:bidi="ar-SA"/>
        </w:rPr>
        <w:t>primary</w:t>
      </w:r>
      <w:r>
        <w:rPr>
          <w:rFonts w:ascii="arial" w:eastAsia="arial" w:hAnsi="arial" w:cs="arial"/>
          <w:color w:val="000000"/>
          <w:sz w:val="20"/>
          <w:lang w:val="en-US" w:eastAsia="en-US" w:bidi="ar-SA"/>
        </w:rPr>
        <w:t xml:space="preserve"> function is to determine the policies of the police department and govern the police department, is not in a relationship of sufficient proximity with Mr. Ribeiro to justify imposing a prima facie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at paras. 62-63,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Application of the Law to the Present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Stage one: Is there a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Police Board argued that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and the provisions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itself, constitute a full answer to the plaintiffs' claim as it relates to the Board. He says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supports the view that the Police Board's duty under the Act is limited to establishing the priorities, goals and objectives of the police department through policies, as distinct from making operational decisions. As such, it says there is insufficient proximity between the plaintiffs and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With respect, I do not read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so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Consideration must be given to the factual context in which both the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decisions were decided. In each case the plaintiff alleged a failure by the Police Board to initiate certain policies of general application to its police force. In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the allegation was that the Board breached a duty of care to ensure that police officers as a matter of general practice cooperate with internal investigations. In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the plaintiff alleged a failure by the Board to initiate a general policy concerning police interactions with the mentally ill. Both cases involved, in the words of Kirkpatrick J., classic policy functions of the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present case, the Bagnell family is not alleging the Police Board failed to generate a policy of general application that could have prevented Mr. Bagnell's death. They allege that the Police Board, which employs the members of the Vancouver Police Department, including the Chief Constable, made a decision to purchase -- and did purchase -- tasers. They allege the Police Board supplied those tasers to its employees for the purpose of non-lethal policing intervention knowing that tasers had already caused the death of a significant number of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Those allegations must be accepted as true for the purposes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decisions taken by the Police Board to purchase tasers and supply them to its employees for non-lethal intervention were not policy decisions, say the plaintiffs. They are not decisions the Chief Constable is empowered to make under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They are operational decisions that could only have been made by the Police Board, which oversees and directs the Chief Constable in his supervision of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Rebeiro</w:t>
      </w:r>
      <w:r>
        <w:rPr>
          <w:rFonts w:ascii="arial" w:eastAsia="arial" w:hAnsi="arial" w:cs="arial"/>
          <w:color w:val="000000"/>
          <w:sz w:val="20"/>
          <w:lang w:val="en-US" w:eastAsia="en-US" w:bidi="ar-SA"/>
        </w:rPr>
        <w:t xml:space="preserve">, Kirkpatrick J. emphasized the prerogative of the Police Board to establish policy because in that case the plaintiff alleged a positive duty on the part of the Board to create a general policy concerning mentally ill persons. I do not read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as saying the </w:t>
      </w:r>
      <w:r>
        <w:rPr>
          <w:rFonts w:ascii="arial" w:eastAsia="arial" w:hAnsi="arial" w:cs="arial"/>
          <w:i/>
          <w:color w:val="000000"/>
          <w:sz w:val="20"/>
          <w:lang w:val="en-US" w:eastAsia="en-US" w:bidi="ar-SA"/>
        </w:rPr>
        <w:t>only role</w:t>
      </w:r>
      <w:r>
        <w:rPr>
          <w:rFonts w:ascii="arial" w:eastAsia="arial" w:hAnsi="arial" w:cs="arial"/>
          <w:color w:val="000000"/>
          <w:sz w:val="20"/>
          <w:lang w:val="en-US" w:eastAsia="en-US" w:bidi="ar-SA"/>
        </w:rPr>
        <w:t xml:space="preserve"> of the Police Board is to initiate policy; rather, it is only the Police Board that has the right to fulfil that role under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plain reading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as a whole does not support the argument that the Police Board's role is confined exclusively to policy-making. The scheme of our legislation is quite different from the legislative scheme governing the Ontario Police Services Board under consideration in the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decision. In Ontario, the Police Services Board is expressly prohibited from making operational decisions concerning the police force. Only the police chief is empowered to make such decisions. Those specific legislative provisions played a significant role in the conclusion reached by the Supreme Court of Canada that while there was sufficient proximity between the plaintiffs and the police chief to create a private law duty of care, there was not sufficient proximity between the plaintiffs and the Police Services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present case,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has created an employer-employee relationship between the Police Board and its officers, including the Chief Constable (s. 26). As employer, the Police Board has operational powers over its police officers. Section 26(3) provides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a collective agreement as defined in the Labour Relations Code, </w:t>
      </w:r>
      <w:r>
        <w:rPr>
          <w:rFonts w:ascii="arial" w:eastAsia="arial" w:hAnsi="arial" w:cs="arial"/>
          <w:i/>
          <w:color w:val="000000"/>
          <w:sz w:val="20"/>
          <w:lang w:val="en-US" w:eastAsia="en-US" w:bidi="ar-SA"/>
        </w:rPr>
        <w:t>the chief constable and every constable</w:t>
      </w:r>
      <w:r>
        <w:rPr>
          <w:rFonts w:ascii="arial" w:eastAsia="arial" w:hAnsi="arial" w:cs="arial"/>
          <w:color w:val="000000"/>
          <w:sz w:val="20"/>
          <w:lang w:val="en-US" w:eastAsia="en-US" w:bidi="ar-SA"/>
        </w:rPr>
        <w:t xml:space="preserve"> and employee of a municipal police department must be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employees of the municipal police board,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provided with the accommodation, equipment and supplies the </w:t>
      </w:r>
      <w:r>
        <w:rPr>
          <w:rFonts w:ascii="arial" w:eastAsia="arial" w:hAnsi="arial" w:cs="arial"/>
          <w:i/>
          <w:color w:val="000000"/>
          <w:sz w:val="20"/>
          <w:lang w:val="en-US" w:eastAsia="en-US" w:bidi="ar-SA"/>
        </w:rPr>
        <w:t>municipal police board considers necessary for his or her duties and functions</w:t>
      </w:r>
      <w:r>
        <w:rPr>
          <w:rFonts w:ascii="arial" w:eastAsia="arial" w:hAnsi="arial" w:cs="arial"/>
          <w:color w:val="000000"/>
          <w:sz w:val="20"/>
          <w:lang w:val="en-US" w:eastAsia="en-US" w:bidi="ar-SA"/>
        </w:rPr>
        <w:t>,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paid the remuneration the municipal police board determines.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Police Board is responsible, in consultation with the Chief Constable, for setting the priorities of the police force. Section 26(4) states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consultation with the chief constable, the municipal police board must determine the priorities, goals and objectives of the municipal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the section which empowers the Police Board to set the policies which govern the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Other powers are granted to the Police Board under s. 28(1), which bestows on it the authority to make rules respecting all aspects of policing. It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28(1) A municipal police board must make rules consistent with this Act and the regulations respecting the following: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standards, guidelines and policies for the administration of the municipal police department;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prevention of neglect and abuse by its municipal constables;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efficient discharge of duties and functions by the municipal police department and the municipal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Chair of the Police Board is also defined as a "discipline authority" under the Act and may receive complaints made against its municipal constables and chief constable and complaints about the police department (s. 46(1)). Further, the Police Board is empowered to impose discipline on its municipal constables and on the Chief Constable (s. 64(1)).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Many of these obligations are policy-making in nature, but not all of them can be so characterized.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Without question, the Police Board is responsible for setting policy with respect to the Vancouver Police Department. As observed in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policy-making is the exclusive domain of the Police Board. However, on a plain reading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the role of the Police Board is not limited to setting policy. The Board is ultimately responsible for all aspects of policing performed by the Vancouver Police Department, whether they are policy or operational matters. While the Chief Constable is responsible for the front-line supervision of police officers and, presumably, adherence to the rules and policies set by the Police Board, his supervision is clearly under the direction of the Police Board. Section 34(1)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34(1) The chief constable of a municipal police department has, </w:t>
      </w:r>
      <w:r>
        <w:rPr>
          <w:rFonts w:ascii="arial" w:eastAsia="arial" w:hAnsi="arial" w:cs="arial"/>
          <w:i/>
          <w:color w:val="000000"/>
          <w:sz w:val="20"/>
          <w:lang w:val="en-US" w:eastAsia="en-US" w:bidi="ar-SA"/>
        </w:rPr>
        <w:t>under the direction of the municipal police board</w:t>
      </w:r>
      <w:r>
        <w:rPr>
          <w:rFonts w:ascii="arial" w:eastAsia="arial" w:hAnsi="arial" w:cs="arial"/>
          <w:color w:val="000000"/>
          <w:sz w:val="20"/>
          <w:lang w:val="en-US" w:eastAsia="en-US" w:bidi="ar-SA"/>
        </w:rPr>
        <w:t>, general supervision and command over the municipal police department and must perform the other functions and duties assigned to the chief constable under the regulations or under any Act.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Under this legislative scheme, the Chief Constable performs the day-to-day supervision of the police force, but the ultimate decision-making power rests with the Police Board, whether those decisions concern policy or operational matters. The Chief Constable reports to and is answerable to the Police Board. That is not surprising, given that the Police Board is the employer of all members of the Vancouver Police Department, including the Chief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context of the present case, it is particularly important to note that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requires the Police Board, and not the Chief Constable, to provide all members of the police force, including the Chief Constable, with the equipment the Police Board considers necessary for the officers to carry out their duties and functions (at s. 26(3)(b), reproduced above). It rests with the Police Board, at least on the face of the statute, to decide what equipment its police officers require to carry out their duties. A decision as to the nature of the equipment police officers will use in the discharge of their duties is, at least arguably, an operational one. The actual purchase of the equipment is also, arguably, operational in nature. However, it must be left to the trial judge to determine, after hearing all of the evidence, the precise role the Police Board played in the purchase of the tasers and the supplying of the weapons to the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the Police Board, as employer, would otherwise be vicariously liable for torts committed by its police officers in the discharge of their duties, the Act provides that the City of Vancouver and not the Police Board is liable for any such tortious conduct (ss. 20 and 21 of the Act). In the present case, however, the plaintiffs are not seeking to establish vicarious liability with respect to the Police Board. Here, it is alleged that the Police Board itself was negligent when it made the decision to acquire the tasers and distribute them to its police officers for use as non-lethal means of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conclude that on the facts as alleged in the pleadings, there is sufficient proximity between the plaintiffs and the Police Board justifying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Stage Two:</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Policy reasons negating the duty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Police Board argues that even if there is sufficient proximity justifying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that duty is negated by residual policy considerations. In particular, the Police Board says the alleged wrongs in this case relate to policy and legislative actions which cannot give rise to a private law duty of care. It argues further that such a duty would expose the Police Board to indeterminate liability to all persons adversely affected by the allocation of police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accept that a government entity such as a municipality cannot be held liable for losses arising from the exercise of legislative or adjudicative functions. In </w:t>
      </w:r>
      <w:r>
        <w:rPr>
          <w:rFonts w:ascii="arial" w:eastAsia="arial" w:hAnsi="arial" w:cs="arial"/>
          <w:b/>
          <w:i/>
          <w:color w:val="000000"/>
          <w:sz w:val="20"/>
          <w:lang w:val="en-US" w:eastAsia="en-US" w:bidi="ar-SA"/>
        </w:rPr>
        <w:t>Welbridge Holdings Ltd. v. Winnipeg (Greater)</w:t>
      </w:r>
      <w:r>
        <w:rPr>
          <w:rFonts w:ascii="arial" w:eastAsia="arial" w:hAnsi="arial" w:cs="arial"/>
          <w:color w:val="000000"/>
          <w:sz w:val="20"/>
          <w:lang w:val="en-US" w:eastAsia="en-US" w:bidi="ar-SA"/>
        </w:rPr>
        <w:t xml:space="preserve">, </w:t>
      </w:r>
      <w:hyperlink r:id="rId1148"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Welbridge</w:t>
      </w:r>
      <w:r>
        <w:rPr>
          <w:rFonts w:ascii="arial" w:eastAsia="arial" w:hAnsi="arial" w:cs="arial"/>
          <w:color w:val="000000"/>
          <w:sz w:val="20"/>
          <w:lang w:val="en-US" w:eastAsia="en-US" w:bidi="ar-SA"/>
        </w:rPr>
        <w:t>"], the Supreme Court of Canada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risk of loss from the exercise of legislative or adjudicative authority is a general public risk and not one for which compensation can be supported on the basis of a private duty of care. The situation is different where a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acts done in pursuance or in implementation of legislation or of adjudicative decrees.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is evident from the Court's decision in </w:t>
      </w:r>
      <w:r>
        <w:rPr>
          <w:rFonts w:ascii="arial" w:eastAsia="arial" w:hAnsi="arial" w:cs="arial"/>
          <w:b/>
          <w:i/>
          <w:color w:val="000000"/>
          <w:sz w:val="20"/>
          <w:lang w:val="en-US" w:eastAsia="en-US" w:bidi="ar-SA"/>
        </w:rPr>
        <w:t>Welbridge</w:t>
      </w:r>
      <w:r>
        <w:rPr>
          <w:rFonts w:ascii="arial" w:eastAsia="arial" w:hAnsi="arial" w:cs="arial"/>
          <w:color w:val="000000"/>
          <w:sz w:val="20"/>
          <w:lang w:val="en-US" w:eastAsia="en-US" w:bidi="ar-SA"/>
        </w:rPr>
        <w:t>, there is an important distinction between the exercise of a legislative function and an act done pursuant to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present case, it is alleged that the Police Board supplied its members with tasers for purposes of non-lethal intervention. That alleged act is not a "legislative function." The decision to supply its police officers with tasers was a decision taken by the Police Board pursuant to its statutory mandate to supply its members with the necessary equipment to carry out its duties. At most, the acts alleged to have been done by the Police Board in this case are acts done in furtherance of its obligations under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More generally, I do not accept the argument of the Police Board that its functions are purely legislative in nature or that it acts only through the passage of bylaws. There is simply nothing in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to support that argument. Even when fulfilling its policy and rule-making functions, the Police Board is not analogous to a municipality, which has obvious legislative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summary, it is not "plain and obvious" that the plaintiffs' action against the Police Board cannot succeed. Accordingly, the application of the Police Board to strike the plaintiffs' action against the Police Board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The Police Board sought special costs in this application, but if it had been successful I would not have awarded special costs. This is not a case that would warrant an award of special costs to the successful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the plaintiffs are entitled to their costs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49"/>
          <w:headerReference w:type="default" r:id="rId1150"/>
          <w:footerReference w:type="even" r:id="rId1151"/>
          <w:footerReference w:type="default" r:id="rId1152"/>
          <w:headerReference w:type="first" r:id="rId1153"/>
          <w:footerReference w:type="first" r:id="rId11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55" w:history="1">
        <w:r>
          <w:rPr>
            <w:rFonts w:ascii="arial" w:eastAsia="arial" w:hAnsi="arial" w:cs="arial"/>
            <w:b/>
            <w:bCs/>
            <w:i/>
            <w:color w:val="0077CC"/>
            <w:kern w:val="32"/>
            <w:sz w:val="28"/>
            <w:szCs w:val="32"/>
            <w:u w:val="single"/>
            <w:shd w:val="clear" w:color="auto" w:fill="FFFFFF"/>
            <w:lang w:val="en-US" w:eastAsia="en-US" w:bidi="ar-SA"/>
          </w:rPr>
          <w:t>Baiden v. Vancouver (City) Police Department, [2003] B.C.J. No. 2032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Romilly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S025092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B.C.L.R. (4th) 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M.P.L.R. (3d)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1081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Todd Baiden, plaintiff, and Officers Argent, Manji, Yamamoto, Fincham, Heard, John Doe #1 and John Doe #2, Vancouver Police Department and The City of Vancouver, The Vancouver Police Board, Raj Aiyathurai and Monte Cristo Bakery and Café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43"/>
      <w:bookmarkEnd w:id="297"/>
      <w:r>
        <w:rPr>
          <w:rFonts w:ascii="arial" w:eastAsia="arial" w:hAnsi="arial" w:cs="arial"/>
          <w:b/>
          <w:color w:val="000000"/>
          <w:sz w:val="20"/>
          <w:lang w:val="en-US" w:eastAsia="en-US" w:bidi="ar-SA"/>
        </w:rPr>
        <w:t>Practice — Discovery — What documents must be produced — Production and inspection of documents — Pleadings — Striking out pleadings — Bars, issues to be tried.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8" w:name="Case Summary_43"/>
            <w:bookmarkEnd w:id="2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Baiden for production of certain documents. Baiden brought an action against certain police officers and the City of Vancouver alleging various torts resulting in personal injury to him. He sought production of the officers' employment records, manuals and other training materials used by the police department, and computer documentation of the officers' communications with operators and dispatchers at the time of the incident in question. The defendants cross-applied to strike out portions of the claim as disclosing no reasonable cause of action or as vexatious. Baiden claimed that, in responding to a negligently-made report of a break-in, the officers negligently and otherwise unlawfully attacked and arrested him, causing him serious personal injury. The defendants argued that the materials sought were irrelevant, and that Baiden had demonstrated no nexus between the conduct complained of and the disclosure sought, but instead was on a fishing expedition. They further argued that Baiden was improperly seeking similar fact evidence from the officer's histories, or alternatively, that the disclosure sought was too broad and ill-defined.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9" w:name="Holdings of Court_37"/>
            <w:bookmarkEnd w:id="299"/>
            <w:r>
              <w:rPr>
                <w:rFonts w:ascii="arial" w:eastAsia="arial" w:hAnsi="arial" w:cs="arial"/>
                <w:color w:val="000000"/>
                <w:sz w:val="20"/>
                <w:lang w:val="en-US" w:eastAsia="en-US" w:bidi="ar-SA"/>
              </w:rPr>
              <w:t>HELD: Application allowed, and cross-application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Disclosure was ordered as requested. The officer's blanket denial of Baiden's allegations put Baiden in the position of needing to know the competence, skill and credibility of the officers. Therefore, it was imperative for him to discover if the officers had any history of similar incidents. As well, Baiden needed to know from the City if the officers were properly trained and whether they conducted themselves on previous or subsequent occasions contrary to the guidelines or rules. There was no radical defect in Baiden's case. It presented a question fit to be tried. It was not plain and obvious that his claims were so irrelevant that to allow them to stand would involve useless expense and would prejudice the trial by bringing in irrelevancies.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Legislation Cited_31"/>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0"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19(24), 26(1).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Police Act, </w:t>
      </w:r>
      <w:hyperlink r:id="rId1038" w:history="1">
        <w:r>
          <w:rPr>
            <w:rFonts w:ascii="arial" w:eastAsia="arial" w:hAnsi="arial" w:cs="arial"/>
            <w:i/>
            <w:color w:val="0077CC"/>
            <w:sz w:val="20"/>
            <w:u w:val="single"/>
            <w:shd w:val="clear" w:color="auto" w:fill="FFFFFF"/>
            <w:lang w:val="en-US" w:eastAsia="en-US" w:bidi="ar-SA"/>
          </w:rPr>
          <w:t>R.S.B.C. 1996, c. 367, s. 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Charter, s.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1" w:name="Counsel_44"/>
      <w:bookmarkEnd w:id="3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1"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Gary V. Lauk, Q.C., for the plaintiff. Brent D. Jordan,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4"/>
      <w:bookmarkEnd w:id="302"/>
      <w:r>
        <w:pict>
          <v:line id="_x0000_s1252"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ROMILLY J."/>
            <w:bookmarkEnd w:id="303"/>
            <w:r>
              <w:rPr>
                <w:rFonts w:ascii="arial" w:eastAsia="arial" w:hAnsi="arial" w:cs="arial"/>
                <w:b/>
                <w:color w:val="000000"/>
                <w:sz w:val="30"/>
                <w:lang w:val="en-US" w:eastAsia="en-US" w:bidi="ar-SA"/>
              </w:rPr>
              <w:t>ROMILLY J.</w:t>
            </w:r>
          </w:p>
        </w:tc>
      </w:tr>
    </w:tbl>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for production of:</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complete employment records of the defendant police officers from the City of Vancouver;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manuals, protocols and training material with respect to the use of force by the police department;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Computer screen and email dialogue between officers and the 911 operator or operators and the officers dispatched on the call on March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also seek an order to strike out portions of the plaintiff's Statement of Claim on the basis that they disclose no reasonable claim, are unnecessary or would prejudice, embarrass or delay the fair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stated below the plaintiff's application is granted and the defendants' application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I deal with the issues raised on these pre-trial applications, I propose to give a brief summary of the background to these applications.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TO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arises out of events which took place in the early morning hours on March 7, 2002 at Le Petit Cafe which is located at 665 Smithe Street in Vancouver, British Columbia. The plaintiff alleges that the police officers named in this lawsuit wrongfully trespassed and entered Le Petit Cafe and wrongfully assaulted and committed a battery on the plaintiff, or alternatively negligently injured the plaintiff. The plaintiff alleges that the police officers' attendance at Le Petit Cafe on the night in question was in response to a phone call from the defendant Raj Aiyanthurai, an employee of the defendant Monte Cristo Bakery, who the plaintiff says, acted negligently when he called the Vancouver Police Department to report an "intruder" at Le Petit Cafe.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plaintiff's claim is for personal injury damages for assault and battery or alternatively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for damages for wrongful arrest, detention and infliction of mental suffering on the plaintiff. In addition, the plaintiff claims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allegations against the police officers and vicariously the City of Vancouver are: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 trespass and assault and battery on the plaintiff;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negligent injury of the plaintiff by the use of excessive and unnecessary force;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use proper precautions to avoid injury to the plaintiff;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observe the provisions of the Criminal Code and the 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[now titled the Local Government Act] and failure to follow guidelines, rules and regulations made pursuant to those acts, or otherwise pertaining to proper police behaviour and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also alleged against the defendants Argent, Manji, Yamamoto, Fincham, Heard, John Doe #1 and John Doe #2. There is also an allegation of wrongful arrest and wrongful detention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Vancouver Police Department and City of Vancouver, are as set out in para. 15 of the Statement of Claim. There is also a claim for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injuries which are alleged to have been suffered include a lacerated spleen, a broken nose and finger, cuts, bruises, soft tissue injuries and mental anguish.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now turn to an analysis of the disclosure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THE DISCLOSURE APPLICATION</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Plaintiff on the Disclosure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makes the following submissions: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 which may either directly or indirectly assist a party to advance his or her own case or damage the case of his or her adversary is compellable on discovery (Compagnie Financière et Commerciales du Pacifique v. Peruvian Guano Co. (1882), 11 Q.B.D. 55 (C.A.)).</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Records of investigations which have arisen out of complaints against a defendant involving conduct of the kind alleged in a statement of claim are relevant and producible (Farren v. Finnan et al, </w:t>
      </w:r>
      <w:hyperlink r:id="rId1156" w:history="1">
        <w:r>
          <w:rPr>
            <w:rFonts w:ascii="arial" w:eastAsia="arial" w:hAnsi="arial" w:cs="arial"/>
            <w:i/>
            <w:color w:val="0077CC"/>
            <w:sz w:val="20"/>
            <w:u w:val="single"/>
            <w:shd w:val="clear" w:color="auto" w:fill="FFFFFF"/>
            <w:lang w:val="en-US" w:eastAsia="en-US" w:bidi="ar-SA"/>
          </w:rPr>
          <w:t>[1994] B.C.J. No. 2711</w:t>
        </w:r>
      </w:hyperlink>
      <w:r>
        <w:rPr>
          <w:rFonts w:ascii="arial" w:eastAsia="arial" w:hAnsi="arial" w:cs="arial"/>
          <w:color w:val="000000"/>
          <w:sz w:val="20"/>
          <w:lang w:val="en-US" w:eastAsia="en-US" w:bidi="ar-SA"/>
        </w:rPr>
        <w:t xml:space="preserve"> (S.C.)).</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that a defendant has been the subject of proceedings relating to similar allegations of assault is sufficient to meet the threshold requirement of establishing that the applicant is not merely on a fishing expedition (F. v. A Psychiatrist </w:t>
      </w:r>
      <w:hyperlink r:id="rId1157" w:history="1">
        <w:r>
          <w:rPr>
            <w:rFonts w:ascii="arial" w:eastAsia="arial" w:hAnsi="arial" w:cs="arial"/>
            <w:i/>
            <w:color w:val="0077CC"/>
            <w:sz w:val="20"/>
            <w:u w:val="single"/>
            <w:shd w:val="clear" w:color="auto" w:fill="FFFFFF"/>
            <w:lang w:val="en-US" w:eastAsia="en-US" w:bidi="ar-SA"/>
          </w:rPr>
          <w:t>(1984), 53 B.C.L.R. 216</w:t>
        </w:r>
      </w:hyperlink>
      <w:r>
        <w:rPr>
          <w:rFonts w:ascii="arial" w:eastAsia="arial" w:hAnsi="arial" w:cs="arial"/>
          <w:color w:val="000000"/>
          <w:sz w:val="20"/>
          <w:lang w:val="en-US" w:eastAsia="en-US" w:bidi="ar-SA"/>
        </w:rPr>
        <w:t xml:space="preserve"> (S.C.)).</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production of documents is not whether the evidence sought on discovery is admissible as similar fact evidence at trial but whether proper discovery could develop evidence of a system or pattern of conduct that might be admissible (F. v. A Psychiatrist, supra, at 221); Murao v. Blackcomb Skiiing Enterprises Limited, </w:t>
      </w:r>
      <w:hyperlink r:id="rId1158" w:history="1">
        <w:r>
          <w:rPr>
            <w:rFonts w:ascii="arial" w:eastAsia="arial" w:hAnsi="arial" w:cs="arial"/>
            <w:i/>
            <w:color w:val="0077CC"/>
            <w:sz w:val="20"/>
            <w:u w:val="single"/>
            <w:shd w:val="clear" w:color="auto" w:fill="FFFFFF"/>
            <w:lang w:val="en-US" w:eastAsia="en-US" w:bidi="ar-SA"/>
          </w:rPr>
          <w:t>2003 BCSC 558</w:t>
        </w:r>
      </w:hyperlink>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[2003] B.C.J. No. 806</w:t>
        </w:r>
      </w:hyperlink>
      <w:r>
        <w:rPr>
          <w:rFonts w:ascii="arial" w:eastAsia="arial" w:hAnsi="arial" w:cs="arial"/>
          <w:color w:val="000000"/>
          <w:sz w:val="20"/>
          <w:lang w:val="en-US" w:eastAsia="en-US" w:bidi="ar-SA"/>
        </w:rPr>
        <w:t xml:space="preserve"> (S.C.).</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as in this case, punitive damages are claimed, a plaintiff should be entitled to an order requiring the production of documents relating to prior or subsequent misconduct of a similar nature (Rioux v. Smith </w:t>
      </w:r>
      <w:hyperlink r:id="rId1159" w:history="1">
        <w:r>
          <w:rPr>
            <w:rFonts w:ascii="arial" w:eastAsia="arial" w:hAnsi="arial" w:cs="arial"/>
            <w:i/>
            <w:color w:val="0077CC"/>
            <w:sz w:val="20"/>
            <w:u w:val="single"/>
            <w:shd w:val="clear" w:color="auto" w:fill="FFFFFF"/>
            <w:lang w:val="en-US" w:eastAsia="en-US" w:bidi="ar-SA"/>
          </w:rPr>
          <w:t>(1983), 43 B.C.L.R. 392</w:t>
        </w:r>
      </w:hyperlink>
      <w:r>
        <w:rPr>
          <w:rFonts w:ascii="arial" w:eastAsia="arial" w:hAnsi="arial" w:cs="arial"/>
          <w:color w:val="000000"/>
          <w:sz w:val="20"/>
          <w:lang w:val="en-US" w:eastAsia="en-US" w:bidi="ar-SA"/>
        </w:rPr>
        <w:t xml:space="preserve"> (S.C.), aff'd </w:t>
      </w:r>
      <w:hyperlink r:id="rId1160" w:history="1">
        <w:r>
          <w:rPr>
            <w:rFonts w:ascii="arial" w:eastAsia="arial" w:hAnsi="arial" w:cs="arial"/>
            <w:i/>
            <w:color w:val="0077CC"/>
            <w:sz w:val="20"/>
            <w:u w:val="single"/>
            <w:shd w:val="clear" w:color="auto" w:fill="FFFFFF"/>
            <w:lang w:val="en-US" w:eastAsia="en-US" w:bidi="ar-SA"/>
          </w:rPr>
          <w:t>(1983), 48 B.C.L.R. 126</w:t>
        </w:r>
      </w:hyperlink>
      <w:r>
        <w:rPr>
          <w:rFonts w:ascii="arial" w:eastAsia="arial" w:hAnsi="arial" w:cs="arial"/>
          <w:color w:val="000000"/>
          <w:sz w:val="20"/>
          <w:lang w:val="en-US" w:eastAsia="en-US" w:bidi="ar-SA"/>
        </w:rPr>
        <w:t xml:space="preserve"> (C.A.)).</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oppose the plaintiff's application for disclosure of "the complete employment records of the Defendant Police Officers" on the following grounds:</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is irrelevant;</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provide any connection or nexus between the conduct complained of and the broad requests for disclosure sought;</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a "fishing expedition";</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appears to be seeking similar fact evidence. This is not a case for which similar fact evidence can in any way be relevant. In any event, production of documents in response to an application such as that brought by the plaintiff should be granted only where the documents disclosed will likely lead the plaintiff on a train of inquiry to evidence that is "strikingly similar" to the claim made by the plaintiff; and</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requested disclosure is too broad and ill defined.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Pursuant to Rule 26(1), the defendants' obligation to produce documents extends to the production of all documents in its possession or control relating to every matter in question in the action. Relating to the matter in question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every document ... which not only would be evidence upon any issue, but also which, it is reasonable to suppose, contains information which may - not which must - either directly or indirectly enable the party requiring the affidavit [making the demand] either to advance his own case or to damage the case of his adversary ... a document can properly be said to contain information which may enable the party requiring the affidavit [making the demand] either to advance his own case or to damage the case of his adversary, if it is a document which may fairly lead him to a train of inquiry which may have either of these two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Compagnie Financiere et Commerciale du Pacifique v. The Peruvian Guano Company (1882), 11 Q.B.D. 55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Sinclair v. March, </w:t>
      </w:r>
      <w:hyperlink r:id="rId1161" w:history="1">
        <w:r>
          <w:rPr>
            <w:rFonts w:ascii="arial" w:eastAsia="arial" w:hAnsi="arial" w:cs="arial"/>
            <w:i/>
            <w:color w:val="0077CC"/>
            <w:sz w:val="20"/>
            <w:u w:val="single"/>
            <w:shd w:val="clear" w:color="auto" w:fill="FFFFFF"/>
            <w:lang w:val="en-US" w:eastAsia="en-US" w:bidi="ar-SA"/>
          </w:rPr>
          <w:t>2000 BCSC 349</w:t>
        </w:r>
      </w:hyperlink>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[2000] B.C.J. No. 397</w:t>
        </w:r>
      </w:hyperlink>
      <w:r>
        <w:rPr>
          <w:rFonts w:ascii="arial" w:eastAsia="arial" w:hAnsi="arial" w:cs="arial"/>
          <w:color w:val="000000"/>
          <w:sz w:val="20"/>
          <w:lang w:val="en-US" w:eastAsia="en-US" w:bidi="ar-SA"/>
        </w:rPr>
        <w:t xml:space="preserve"> (S.C.), varied in part </w:t>
      </w:r>
      <w:hyperlink r:id="rId1162" w:history="1">
        <w:r>
          <w:rPr>
            <w:rFonts w:ascii="arial" w:eastAsia="arial" w:hAnsi="arial" w:cs="arial"/>
            <w:i/>
            <w:color w:val="0077CC"/>
            <w:sz w:val="20"/>
            <w:u w:val="single"/>
            <w:shd w:val="clear" w:color="auto" w:fill="FFFFFF"/>
            <w:lang w:val="en-US" w:eastAsia="en-US" w:bidi="ar-SA"/>
          </w:rPr>
          <w:t>2000 BCCA 459</w:t>
        </w:r>
      </w:hyperlink>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[2000] B.C.J. No. 1676</w:t>
        </w:r>
      </w:hyperlink>
      <w:r>
        <w:rPr>
          <w:rFonts w:ascii="arial" w:eastAsia="arial" w:hAnsi="arial" w:cs="arial"/>
          <w:color w:val="000000"/>
          <w:sz w:val="20"/>
          <w:lang w:val="en-US" w:eastAsia="en-US" w:bidi="ar-SA"/>
        </w:rPr>
        <w:t xml:space="preserve"> (C.A.), Dillon J. gave a summary of the law as to when disclosure would be granted in applications of this kind when she stated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Pomeroy v. Cancer Control Agency of British Columbia, </w:t>
            </w:r>
            <w:hyperlink r:id="rId1163" w:history="1">
              <w:r>
                <w:rPr>
                  <w:rFonts w:ascii="arial" w:eastAsia="arial" w:hAnsi="arial" w:cs="arial"/>
                  <w:i/>
                  <w:color w:val="0077CC"/>
                  <w:sz w:val="18"/>
                  <w:u w:val="single"/>
                  <w:shd w:val="clear" w:color="auto" w:fill="FFFFFF"/>
                  <w:lang w:val="en-US" w:eastAsia="en-US" w:bidi="ar-SA"/>
                </w:rPr>
                <w:t>[1984] B.C.J. No. 1519</w:t>
              </w:r>
            </w:hyperlink>
            <w:r>
              <w:rPr>
                <w:rFonts w:ascii="arial" w:eastAsia="arial" w:hAnsi="arial" w:cs="arial"/>
                <w:color w:val="000000"/>
                <w:sz w:val="18"/>
                <w:lang w:val="en-US" w:eastAsia="en-US" w:bidi="ar-SA"/>
              </w:rPr>
              <w:t xml:space="preserve">; (9 March 1984) Vancouver CA001839, CA001886, CA001899, CA001971 (B.C.C.A.), Seaton J.A. ordered the disclosure in discovery of records related to patients who sustained similar injuries from a new radiation treatment. The records were to be disclosed in non-identifiable form. In Farren v. Finnan, </w:t>
            </w:r>
            <w:hyperlink r:id="rId1156" w:history="1">
              <w:r>
                <w:rPr>
                  <w:rFonts w:ascii="arial" w:eastAsia="arial" w:hAnsi="arial" w:cs="arial"/>
                  <w:i/>
                  <w:color w:val="0077CC"/>
                  <w:sz w:val="18"/>
                  <w:u w:val="single"/>
                  <w:shd w:val="clear" w:color="auto" w:fill="FFFFFF"/>
                  <w:lang w:val="en-US" w:eastAsia="en-US" w:bidi="ar-SA"/>
                </w:rPr>
                <w:t>[1994] B.C.J. No. 2711</w:t>
              </w:r>
            </w:hyperlink>
            <w:r>
              <w:rPr>
                <w:rFonts w:ascii="arial" w:eastAsia="arial" w:hAnsi="arial" w:cs="arial"/>
                <w:color w:val="000000"/>
                <w:sz w:val="18"/>
                <w:lang w:val="en-US" w:eastAsia="en-US" w:bidi="ar-SA"/>
              </w:rPr>
              <w:t xml:space="preserve">; (30 November 1994), Vancouver C901712 (B.C.S.C.), the records of investigations arising from similar complaints against a police officer were ordered to be produced in a wrongful arrest case when the records were marginally relevant. The probative value of such documents arises within the rule as to similar facts which allows the introduction of such evidence when the acts are so strikingly similar that the similarity is not attributable to coincidence (R. v. C.(M.H.), </w:t>
            </w:r>
            <w:hyperlink r:id="rId1164" w:history="1">
              <w:r>
                <w:rPr>
                  <w:rFonts w:ascii="arial" w:eastAsia="arial" w:hAnsi="arial" w:cs="arial"/>
                  <w:i/>
                  <w:color w:val="0077CC"/>
                  <w:sz w:val="18"/>
                  <w:u w:val="single"/>
                  <w:shd w:val="clear" w:color="auto" w:fill="FFFFFF"/>
                  <w:lang w:val="en-US" w:eastAsia="en-US" w:bidi="ar-SA"/>
                </w:rPr>
                <w:t>[1991] 1 S.C.R. 763</w:t>
              </w:r>
            </w:hyperlink>
            <w:r>
              <w:rPr>
                <w:rFonts w:ascii="arial" w:eastAsia="arial" w:hAnsi="arial" w:cs="arial"/>
                <w:color w:val="000000"/>
                <w:sz w:val="18"/>
                <w:lang w:val="en-US" w:eastAsia="en-US" w:bidi="ar-SA"/>
              </w:rPr>
              <w:t xml:space="preserve">; </w:t>
            </w:r>
            <w:hyperlink r:id="rId1164" w:history="1">
              <w:r>
                <w:rPr>
                  <w:rFonts w:ascii="arial" w:eastAsia="arial" w:hAnsi="arial" w:cs="arial"/>
                  <w:i/>
                  <w:color w:val="0077CC"/>
                  <w:sz w:val="18"/>
                  <w:u w:val="single"/>
                  <w:shd w:val="clear" w:color="auto" w:fill="FFFFFF"/>
                  <w:lang w:val="en-US" w:eastAsia="en-US" w:bidi="ar-SA"/>
                </w:rPr>
                <w:t>4 C.R. (4th) 1</w:t>
              </w:r>
            </w:hyperlink>
            <w:r>
              <w:rPr>
                <w:rFonts w:ascii="arial" w:eastAsia="arial" w:hAnsi="arial" w:cs="arial"/>
                <w:color w:val="000000"/>
                <w:sz w:val="18"/>
                <w:lang w:val="en-US" w:eastAsia="en-US" w:bidi="ar-SA"/>
              </w:rPr>
              <w:t xml:space="preserve"> at 7 (S.C.C.); Doe v. Hirt, </w:t>
            </w:r>
            <w:hyperlink r:id="rId1165" w:history="1">
              <w:r>
                <w:rPr>
                  <w:rFonts w:ascii="arial" w:eastAsia="arial" w:hAnsi="arial" w:cs="arial"/>
                  <w:i/>
                  <w:color w:val="0077CC"/>
                  <w:sz w:val="18"/>
                  <w:u w:val="single"/>
                  <w:shd w:val="clear" w:color="auto" w:fill="FFFFFF"/>
                  <w:lang w:val="en-US" w:eastAsia="en-US" w:bidi="ar-SA"/>
                </w:rPr>
                <w:t>[1993] B.C.J. No. 1835</w:t>
              </w:r>
            </w:hyperlink>
            <w:r>
              <w:rPr>
                <w:rFonts w:ascii="arial" w:eastAsia="arial" w:hAnsi="arial" w:cs="arial"/>
                <w:color w:val="000000"/>
                <w:sz w:val="18"/>
                <w:lang w:val="en-US" w:eastAsia="en-US" w:bidi="ar-SA"/>
              </w:rPr>
              <w:t xml:space="preserve">, (14 September 1993), Vancouver C911766 (B.C.S.C.)). The evidence must be so similar that it would tend to prove some fact essential to the plaintiff's case. In Chong v. Royal Columbian Hospital, </w:t>
            </w:r>
            <w:hyperlink r:id="rId1166" w:history="1">
              <w:r>
                <w:rPr>
                  <w:rFonts w:ascii="arial" w:eastAsia="arial" w:hAnsi="arial" w:cs="arial"/>
                  <w:i/>
                  <w:color w:val="0077CC"/>
                  <w:sz w:val="18"/>
                  <w:u w:val="single"/>
                  <w:shd w:val="clear" w:color="auto" w:fill="FFFFFF"/>
                  <w:lang w:val="en-US" w:eastAsia="en-US" w:bidi="ar-SA"/>
                </w:rPr>
                <w:t>[1996] B.C.J. No. 1364</w:t>
              </w:r>
            </w:hyperlink>
            <w:r>
              <w:rPr>
                <w:rFonts w:ascii="arial" w:eastAsia="arial" w:hAnsi="arial" w:cs="arial"/>
                <w:color w:val="000000"/>
                <w:sz w:val="18"/>
                <w:lang w:val="en-US" w:eastAsia="en-US" w:bidi="ar-SA"/>
              </w:rPr>
              <w:t>; (18 June 1996), Vancouver C953391 (B.C.S.C.), this was described at para. 17 as requiring a "nexus apparent to an issue in the action the person is being examined upon".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 issue on this application is one of relevance.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this Disclosure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agree with the submission of the counsel for the plaintiff that the blanket denial of the allegations of the police in the Statement of Defence places the plaintiff in the position of needing to know the competence, skill and credibility of the police officers. In my view it is therefore imperative to know if any of these police officers were involved in similar incidents in the past or since March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allegations against the City of Vancouver, the plaintiff must know whether or not these particular police officers had the skill and knowledge to conduct themselves in a way that was consistent with the guidelines on use of force and whether, in spite of having such skill and knowledge, they conducted themselves on previous or subsequent occasions in such a way as to disregard such guidelines and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therefore important that the disciplinary records kept by the City Police be disclosed, as these records may, directly or indirectly, be evidence of:</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 conduct inconsistent with the Statement of Defence;</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of the police officers; and</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possible that proper discovery could develop evidence of a system or pattern of conduct that might be admissible at trial against one or more of the defendants. The question is not whether it will be admissible at trial, but that it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my view the plaintiff is entitled to discovery with respect to similar facts so that the plaintiff may be in a position to make a proper submission at the trial on a voir dire on the question of admissibility of similar fact evidence: Bremner v. Research Capital Corp., </w:t>
      </w:r>
      <w:hyperlink r:id="rId1167" w:history="1">
        <w:r>
          <w:rPr>
            <w:rFonts w:ascii="arial" w:eastAsia="arial" w:hAnsi="arial" w:cs="arial"/>
            <w:i/>
            <w:color w:val="0077CC"/>
            <w:sz w:val="20"/>
            <w:u w:val="single"/>
            <w:shd w:val="clear" w:color="auto" w:fill="FFFFFF"/>
            <w:lang w:val="en-US" w:eastAsia="en-US" w:bidi="ar-SA"/>
          </w:rPr>
          <w:t>[1998] B.C.J. No. 2154</w:t>
        </w:r>
      </w:hyperlink>
      <w:r>
        <w:rPr>
          <w:rFonts w:ascii="arial" w:eastAsia="arial" w:hAnsi="arial" w:cs="arial"/>
          <w:color w:val="000000"/>
          <w:sz w:val="20"/>
          <w:lang w:val="en-US" w:eastAsia="en-US" w:bidi="ar-SA"/>
        </w:rPr>
        <w:t xml:space="preserve"> at para. 13 (S.C. Master); L.D.F. v. A. Psychiatrist,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may be evidence disclosed in the said files that is made particularly relevant by paras. 15, 19 and 20 of the Statement of Claim in that the City of Vancouver may be liable for creating or contributing to an environment within the City of Vancouver whereby allegations of misconduct by police officers are treated in a tolerant fashion so that police officers who engage in such misconduct might come to expect that such misconduct would be treated in a tolerant manner: see C.P.J.S. v. Pornbacher, </w:t>
      </w:r>
      <w:hyperlink r:id="rId1168" w:history="1">
        <w:r>
          <w:rPr>
            <w:rFonts w:ascii="arial" w:eastAsia="arial" w:hAnsi="arial" w:cs="arial"/>
            <w:i/>
            <w:color w:val="0077CC"/>
            <w:sz w:val="20"/>
            <w:u w:val="single"/>
            <w:shd w:val="clear" w:color="auto" w:fill="FFFFFF"/>
            <w:lang w:val="en-US" w:eastAsia="en-US" w:bidi="ar-SA"/>
          </w:rPr>
          <w:t>[1996] B.C.J. No. 2812</w:t>
        </w:r>
      </w:hyperlink>
      <w:r>
        <w:rPr>
          <w:rFonts w:ascii="arial" w:eastAsia="arial" w:hAnsi="arial" w:cs="arial"/>
          <w:color w:val="000000"/>
          <w:sz w:val="20"/>
          <w:lang w:val="en-US" w:eastAsia="en-US" w:bidi="ar-SA"/>
        </w:rPr>
        <w:t xml:space="preserve"> (S.C. Master) at paras. 8 and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the production of such documents is consistent with the common law set out in this jurisdiction over many years whereby every document that relates to the matters in question in the action which not only would be evidence upon any issue but which it is reasonable to suppose contains information which may, not must, either directly or indirectly enable the party requiring the evidence to advance their own case or to damage the case of its adversary, must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basis of the foregoing, the plaintiff's application for disclosure is therefore granted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now turn to the application of the defendants to strike certain portions of the plaintiff's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DEFENDANTS' APPLICATION PURSUANT TO RULE 19(24)</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seek an order to strike out portions of the plaintiff's Statement of Claim on the basis that they disclose no reasonable claim, are unnecessary or would prejudice, embarrass or delay the fair trial of this matter. Specifically, the defendants seek to strike out those portions of the Statement of Claim that relate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those portions of the Statement of Claim that relate to a common law claim of vicarious liability; those portions of the Statement of Claim which relate to selection, training and supervision; and those portions of the Statement of Claim that seek to raise the provisions of the Municipal Act [now titled the Local Government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do not deny that the police officers used force with respect to the plaintiff. The defendants rely upon s. 25 of the Criminal Code. Counsel for the defendants submits that the plaintiff's claim against the police officers in question is for an intentional tort: assault and battery. He says there is no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defendants further submits that the elements of the defence to a claim against a police officer relating to the use of force are defined in s. 25 of the Criminal Code and have been commented upon by our courts. According to counsel, the essential elements are:</w:t>
      </w:r>
      <w:r>
        <w:rPr>
          <w:rFonts w:ascii="arial" w:eastAsia="arial" w:hAnsi="arial" w:cs="arial"/>
          <w:sz w:val="20"/>
          <w:lang w:val="en-US" w:eastAsia="en-US" w:bidi="ar-SA"/>
        </w:rPr>
        <w:cr/>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force was applied to the plaintiff's person;</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individual officer in question had reasonable grounds for applying that force; and</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that force, in all of the surrounding circumstances, was reasonable, proper and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support of that proposition counsel drew my attention to Khan v. Vancouver (City), </w:t>
      </w:r>
      <w:hyperlink r:id="rId1169" w:history="1">
        <w:r>
          <w:rPr>
            <w:rFonts w:ascii="arial" w:eastAsia="arial" w:hAnsi="arial" w:cs="arial"/>
            <w:i/>
            <w:color w:val="0077CC"/>
            <w:sz w:val="20"/>
            <w:u w:val="single"/>
            <w:shd w:val="clear" w:color="auto" w:fill="FFFFFF"/>
            <w:lang w:val="en-US" w:eastAsia="en-US" w:bidi="ar-SA"/>
          </w:rPr>
          <w:t>2001 BCSC 213</w:t>
        </w:r>
      </w:hyperlink>
      <w:r>
        <w:rPr>
          <w:rFonts w:ascii="arial" w:eastAsia="arial" w:hAnsi="arial" w:cs="arial"/>
          <w:color w:val="000000"/>
          <w:sz w:val="20"/>
          <w:lang w:val="en-US" w:eastAsia="en-US" w:bidi="ar-SA"/>
        </w:rPr>
        <w:t xml:space="preserve">, </w:t>
      </w:r>
      <w:hyperlink r:id="rId1169" w:history="1">
        <w:r>
          <w:rPr>
            <w:rFonts w:ascii="arial" w:eastAsia="arial" w:hAnsi="arial" w:cs="arial"/>
            <w:i/>
            <w:color w:val="0077CC"/>
            <w:sz w:val="20"/>
            <w:u w:val="single"/>
            <w:shd w:val="clear" w:color="auto" w:fill="FFFFFF"/>
            <w:lang w:val="en-US" w:eastAsia="en-US" w:bidi="ar-SA"/>
          </w:rPr>
          <w:t>[2001] B.C.J. No. 219</w:t>
        </w:r>
      </w:hyperlink>
      <w:r>
        <w:rPr>
          <w:rFonts w:ascii="arial" w:eastAsia="arial" w:hAnsi="arial" w:cs="arial"/>
          <w:color w:val="000000"/>
          <w:sz w:val="20"/>
          <w:lang w:val="en-US" w:eastAsia="en-US" w:bidi="ar-SA"/>
        </w:rPr>
        <w:t xml:space="preserve"> (S.C.) and Parrett v. Central Saanich (District) Police Department, </w:t>
      </w:r>
      <w:hyperlink r:id="rId1037" w:history="1">
        <w:r>
          <w:rPr>
            <w:rFonts w:ascii="arial" w:eastAsia="arial" w:hAnsi="arial" w:cs="arial"/>
            <w:i/>
            <w:color w:val="0077CC"/>
            <w:sz w:val="20"/>
            <w:u w:val="single"/>
            <w:shd w:val="clear" w:color="auto" w:fill="FFFFFF"/>
            <w:lang w:val="en-US" w:eastAsia="en-US" w:bidi="ar-SA"/>
          </w:rPr>
          <w:t>2001 BCSC 23</w:t>
        </w:r>
      </w:hyperlink>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[2001] B.C.J. No. 106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defendants submit that the particulars identified in para. 13 of the Statement of Claim each relate back to the defence in s. 25 of the Criminal Code. The pleadings at para. 13 all relate to the alleged assault and battery and to the defence of s. 25 of the Criminal Code. Pleading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alternative makes no sense in relation to the intentional tort of assault and battery. Counsel for the defendants submit that there is "no air of reality" to the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found in para. 13 of the Statement of Claim. He therefore submits that the claim should be struck from the pleading. As authority for that proposition he drew my attention to Berntt v. Vancouver (City), </w:t>
      </w:r>
      <w:hyperlink r:id="rId1170" w:history="1">
        <w:r>
          <w:rPr>
            <w:rFonts w:ascii="arial" w:eastAsia="arial" w:hAnsi="arial" w:cs="arial"/>
            <w:i/>
            <w:color w:val="0077CC"/>
            <w:sz w:val="20"/>
            <w:u w:val="single"/>
            <w:shd w:val="clear" w:color="auto" w:fill="FFFFFF"/>
            <w:lang w:val="en-US" w:eastAsia="en-US" w:bidi="ar-SA"/>
          </w:rPr>
          <w:t>1999 BCCA 565</w:t>
        </w:r>
      </w:hyperlink>
      <w:r>
        <w:rPr>
          <w:rFonts w:ascii="arial" w:eastAsia="arial" w:hAnsi="arial" w:cs="arial"/>
          <w:color w:val="000000"/>
          <w:sz w:val="20"/>
          <w:lang w:val="en-US" w:eastAsia="en-US" w:bidi="ar-SA"/>
        </w:rPr>
        <w:t xml:space="preserve">, </w:t>
      </w:r>
      <w:hyperlink r:id="rId1170" w:history="1">
        <w:r>
          <w:rPr>
            <w:rFonts w:ascii="arial" w:eastAsia="arial" w:hAnsi="arial" w:cs="arial"/>
            <w:i/>
            <w:color w:val="0077CC"/>
            <w:sz w:val="20"/>
            <w:u w:val="single"/>
            <w:shd w:val="clear" w:color="auto" w:fill="FFFFFF"/>
            <w:lang w:val="en-US" w:eastAsia="en-US" w:bidi="ar-SA"/>
          </w:rPr>
          <w:t>[1999] B.C.J. No. 2219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the defendants further submits that para. 12 of the Statement of Claim and para. 4 of the plaintiff's outline indicate an intention to seek to claim under what the plaintiff says is the general common law provision of vicarious liability. Defence counsel submits that at common law, there is no vicarious liability for employers of police officers. It is only by virtue of s. 20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that the City of Vancouver is liable at all. Section 20 sets out the entire scope of the City of Vancouver's liability for torts committed by its municipal constables. He submits that para. 12 of the Statement of Claim and para. 4 of the plaintiff's outline is wrong in law and in fact. He submits that the plaintiff has not pled reliance upon s. 20 of the Police Act, and that it should have done so. It is submitted that the appropriate order would be to strike para. 12 and grant leave to the plaintiff to plead s. 20. In support of this proposition defendants' counsel drew my attention to Hodgkin v. Port Alberni (City) </w:t>
      </w:r>
      <w:hyperlink r:id="rId917" w:history="1">
        <w:r>
          <w:rPr>
            <w:rFonts w:ascii="arial" w:eastAsia="arial" w:hAnsi="arial" w:cs="arial"/>
            <w:i/>
            <w:color w:val="0077CC"/>
            <w:sz w:val="20"/>
            <w:u w:val="single"/>
            <w:shd w:val="clear" w:color="auto" w:fill="FFFFFF"/>
            <w:lang w:val="en-US" w:eastAsia="en-US" w:bidi="ar-SA"/>
          </w:rPr>
          <w:t>(1996), 23 B.C.L.R. (3d) 234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defendants further submits that para. 15 of the Statement of Claim appears to claim that all defendants are liable, including the individual officers, Raj Aiyathurai and Monte Cristo Bakery,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selection, hiring, training, instruction and supervision of the individual police officers. He submits that clearly this cannot be so. The individual police officers cannot, in his submission, be liable for their selection, hiring, training, instruction or supervision. Nor can Mr. Aiyanthurai or his employer, the Monte Cristo Bakery.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submits that para. 15 of the Statement of Claim is really an attempt to establish an independent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of Vancouver for the selection, hiring, training, instruction and supervision of the police officers in question. He submits that at law, the City of Vancouver is not independently responsible for any of these functions. In the defendants' submission, this claim against the City of Vancouver should be dismissed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also rely upon Rule 19(24)(b) and (c) and say that the allegations contained in para. 15 are unnecessary, scandalous, frivolous or vexatious and that to allow them to continue, in any form, in this law suit would prejudice, embarrass or delay the fair trial or hearing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final submission of counsel for the defendants has to do with the reference to the Municipal Act [now titled the Local Government Act] in the plaintiff's pleadings. He submits that s. 2.1 of the Vancouver Charter identifies the provisions of the Local Government Act which apply to the City of Vancouver. He submits that none of the sections enumerated in any way touch on this case. He further submits that neither the Local Government Act nor the Vancouver Charter in any way touch on the issues involved in this case. The only relevant legislation, he submits, is the Police Act and the Criminal Code. He therefore submits that the references to the Municipal Act should be struck from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order to deal with the many issues raised under this heading it may be prudent for me to deal with the legal standard that is set by Rule 19(24) and the interpretation of that rule by the courts.</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Standard on Rule 19(24)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test in Canada governing the application of provisions like Rule 19(24)(a) was set out by the Supreme Court of Canada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xml:space="preserve"> at 289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the facts as stated in the statement of claim can be proved, is it "plain and obvious" that the plaintiff's statement of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test governing applications pursuant to Rule 19(24)(b), (c) or (d) has been likewise referred to as "plain and obvious," the only proviso being that the "plain and obvious" test must relate to the particular elements of the subsections in question: 347202 B.C. Ltd. v. C.I.B.C., </w:t>
      </w:r>
      <w:hyperlink r:id="rId1171" w:history="1">
        <w:r>
          <w:rPr>
            <w:rFonts w:ascii="arial" w:eastAsia="arial" w:hAnsi="arial" w:cs="arial"/>
            <w:i/>
            <w:color w:val="0077CC"/>
            <w:sz w:val="20"/>
            <w:u w:val="single"/>
            <w:shd w:val="clear" w:color="auto" w:fill="FFFFFF"/>
            <w:lang w:val="en-US" w:eastAsia="en-US" w:bidi="ar-SA"/>
          </w:rPr>
          <w:t>[1995] B.C.J. No. 449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 pleading is "unnecessary" or "vexatious" within the meaning of Rule 19(24)(b) if it does not go to establishing the plaintiff's cause of action or does not advance a claim known in law: Citizens for Foreign Aid Reform Inc. v. Canadian Jewish Congress </w:t>
      </w:r>
      <w:hyperlink r:id="rId160"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 pleading is "frivolous" if it is unsustainable: Citizens for Foreign Aid Reform Inc.,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An "embarrassing" pleading within the meaning of Rule 19(24)(c) is one in which the allegations are so irrelevant that to allow them to stand would involve useless expense and would also prejudice the trial of the action by involving the parties in a dispute wholly apart from the issues. In order to be struck out their irrelevancy must be quite clear: Keddie v. Dumas Hotels Ltd. (c.o.b. Cariboo Trail Hotel), </w:t>
      </w:r>
      <w:hyperlink r:id="rId1172" w:history="1">
        <w:r>
          <w:rPr>
            <w:rFonts w:ascii="arial" w:eastAsia="arial" w:hAnsi="arial" w:cs="arial"/>
            <w:i/>
            <w:color w:val="0077CC"/>
            <w:sz w:val="20"/>
            <w:u w:val="single"/>
            <w:shd w:val="clear" w:color="auto" w:fill="FFFFFF"/>
            <w:lang w:val="en-US" w:eastAsia="en-US" w:bidi="ar-SA"/>
          </w:rPr>
          <w:t>[1985] B.C.J. No. 2328</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Suffice it to say that I have read all of the authorities that have been drawn to my attention by counsel. After this exhaustive review of the law, I am unable to find that it is "plain and obvious" that the plaintiff's Statement of Claim discloses no reasonable cause of action. I am unable, on the basis of the material before me, to find that the plaintiff's case contains a radical defect, or does not present a question fit to be tried. The law is clear that any doubt in this regard is to be resolved in favour of permitting the Statement of Claim to stand: Citizens for Foreign Aid Reform Inc. v. Canadian Jewish Congress,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Similarly, I am unable to conclude that the test has been met with respect to either paras. (b) or (c) of Rule 19(24). Again, the plaintiff must be given the benefit of any doubt on this issue. The relative strength or weakness of the plaintiff's case is not the test. The test is, as with Rule 19(24)(a), whether it is "plain and obvious" that the elements in these subsections are of application. I am unable to find that the allegations in the plaintiff's Statement of Claim are unnecessary, scandalous, frivolous or vexatious within the meaning of para. (b). Likewise, I am unable to conclude that the allegations in the plaintiff's Statement of Claim are so irrelevant that to allow them to stand would involve useless expense and would also prejudice the trial of the action by involving the parties in a dispute wholly apart from the issues. I am unable to find any clearly irrelevant material in those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result, the defendants' application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ROMILLY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3"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73"/>
          <w:headerReference w:type="default" r:id="rId1174"/>
          <w:footerReference w:type="even" r:id="rId1175"/>
          <w:footerReference w:type="default" r:id="rId1176"/>
          <w:headerReference w:type="first" r:id="rId1177"/>
          <w:footerReference w:type="first" r:id="rId11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9" w:history="1">
        <w:r>
          <w:rPr>
            <w:rFonts w:ascii="arial" w:eastAsia="arial" w:hAnsi="arial" w:cs="arial"/>
            <w:b/>
            <w:bCs/>
            <w:i/>
            <w:color w:val="0077CC"/>
            <w:kern w:val="32"/>
            <w:sz w:val="28"/>
            <w:szCs w:val="32"/>
            <w:u w:val="single"/>
            <w:shd w:val="clear" w:color="auto" w:fill="FFFFFF"/>
            <w:lang w:val="en-US" w:eastAsia="en-US" w:bidi="ar-SA"/>
          </w:rPr>
          <w:t>Barkman v. Roy, [2005] B.C.J. No. 1326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and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28536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837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479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Gerald Barkman, plaintiff, and Joseph Roy, deceased,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4"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4"/>
      <w:bookmarkEnd w:id="304"/>
      <w:r>
        <w:rPr>
          <w:rFonts w:ascii="arial" w:eastAsia="arial" w:hAnsi="arial" w:cs="arial"/>
          <w:b/>
          <w:color w:val="000000"/>
          <w:sz w:val="20"/>
          <w:lang w:val="en-US" w:eastAsia="en-US" w:bidi="ar-SA"/>
        </w:rPr>
        <w:t xml:space="preserve">Damages — Physical injuries — Body injuries — Neck — Back — Arm injuries — Elbow — Leg injuries — Knee — General damages — For personal injuries — Non-pecuniary damages, including pain and suffering — Retroactive loss of income — Loss of earning capacity — Special damages — Medical expenses — Transportation costs — Tort law — Motor vehicles — Liability of driver — Causation — Causal connection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4"/>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Barkman against Roy for damages for injuries sustained in a motor vehicle accident. Roy drove without lights in the wrong direction on Barkman's side of the highway, causing a head-on collision. Barkman suffered a broken knee cap and elbow, and was unable to return to teaching physical education. He also suffered damage to the discs in his neck, requiring extensive surgery. He was 47 years old at the time of the accident. Barkman left his employment, but eventually found more remunerative employment. He was unable to do work for a small construction company that he operated. He continued to suffer periodic headaches and pain in his shoulder and back.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38"/>
            <w:bookmarkEnd w:id="30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Barkman was awarded damages of $266,921. Roy was liable for the accident. Barkman was not contributorily negligent. He did everything possible to regain his pre-accident abilities. Barkman could do many of the things he used to do but not at the same level of intensity. The appropriate award for non-pecuniary damages was $90,000. Past income loss from teaching and his business was determined to be $57,828 after income tax was deducted. Barkman had intended to work past age 65. The proper amount for loss of future earning capacity was $100,000. Barkman was also awarded special damages of $19,092 for medication, user fees, aids to his recovery and for some of his travel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32"/>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5"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8" w:name="Counsel_45"/>
      <w:bookmarkEnd w:id="3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6"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J.B.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appeared on behalf of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5"/>
      <w:bookmarkEnd w:id="309"/>
      <w:r>
        <w:pict>
          <v:line id="_x0000_s1257" style="position:absolute;z-index:2518589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13,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POWERS J."/>
            <w:bookmarkEnd w:id="310"/>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is before me for the assessment of damages arising from a motor vehicle accident. The defendant died some time after the motor vehicle accident and for unrelated causes. The defendant was represented by counsel and a statement of defence filed on behalf of the defendant on January 22, 2001. I have been advised that the defendant died with no assets and no representative was ever appointed for his estate. The statement of defence was filed by his insurer. Mr. Barkman was not the only person injured in the accident and the defendant's insurer has elected not to continue to defend the case. The statement of defence has not been withdrawn. Mr. Roy died without assets and without any representative. I am satisfied, however, that it is appropriate under Rule 5(19) to proceed in the absence of a person representing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accident occurred on November 13, 1998. Mr. Barkman was driving his vehicle on a divided highway at approximately 9:00 p.m. The defendant's vehicle was proceeding in the wrong direction on Mr. Barkman's side of the highway without lights. There was a concrete barrier on Mr. Barkman's left and a vehicle on his right in the curb lane. The defendant's vehicle was not visible until it was too late for Mr. Barkman to take evasive action and there was nothing he could do to avoid the collision. Mr. Barkman's vehicle and the defendant's vehicle collided head on. I am satisfied that liability for the accident has been established. Mr. Barkman was wearing his seatbelt and I am satisfied that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the defendant is solely liable for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Barkman was 47 years old at the time of the accident and is now 53 years of age. He has a number of degrees and works as a school teacher. His preferred area of teaching is physical education, but he does teach other subjects in addition, including History and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His evidence is that he likes to work at a school for two or three years and then move on to another school. He likes to meet different people and work in different locations. He works primarily in the Christian school settings. These schools pay less money than the public school system, usually 60 to 80 percent of what would be paid in a public school system. However, these areas need teachers and he enjoys being able to fill that need. He particularly enjoys teaching physical education and working with the children in sports related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accident he had worked at the Kamloops Christian School from 1992 to 1997. He stayed in Kamloops for five years because he wanted all three of his sons to be able to graduate from the same school. He took a position in Coquitlam, British Columbia in 1998. He was the athletic director and ran the physical education program. He also taught English and History. He taught approximately ten different sports during the school year and coached basketball, badminton, and track and field. He also enjoyed playing and demonstrating all of the sports that he taught.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enjoyed sports while he was in university. He particularly enjoyed playing basketball where he was a point guard. He is not a tall individual, but had a vertical jump of 36 inches which he says is good for somebody his size. Before the accident he had a vertical jump of approximately of 28 to 30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force of the collision was great. Despite the fact that he wore a seatbelt, his head struck the windshield, causing some cuts to the scalp and imbedding glass into his scalp. He may have been unconscious for a brief period of time. When he awoke the steering wheel was bent and the windshield was broken. He attempted to assist his passenger, but realized that he had difficulty using his right arm. He also had pain in the lower part of his neck on the left side and his left knee cap was broken. He later learned that his right elbow was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had surgery the following day for repairs to his elbow, which included the insertion of pins and wires, and the removal of some broken bone chips. The patella on his left knee was broken in two pieces and screws were inserted to hold it together. His arm was placed in a sling with a dressing and he was given a full leg brace to be worn if he were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had trouble sleeping in the hospital and when he demonstrated that he was able to get up and down stairs with the assistance of one crutch he was released and went home. He maintained a residence in Kamloops that was occupied by his youngest son and he went to stay in that residence. One of his sons and his daughter-in-law had come to Kamloops to visit and extended their stay in order to assist him. His parents also came from Manitoba to provide care for him. They stayed until mid December of 1998. He required assistance in getting in and out of bed and with a number of other activities because of the injury to his elbow and his knee. He was unable to care for himself until the end of January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made an effort to return to his teaching position at the beginning of February in 1999. He had to stay with the family of one of his students because he was unable to stay on his own in the apartment which he had rented in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His leg was still in a brace and he was on a crutch. His elbow remained in a sling although he could use his fingers and his hand for writing. He continued to have headaches if he did not sleep correctly at night with a proper pillow. He may still have headaches from the pains he has in his neck if he is unable to sleep properly. The headaches, when they occur, last all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had throbbing in his right elbow and if he was resting his elbow on something the wires inside would cause him a sharp pain. His knee gave him pain when he exercised it and he was required to exercise it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continued to see his family doctor and his surgeon and was referred for physiotherapy to a Mr. Olaf Stana. He was prescribed an exercise program which he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was unable to participate in sports during the rest of the year and could not do the coaching that he had hoped to do. He was relegated to standing on the sidelines and refereeing. He continued to wear the brace on his leg through to the end of June 1999. He would then use it occasionally, for instance, when he went on a long trip, and throughout most of 1999. He was able to stop using the crutch by the end of April or early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developed carpal tunnel syndrome, but he was unable to say whether it was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Barkman was committed to recovering his strength and return to his physical activities. He did a lot of strength building exercises for his leg and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returned to Manitoba during the summer months to attempt to continue to operate a small contracting company that he operated and his sons worked for. The company did work for road construction companies, including fencing and laying rip rap. The company provided him with a means of providing employment for his sons to help them to pay for their education. It also allowed him to deduct expenses which might otherwise be considered personal for the purposes of income tax. The company did not show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Barkman continued with his rehabilitation exercises and training throughout the time he was in Manitoba. He had reduced strength in his left leg and did not regain the ability to fully extend his right elbow. The extension of the elbow was reduced by perhaps 10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Barkman returned to the school in Coquitlam in the fall of 1999, but was still unable to carry out the physical education activities that he had hoped to do. During the educational portion of the physical education classes, he was unable to show the various skills to the students as he had done in the past. During that year about 40 percent of his time was spent with physical education and 60 percent in academic programs. This was not his preference because as he said physical education was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continued to work out regularly and his knee was improving quite a bit. He did start to develop pain in his lower back. He believes that he now has two discs which were impacted during the accident and are fusing. He also has some pain when attempting to lift over his head. He admitted to having some pain in his neck, but he has improved generally to the point where he can jog and ride a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summer of 2000, he again attempted to work in his contracting business, but found that he was simply unable to do the work because of the lack of flexibility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returned to the Coquitlam school in the fall of 2000. The school hired somebody else to do the physical education program and his job was reduced to 70 percent. His salary, therefore, was two thirds of what it normally would have been. He continued to try and coach basketball and did have improvements with his elbow and knee. He tried to coach badminton, but was unable to demonstrate the necessary shots for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Barkman decided to leave the school in Coquitlam in the summer of 2001. He sold his residence in Kamloops and accepted a position teaching in a Christian school in Morocco. The position was a combined teacher and principal's position. The salary in the Coquitlam school was in the $50,000.00 range until his position was reduced to 70 percent. His salary in Morocco was about $32,000.00 Canadian. He always felt that he would like to go overseas and had been at the school at Coquitlam for three years. They were not prepared to hire him into the physical education position so he decided it was time to go overseas as he had thought of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continued to attempt to play sports, including basketball, but with some limitations. He continued to work out to build up his strength, but he developed problems in his neck and left shoulder. The problems in his neck and shoulder became severe in February of 2002. He had real pain and had headaches every night. His whole arm would go numb and then become painful. He was unable to sleep. He attended for diagnosis before a number of doctors and had an MRI. The doctors discovered that he had severe damage to the discs in his neck. The doctors believed this was caused by a severe blow and the only blow that he had to his head was that in the accident in 1998. He had a policy of health insurance through his employer and it was decided that he should return to North America for further diagnosis and treatment. The health insurance company wanted the work to be done in the United States. He returned to Manitoba and obtained an opinion of a specialist there and then attended in the United States for a second opinion. Ultimately it was recommended that he have a fusion and a discectomy. This was done in Kansas City, Oklahoma. Due to some complications during the surgery, he was required to stay in intensive care for three days before he was allowed to return home. He went from the hospital to his sister's residence in Kansas where he stayed for approximately a month. Thereafter he would commute back and forth from Manitoba to Kansas for follow-up visits with his doctor. The doctors in Manitoba would take the necessary x-rays and Mr. Barkman would attend in Kansas for the consultations.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pain in his arm and on his left side was gone, but he still had some minor pain or numbness in two or three of his fingers. He had a loss of muscle mass which he has been working to rebuild. He has mostly a full range of motion in his neck with the exception that the motion to the left is reduced by about 10 or 15 percent. This has been consistent for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Barkman was unable to work following the surgery. He was not receiving income from the school in Morocco. His doctor suggested that he take a year off, but Mr. Barkman had trouble doing that. He found a teaching position in Manitoba teaching French. This was not his first choice, but was something he preferred to do rather than sit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again tried to operate his contracting business the summer of 2003, but was unable to do the physical work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Barkman obtained employment for the school year of 2003 and 2004 at a Christian school. He taught physical education, English and History. Approximately 42 percent of his class work was physical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school year 2004 to 2005, Mr. Barkman took employment at a Christian school in Toronto, Ontario. He teaches physical education, coaching and History. His income is approximately $61,000.00 per annum at that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 present physical condition is improved, but he still has limited extension in his elbow. He says that this makes it difficult to follow through on some of the actions required in the sports that he plays, including basketball. He still can feel something in his elbow and occasionally it will ache. He continues to work out at the gym, but his grip strength is still less than it was in his right arm, and less than it is in his left arm. He has less muscle mass than he did prior to the accident. He continues to have tightness in his shoulders which affects his ability to play golf or baseball. His evidence is that he was a competitive athlete and does not enjoy participating as much as he used to because he is no longer as competitive. His lifting strength has reduced and his vertical jump is now approximately 12 to 13 inches, instead of 28 inches. He is also less able to demonstrate the skills to the students that he did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His knee still gives him problems if he makes sharp, sudden movements or pivots while participating in sports. If he does overdo it he finds that his knee begins to hurt and he has to rest it for the day. He says that his knee feels a bit wobbly sometimes. The strength in his leg is reduced considerably from what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still has headaches about once or twice a week that can last all day. He believes these come from his neck problems. He continues to have some pain in his left shoulder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continues to participate in sports to some extent, but cannot play at what he considers to be a reasonable level. He does a little refereeing for children's games, but not at the level that he did in the past. He is certified as a referee for basketball and baseball. Prior to the accident he would be paid $40 to $50 for refereeing a basketball game, and $25 to referee a baseball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Prior to the accident he had planned to keep coaching and doing physical education until he was approximately 65 years old. Due to injuries he feels that he may have to change those plans, including going into administration or working overseas, and teaching in a classroom rather than a gymnasium. He is even considering leaving teaching to go into a computing business with his sons. He says that it is also difficult to compete with younger teachers who can be paid less money to do the same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lost time from his employment after the accident. He was unable to work from the time of the accident on November 13, 1998 through to February 4, 1999. He did receive some benefits through his employer, but is required to repay those if he recovers anything for that lost income. He also lost a number of days travelling to Kamloops to see his doctors and days from work when he was unable to attend work because of the pain of his injuries. His work load was reduced by approximately two thirds from the year 2000 to 2001 resulting in a reduction in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Prior to going to Morocco he sold the assets of his contracting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 (NON-PECUNIARY)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collision involved a significant impact at high speeds which totally destroyed the vehicle Mr. Barkman was riding in. Mr. Barkman was fortunate that the injuries he suffered were not more extensive. Certainly they are significant and have had a negative impact on his lifestyle. He was a very fit and active 47 year old who loved his job as a physical education instructor, coach, and referee. He also enjoyed participating in every kind of a sport, in particular basketball and baseball. He enjoyed working in a physically demanding job during the summer months. He has done everything possible to improve his recovery from his injuries and to try to regain the abilities he had before the accident. He was a competitive athlete and is now unable to participate in sports at the level he did before the accident. He continues to suffer pain and discomfort in his neck, with accompanying headaches. His back continues to give him problems. He can do many of the things that he used to do, but not at the same level of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required surgery to repair his elbow and his knee. He required further surgery to remove the hardware from his elbow. He then required extensive surgery to deal with the fusion and discectomy in his neck. His back continues to give him problems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says that it is difficult to find cases with the same combination of injuries, but that the appropriate range of damages is between $90,000.00 and $150,000.00.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referred to a number of cases for comparison. The plaintiff did say that one of the cases referred to, Funk v. Carter, </w:t>
      </w:r>
      <w:hyperlink r:id="rId1180" w:history="1">
        <w:r>
          <w:rPr>
            <w:rFonts w:ascii="arial" w:eastAsia="arial" w:hAnsi="arial" w:cs="arial"/>
            <w:i/>
            <w:color w:val="0077CC"/>
            <w:sz w:val="20"/>
            <w:u w:val="single"/>
            <w:shd w:val="clear" w:color="auto" w:fill="FFFFFF"/>
            <w:lang w:val="en-US" w:eastAsia="en-US" w:bidi="ar-SA"/>
          </w:rPr>
          <w:t>[2004] B.C.J. No. 1348</w:t>
        </w:r>
      </w:hyperlink>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resulted in an award of $140,000.00 for non-pecuniary damages. However, the plaintiff agrees that case included a personality change and is probably not comparable to this case. The plaintiff suggests that an appropriate award in this case would be $110,000.00.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cases referred to include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Kmetyko v. Harrison, </w:t>
      </w:r>
      <w:hyperlink r:id="rId1181" w:history="1">
        <w:r>
          <w:rPr>
            <w:rFonts w:ascii="arial" w:eastAsia="arial" w:hAnsi="arial" w:cs="arial"/>
            <w:i/>
            <w:color w:val="0077CC"/>
            <w:sz w:val="20"/>
            <w:u w:val="single"/>
            <w:shd w:val="clear" w:color="auto" w:fill="FFFFFF"/>
            <w:lang w:val="en-US" w:eastAsia="en-US" w:bidi="ar-SA"/>
          </w:rPr>
          <w:t>[1998] B.C.J. No. 2918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1998 decision was three years after the accident which occurred in 1995. The 58 year old plaintiff was a faller whose injuries included headache and chest pain that had resolved by the time of the trial. However, the plaintiff also had left upper arm problems. The worst injury was to the right knee. The plaintiff had suffered a torn meniscus and had two surgeries on his knee. He was required to wear a brace and take medication. The court found that he would require a future knee replacement which would involve a three to six month recovery and a reduction in the use of the knee. He was unable to work, fish or mow his lawn and suffered a loss of self-esteem. The non-pecuniary damages were fixed at $90,000.00.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French v. Fort St. John (City), </w:t>
      </w:r>
      <w:hyperlink r:id="rId1182" w:history="1">
        <w:r>
          <w:rPr>
            <w:rFonts w:ascii="arial" w:eastAsia="arial" w:hAnsi="arial" w:cs="arial"/>
            <w:i/>
            <w:color w:val="0077CC"/>
            <w:sz w:val="20"/>
            <w:u w:val="single"/>
            <w:shd w:val="clear" w:color="auto" w:fill="FFFFFF"/>
            <w:lang w:val="en-US" w:eastAsia="en-US" w:bidi="ar-SA"/>
          </w:rPr>
          <w:t>[2003] B.C.J. No. 1434</w:t>
        </w:r>
      </w:hyperlink>
      <w:r>
        <w:rPr>
          <w:rFonts w:ascii="arial" w:eastAsia="arial" w:hAnsi="arial" w:cs="arial"/>
          <w:color w:val="000000"/>
          <w:sz w:val="20"/>
          <w:lang w:val="en-US" w:eastAsia="en-US" w:bidi="ar-SA"/>
        </w:rPr>
        <w:t xml:space="preserve">, </w:t>
      </w:r>
      <w:hyperlink r:id="rId1182" w:history="1">
        <w:r>
          <w:rPr>
            <w:rFonts w:ascii="arial" w:eastAsia="arial" w:hAnsi="arial" w:cs="arial"/>
            <w:i/>
            <w:color w:val="0077CC"/>
            <w:sz w:val="20"/>
            <w:u w:val="single"/>
            <w:shd w:val="clear" w:color="auto" w:fill="FFFFFF"/>
            <w:lang w:val="en-US" w:eastAsia="en-US" w:bidi="ar-SA"/>
          </w:rPr>
          <w:t>2003 BCSC 932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2003 decision involved a claim by a 15 year old plaintiff who had suffered a slip and fall injury on a parking lot. The injuries were significant, including a fractured femur, grade IV fracture of the patella, fractured tibia, crush fracture to the lateral meniscus. The plaintiff had two surgeries and continued to suffer degeneration of the knee and would require a knee replacement. He was bedridden for two months after the accident, then on crutches. He was expected to have permanent on-going pain. The non-pecuniary damages were assessed at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Kharitonov v. Coupland, </w:t>
      </w:r>
      <w:hyperlink r:id="rId1183" w:history="1">
        <w:r>
          <w:rPr>
            <w:rFonts w:ascii="arial" w:eastAsia="arial" w:hAnsi="arial" w:cs="arial"/>
            <w:i/>
            <w:color w:val="0077CC"/>
            <w:sz w:val="20"/>
            <w:u w:val="single"/>
            <w:shd w:val="clear" w:color="auto" w:fill="FFFFFF"/>
            <w:lang w:val="en-US" w:eastAsia="en-US" w:bidi="ar-SA"/>
          </w:rPr>
          <w:t>[1997] B.C.J. No. 1430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occurred in 1993 and the decision in 1997. The plaintiff was a 28 year old cook involved in a motorcycle accident. He suffered a compound, comminuted segmental fracture of the distal tibia and fibula. He had a fractured dislocation of the left ankle and hemathrosis of the left knee. He also suffered significant soft tissue injury to the left knee and possible separation of the clavicle. The surgery involved the insertion of plates and screws. There were problems with the union of the bones in the tibia and a breakage of some of the screws. He had two surgeries and continued to be in a cast from August of 1993 to April of 1994. He continued to have pain until the screws were removed in October of 1996. When the screws were removed from his ankle he had an inversion of his foot and was required to wear an orthopaedic device. He also suffered psychological and emotional problems as a result of his injuries and ongoing pain. He had scars, weakness, lack of mobility and edema. He was physically fit before the accident, but could not run, and was required to walk slowly after the accident. He had pain and swelling and tired easily. He had limited ability to lift weight. It was found that he would be permanently, moderately disabled. He had four operations and the court found that he may require one or two more, including a joint replacement of the ankle. The non-pecuniary damages were fixed at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Graham v. Lee, </w:t>
      </w:r>
      <w:hyperlink r:id="rId1184" w:history="1">
        <w:r>
          <w:rPr>
            <w:rFonts w:ascii="arial" w:eastAsia="arial" w:hAnsi="arial" w:cs="arial"/>
            <w:i/>
            <w:color w:val="0077CC"/>
            <w:sz w:val="20"/>
            <w:u w:val="single"/>
            <w:shd w:val="clear" w:color="auto" w:fill="FFFFFF"/>
            <w:lang w:val="en-US" w:eastAsia="en-US" w:bidi="ar-SA"/>
          </w:rPr>
          <w:t>[2004] B.C.J. No. 2052</w:t>
        </w:r>
      </w:hyperlink>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2004 BCSC 1287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2004 decision involved a 44 year old pulp mill labourer. In September of 1997 he suffered a slip and fall which injured his knee, requiring surgery and the insertion of plates and screws. He was in the hospital bedridden for one week, and then had a hard cast put on. He had to use a single crutch or cane until December of 1997. He continued to use the cane for two years after the accident. He continued to have pain and trouble walking until the end of February 2001. In June 2001 he had surgery to remove the hardware from his knee and degeneration in the knee was noted. In September 2003 he re-injured the knee and had to have it debrided, in other words having material removed from it. The doctors expected that he would have two or three major surgeries for joint replacements and that the replacement of the knee would result in a limitation of about 50 percent of the normal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had difficulty mountain biking, golfing, skiing, swimming, playing soccer, ice skating or tobogganing. He was unable to run or mow his lawn. The non-pecuniary damages were fixed at $90,000.00.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Zicari v. Young, </w:t>
      </w:r>
      <w:hyperlink r:id="rId1185" w:history="1">
        <w:r>
          <w:rPr>
            <w:rFonts w:ascii="arial" w:eastAsia="arial" w:hAnsi="arial" w:cs="arial"/>
            <w:i/>
            <w:color w:val="0077CC"/>
            <w:sz w:val="20"/>
            <w:u w:val="single"/>
            <w:shd w:val="clear" w:color="auto" w:fill="FFFFFF"/>
            <w:lang w:val="en-US" w:eastAsia="en-US" w:bidi="ar-SA"/>
          </w:rPr>
          <w:t>[2001] B.C.J. No. 2299</w:t>
        </w:r>
      </w:hyperlink>
      <w:r>
        <w:rPr>
          <w:rFonts w:ascii="arial" w:eastAsia="arial" w:hAnsi="arial" w:cs="arial"/>
          <w:color w:val="000000"/>
          <w:sz w:val="20"/>
          <w:lang w:val="en-US" w:eastAsia="en-US" w:bidi="ar-SA"/>
        </w:rPr>
        <w:t xml:space="preserve">, </w:t>
      </w:r>
      <w:hyperlink r:id="rId1185" w:history="1">
        <w:r>
          <w:rPr>
            <w:rFonts w:ascii="arial" w:eastAsia="arial" w:hAnsi="arial" w:cs="arial"/>
            <w:i/>
            <w:color w:val="0077CC"/>
            <w:sz w:val="20"/>
            <w:u w:val="single"/>
            <w:shd w:val="clear" w:color="auto" w:fill="FFFFFF"/>
            <w:lang w:val="en-US" w:eastAsia="en-US" w:bidi="ar-SA"/>
          </w:rPr>
          <w:t>2001 BCSC 1549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2001 decision involved an accident in 1998. The 29 year old plaintiff suffered a fracture of left femur, tibial plateau and fibula in several places. His right knee was injured as well. The surgery included an installation of plates and screws and left a 13 inch scar. He was hospitalized for 17 days and in intense pain. He had surgery in 1999 to remove the hardware, but continued to have pain, and his future prognosis was poor, including future deterioration. He had emotional problems as well. The non-pecuniary damages were fixed at $110,000.00.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injuries to the lower limbs of the plaintiffs in the cases cited above are significantly greater than the knee injury that Mr. Barkman has suffered. However, Mr. Barkman's condition is complicated by his elbow injury, but more particularly by the neck injury that required surgery. Mr. Barkman's injuries have also had a significant impact on his enjoyment of life. Teaching physical education, coaching sports and playing amateur sports were extremely important to him. His ability to pursue those activities has been seriously compromised. Considering the circumstances in Mr. Barkman's case, I find that the appropriate amount for non-pecuniary damages is $90,000.00.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Mr. Barkman did have a past income loss, including an initial 12 weeks after the accident. He was paid $2,032.87 per pay period for every 2 weeks. The loss for 12 weeks was therefore $12,197.22.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also lost approximately 6 weeks income in the year 1999 to 2000, the equivalent of $6,098.61.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His income was reduced by approximately 67 percent when his teaching load was reduced in the year 2000 to 2001. This represented a loss of $17,442.02.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Barkman said that he also sustained a loss during the time he was in Morocco because his pay there was $32,500.00 per year, instead of the approximate $50,000.00 he would have earned if he had stayed at the school in Coquitlam. He says that the loss should be the difference between what he actually earned in Morocco and what he could have earned in Coquitlam. He was forced to return to Canada in March 2002 because of his injuries. He earned $12,025.00 less than he would have earned had he stayed in Morocco. I find that that is the correct measure of the loss for that year, not the difference between his income in Canada and the income in Morocco. His evidence was that a change in his position in Coquitlam was one of the reasons for leaving Canada, but in addition it was consistent with his plans to teach overseas and to only remain in one area for 3 or 4 years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Barkman did earn money in the past refereeing basketball and baseball games. His evidence was that he would referee approximately 40 basketball games a year at $40.00 per game, and approximately 25 games of baseball at $35.00 per game. He says that this was approximately $2,475.00 per year and over a six year period it equates to a loss of $14,850.00. I find that this loss has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Barkman says that he has a past income loss relating to the operation of Barkman Contracting. He said this loss should be calculated from the year 2001 forward. He sold the business in 2001. He said that a fair way to assess this is at $10,000.00 per year loss or $40,000.00 over 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satisfied that Mr. Barkman would have continued to do some work through Barkman Contracting during the summer months. His income tax returns, however, show that in 1997 the gross business income was $11,400.00, less approximately $3,300.00 in purchases. He paid income to his sons by way of subcontracting for just over $7,000.00. He then deducted a portion of his meals and travel expenses, as well as depreciation on his truck. This resulted in a net loss of approximately $9,300.00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1998, the gross earnings were approximately $24,566.00. He paid subcontract wages of approximately $12,500.00. With a number of other expenses he arrived at a total of $30,423.00 in expenses and a net loss of just over $5,800.00.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1999, the gross income was just under $11,400.00. He paid wages of approximately $3,335.00. He had additional expenses, including depreciation of approximately $6,600.00. The total expenses were $12,859.00, and a net loss for tax purposes was $4,854.00.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year 2000 he only had one contract and the income was $3,500.00. His expenses were approximately $10,900.00, including just over $7,600.00 in capital loss allowance or depreciation. He paid approximately $750.00 in wages. The total expenses were just over $10,900.00, leaving a net loss of $7,447.00.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were some benefits to Mr. Barkman for tax purposes of operating this business. However, the actual income was not $10,000.00 per year. The income as well largely depended on the amount of work that was available during which the gross income was over $24,000.00 which was the exception. The more realistic figure was the $11,000.00 to $12,000.00 in two of the years. I find part of the reason that he decided to give up the business was that his sons were close to having completed university, if not completed, and no longer required the summer employment. He did not wish to hire somebody to manage the business. He could have done that if he wished to continue to enjoy the tax benefits. I do find, however, that he did lose the ability to earn income by doing physical work during the summer months. I find that a reasonable assessment of $5,000.00 per annum for a total of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total past income loss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523"/>
        <w:gridCol w:w="1359"/>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Initial 12 weeks after the accident</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12,197.22</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046"/>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 weeks income 1999-2000</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6,098.61</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3869"/>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2000-2001</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17,442.02</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4601"/>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12,025.00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987"/>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Refereeing</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14,850.00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869"/>
        <w:gridCol w:w="271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Business income loss</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$ 82,612.85</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has suggested that this be reduced by 30 percent ($24,783.86) in order to account for the income tax. This reduction is required by statute. The balance is $57,828.99.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LOSS OF INCOME OR DIMINISHED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Barkman has returned to teaching and presently earns approximately $63,000.00 per year. He is not able to teach physical education and coach the sports in the manner that he did prior to the accident, but he is able to continue to teach a mix of physical education and other subjects. He is also concerned that given his physical limitations he is not as competitive with younger physical education instructors.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He has submitted that despite the fact that he continues to earn his income from teaching, he has suffered a loss of capacity. He refers to the decision of our Court of Appeal Roswold v. Dunlop, </w:t>
      </w:r>
      <w:hyperlink r:id="rId665"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for the following propositions:</w:t>
      </w:r>
      <w:r>
        <w:rPr>
          <w:rFonts w:ascii="arial" w:eastAsia="arial" w:hAnsi="arial" w:cs="arial"/>
          <w:sz w:val="20"/>
          <w:lang w:val="en-US" w:eastAsia="en-US" w:bidi="ar-SA"/>
        </w:rPr>
        <w:cr/>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Possibilities and probabilities, chances, opportunities, and risks must all be considered, so long as they are a real and substantial possibility and not mere speculation. ([paragraph] 9)</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task of the court is to assess damages, not to calculate them according to some mathematical formula. ([paragraph] 11)</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is a matter of judgment, not calculation. ([paragraph] 18)</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factors to take into account are: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 ([paragraph]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then referred to a number of cases as examples on how the court has assessed future lost. These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Cash v. Wong, </w:t>
      </w:r>
      <w:hyperlink r:id="rId1186" w:history="1">
        <w:r>
          <w:rPr>
            <w:rFonts w:ascii="arial" w:eastAsia="arial" w:hAnsi="arial" w:cs="arial"/>
            <w:i/>
            <w:color w:val="0077CC"/>
            <w:sz w:val="20"/>
            <w:u w:val="single"/>
            <w:shd w:val="clear" w:color="auto" w:fill="FFFFFF"/>
            <w:lang w:val="en-US" w:eastAsia="en-US" w:bidi="ar-SA"/>
          </w:rPr>
          <w:t>[1996] B.C.J. No. 1311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was a 52 year old school principal. Her job was described as demanding and time consuming. Her chronic pain prevented her from functioning at her full capacity in her current job. Her pre-accident earning ability had been impaired and there was a real possibility that she would suffer a loss of income. She had lost the capacity to do many other jobs that she was otherwise qualified to do. The court found that her continuing pain would eventually take its toll on her ability to continue to function as a principal. The court found that there was a real possibility that she would lose income as a result of the loss of ability and may have to leave her present job for a lower paying one. The court awarded her $90,000.00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Fox v. Danis, </w:t>
      </w:r>
      <w:hyperlink r:id="rId1187"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w:t>
      </w:r>
      <w:hyperlink r:id="rId1187" w:history="1">
        <w:r>
          <w:rPr>
            <w:rFonts w:ascii="arial" w:eastAsia="arial" w:hAnsi="arial" w:cs="arial"/>
            <w:i/>
            <w:color w:val="0077CC"/>
            <w:sz w:val="20"/>
            <w:u w:val="single"/>
            <w:shd w:val="clear" w:color="auto" w:fill="FFFFFF"/>
            <w:lang w:val="en-US" w:eastAsia="en-US" w:bidi="ar-SA"/>
          </w:rPr>
          <w:t>2005 BCSC 102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34 year old bank employee suffered chronic pain in her spine, left buttock and left leg. This interfered with her ability to sleep and, therefore, her ability to work full-time. She had continued to work full-time, but was exhausted at the end of each day and was suffering more frequent migraines as a result. She was a good employee and had the ability to become a manager. However, because of the injuries it would appear that she would be limited to part-time work as a personal accounts associate. There was a significant difference between what she could earn in that position as opposed to being a manager. After the consideration of various contingencies the amount of future income loss was fixed at $750,000.00.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also referred to the decision Kahle v. Ritter, </w:t>
      </w:r>
      <w:hyperlink r:id="rId655" w:history="1">
        <w:r>
          <w:rPr>
            <w:rFonts w:ascii="arial" w:eastAsia="arial" w:hAnsi="arial" w:cs="arial"/>
            <w:i/>
            <w:color w:val="0077CC"/>
            <w:sz w:val="20"/>
            <w:u w:val="single"/>
            <w:shd w:val="clear" w:color="auto" w:fill="FFFFFF"/>
            <w:lang w:val="en-US" w:eastAsia="en-US" w:bidi="ar-SA"/>
          </w:rPr>
          <w:t>[2002] B.C.J. No. 285</w:t>
        </w:r>
      </w:hyperlink>
      <w:r>
        <w:rPr>
          <w:rFonts w:ascii="arial" w:eastAsia="arial" w:hAnsi="arial" w:cs="arial"/>
          <w:color w:val="000000"/>
          <w:sz w:val="20"/>
          <w:lang w:val="en-US" w:eastAsia="en-US" w:bidi="ar-SA"/>
        </w:rPr>
        <w:t xml:space="preserve"> in which the court used the individual's annual income as a multiplier to arrive at a way of assessing future income loss. The plaintiff in Kahle, supra, was 30 years of age. He was no longer able to perform the physical work that he had done in the past or going into the construction business with a friend. He trained as a medical equipment or repair person. His injuries prevented him from doing some of the heavy work associated with that occupation. He was required to take more time off work than he was allowed for sick days under his collective agreement. The court concluded that $80,000.00, which was approximately 2 years of his current employment income, was a reasonable measure of the potential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points out that the actuarial report that he has filed demonstrates that the present value of each $1,000.00 of annual income loss to age 65 has a present value of $9,524.00.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says that considering the potential that his present income is about $65,000.00, and that two years' salary would be $130,000.00. The plaintiff also argues that because he has been unable to earn income through the contracting business or refereeing that this figure should be increased to a total of $200,000.00, which would be the equivalent of a loss of about $21,000.00 per annum. This does not take into consideration any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Mr. Barkman has suffered a loss of earning capacity. I also find that he probably would have continued to work, at least on a part-time basis, past age 65. His father continued to work until he was approximately 80. Mr. Barkman's evidence satisfies me that he has a strong work ethic and does not like to sit around. He would have pursued some form of physical work if he were not teaching. He can no longer do that. I find in the circumstances of the case that the appropriate amount for loss of future earning capacity is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claims special damages in the amount of $23,714.12. Most of these relate to cost of medication, users fees and aids to his recovery. One of these items was claimed in the amount of $900.00 and relates to the cost of his accommodation in Coquitlam. Mr. Barkman had a home in Kamloops and had also rented accommodation in Coquitlam where he was working. He was injured in Kamloops and remained in Kamloops after the accident. He did return to Coquitlam at the beginning of February, but stayed with the family of a student because of the difficulties that he had in being on his own. He had leased the rental accommodation in Coquitlam and made arrangements with the landlord to terminate the lease. He paid rent for November and December, although he did not use the residence and he also gave up his damage deposit of $300.00 in order to terminate the lease. The only loss attributable to the accident is the $300.00 damage deposit. He would have paid for the rental of that accommodation whether he had the accident or not. The fact that he did not actually use the accommodation because of the accident does not mean that he has suffered a loss. The only amount that can be allowed, therefore, is $300.00 reducing the amount claimed by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Barkman has claimed mileage for travel between Kamloops and Coquitlam. He claims this at $0.40 per kilometre for a total of $4,591.20. Some of these expenses, including travel to Coquitlam to clean out the apartment were necessary because of the accident. Some of them were attendances in Kamloops for treatment. However, it also needs to be kept in mind that Mr. Barkman had a home in Kamloops where his son was living. His evidence is that it was his habit to go back and forth from Coquitlam to Kamloops while he was working in Coquitlam. I conclude that many of these trips would have been incurred in any event. I find that the appropriate amount to allow for these travel expenses is $3,000.00, reducing the amount by $1,591.20.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that the amounts Mr. Barkman paid to his parents $1,000.00 and to his son and daughter-in-law to rearrange their travel of $300.00, were reasonable. These individuals provided home care to Mr. Barkman after his injury. If they had not been available to assist him it would have been necessary for him to remain in the hospital or to have hired professional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Barkman claims $16,420.68 for expenses incurred in Morocco travelling to North America, and then between Manitoba and Kansas for his neck surgery. These expenses include out-of-pocket expenses as well as meals and mileage. He does not have an exact record of the meals incurred, but he simply claimed what he would be allowed to claim for income tax purposes as if he were conducting a business. On a number of the trips to Kansas he combined medical treatment with visits or times spent with his family. His father travelled with him on the initial trip to Kansas because he was unable to drive himself. During submissions it was suggested that the meal portion which was claimed at $3,630.00 should be reduced to $1,200.00. I am satisfied that that is an appropriate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total taken off of the claimed expenses of $23,714.12, therefore,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450"/>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Claimed:</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$23,714.12</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673"/>
        <w:gridCol w:w="1150"/>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accommodation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travel from Kamloops and Vancouver</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$ 1,591.20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3346"/>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meals</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$ 2,430.00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927"/>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Balance allowed:</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$19,092.92</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summary, the amounts allowed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$57,828.99</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882"/>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or</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Diminished 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$19,092.92</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$266,921.91</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will have his costs at scale 3. The plaintiff will also have court ordered interest on the past income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13,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on page 9, paragraph 24, the last sentence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doctors in Manitoba would take the necessary x-rays and Mr. Beckman would attend in Kansas for the consultations."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8"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88"/>
          <w:headerReference w:type="default" r:id="rId1189"/>
          <w:footerReference w:type="even" r:id="rId1190"/>
          <w:footerReference w:type="default" r:id="rId1191"/>
          <w:headerReference w:type="first" r:id="rId1192"/>
          <w:footerReference w:type="first" r:id="rId11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4" w:history="1">
        <w:r>
          <w:rPr>
            <w:rFonts w:ascii="arial" w:eastAsia="arial" w:hAnsi="arial" w:cs="arial"/>
            <w:b/>
            <w:bCs/>
            <w:i/>
            <w:color w:val="0077CC"/>
            <w:kern w:val="32"/>
            <w:sz w:val="28"/>
            <w:szCs w:val="32"/>
            <w:u w:val="single"/>
            <w:shd w:val="clear" w:color="auto" w:fill="FFFFFF"/>
            <w:lang w:val="en-US" w:eastAsia="en-US" w:bidi="ar-SA"/>
          </w:rPr>
          <w:t>Beazley v. Suzuki Motor Corp., [2008] B.C.J. No. 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S043377 and S060519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2008 BCSC 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50 C.P.C. (6th) 179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2008 CarswellBC 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163 A.C.W.S. (3d) 863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55 C.C.L.T. (3d) 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77 B.C.L.R. (4th) 388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Beazley, Laurel Beazley and William Beazley and Insurance Corporation of British Columbia, Plaintiffs, and Suzuki Motor Corporation, General Motors Corporation, General Motors of Canada Limited - General Motors du Canada Limitee, CAMI-Automotive, Inc., Stingray Holdings Ltd. formerly known as Sunshine Motors Ltd., Anchors Away Worldwide Cruises Inc. formerly known as Sunshine Motors (1994) Limited, Group Lotus plc, Lotus Cars Limited, and Lotus Engineering Limited, Defendants, and City of Burnaby, Third Party And between Natalia Spehar, a person under disability, by her Committee, Ann Spehar, and Insurance Corporation of British Columbia, Plaintiffs, and Suzuki Motor Corporation, General Motors Corporation, General Motors of Canada Limited - General Motors du Canada Limitee, CAMI-Automotive, Inc., Stingray Holdings Ltd. formerly known as Sunshine Motors Ltd., Anchors Away Worldwide Cruises Inc. formerly known as Sunshine Motors (1994) Limited, Group Lotus plc, Lotus Cars Limited, and Lotus Engineering Limited, Defendants, and City of Burnaby,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9"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1" w:name="Keywords_45"/>
      <w:bookmarkEnd w:id="31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Application by the defendants for an order dismissing the plaintiffs claims dismissed — The defendants were consultants to the manufacturers of a vehicle owned and operated by the plaintiffs — The vehicle was involved in a serious single vehicle accident — The plaintiffs submitted that the defendants had a duty of care to end users to warn of dangers ignored by the manufacturers, and to provide the manufacturers with proper advice — The court found that the two claims were novel, and were not certain to fail — Determination based on a factual record was appropriate given the issues raised — British Columbia Supreme Court Rules, Rules 14(6), 19(24).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Judgments and orders — Summary judgments — To dismiss action — No triable issue — Application by the defendants for an order dismissing the plaintiffs claims dismissed — The defendants were consultants to the manufacturers of a vehicle owned and operated by the plaintiffs — The vehicle was involved in a serious single vehicle accident — The plaintiffs submitted that the defendants had a duty of care to end users to warn of dangers ignored by the manufacturers, and to provide the manufacturers with proper advice — The court found that the two claims were novel, and were not certain to fail — Determination based on a factual record was appropriate given the issues raised — British Columbia Supreme Court Rules, Rules 14(6), 19(24).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2" w:name="Case Summary_45"/>
            <w:bookmarkEnd w:id="3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the Lotus companies, for an order dismissing the claims against it by the plaintiffs, Beazley and others -- A vehicle owned by the plaintiffs was involved in a single vehicle accident in which the three passengers suffered serious injuries -- The plaintiffs alleged that the vehicle was defective in design and manufacture, and was thus unreasonably dangerous -- The plaintiffs alleged that the Lotus companies were consulted by the vehicle manufacturers who ignored Lotus's warnings regarding safety and stability -- The plaintiffs submitted that Lotus thus had an obligation to warn end users of the vehicle that the vehicle was defective and dangerous -- In addition, the plaintiffs alleged that Lotus failed to properly advise and warn the manufacturers of the potential design dangers -- Lotus submitted that the facts as pleaded did not give rise to a duty of care to the plaintiffs and did not fall within the scope of a novel claim -- Lotus submitted that absent such duty, it did not commit a tort in British Columbia and the court thus lacked jurisdiction -- HELD: Application dismissed -- The duties of care that the plaintiffs sought to impose on Lotus were novel -- The duties were whether a consultant to a manufacturer owed a duty to the end user of the product, and whether such duty was limited to the advice given to the manufacturer, or included a duty to warn users of possible defectiveness -- It was not established that the claims were certain to fail -- The case raised important issues with significant commercial implications that were not appropriate for summary determination in the absence of a factual record.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3" w:name="Legislation Cited_33"/>
      <w:bookmarkEnd w:id="3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0"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14, Rule 14(6), Rule 14(6)(a), Rule 14(6)(b), Rule 14(6.4)(b), Rule 19(24), Rule 19(24)(a), Rule 19(27)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114" w:history="1">
        <w:r>
          <w:rPr>
            <w:rFonts w:ascii="arial" w:eastAsia="arial" w:hAnsi="arial" w:cs="arial"/>
            <w:i/>
            <w:color w:val="0077CC"/>
            <w:sz w:val="20"/>
            <w:u w:val="single"/>
            <w:shd w:val="clear" w:color="auto" w:fill="FFFFFF"/>
            <w:lang w:val="en-US" w:eastAsia="en-US" w:bidi="ar-SA"/>
          </w:rPr>
          <w:t>S.B.C. 2003, c. 28, s. 3</w:t>
        </w:r>
      </w:hyperlink>
      <w:r>
        <w:rPr>
          <w:rFonts w:ascii="arial" w:eastAsia="arial" w:hAnsi="arial" w:cs="arial"/>
          <w:color w:val="000000"/>
          <w:sz w:val="20"/>
          <w:lang w:val="en-US" w:eastAsia="en-US" w:bidi="ar-SA"/>
        </w:rPr>
        <w:t>,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1196" w:history="1">
        <w:r>
          <w:rPr>
            <w:rFonts w:ascii="arial" w:eastAsia="arial" w:hAnsi="arial" w:cs="arial"/>
            <w:i/>
            <w:color w:val="0077CC"/>
            <w:sz w:val="20"/>
            <w:u w:val="single"/>
            <w:shd w:val="clear" w:color="auto" w:fill="FFFFFF"/>
            <w:lang w:val="en-US" w:eastAsia="en-US" w:bidi="ar-SA"/>
          </w:rPr>
          <w:t>R.S.B.C. 1996, c. 231, s. 26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4" w:name="Counsel_46"/>
      <w:bookmarkEnd w:id="3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in both actions: G. Tucker and P. Brackstone.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Group Lotus plc, Lotus Cars Limited and Lotus Engineering Limited: R.B. Lindsay, Q.C. and J. Lamb.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Suzuki Motor Corporation, General Motors Corporation, General Motors of Canada Limited - General Motors du Canada Limitee, CAMI-Automotive, Inc., Stingray Holdings Ltd. formerly known as Sunshine Motors Ltd. and Anchors Away Worldwide Cruises Inc. formerly known as Sunshine Motors (1994) Limited: G.R. Switzer.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5" w:name="Judgment_46"/>
      <w:bookmarkEnd w:id="315"/>
      <w:r>
        <w:pict>
          <v:line id="_x0000_s1262"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6" w:name="R.B.T. GOEPEL J."/>
            <w:bookmarkEnd w:id="316"/>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23, 1994, a 1994 2-door 4x4 Geo Tracker ("the Tracker"), owned by William and Laurel Beazley and driven by their son, Jason (collectively "the Beazleys"), was involved in a single car accident (the "Accident"). The three passengers in the Tracker suffered serious injuries in the Accident and each commenced actions against the Beazleys. Those actions, as will be detailed below, have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focus of the instant actions is the design and safety of the Tracker. The plaintiffs allege that the Tracker was defective in design and manufacture, and was unreasonably dangerous in numerous ways particularized in their Statements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Statements of Claim allege that the defendants, Suzuki Motor Corporation ("SMC"), General Motors Corporation ("GM"), General Motors of Canada Limited - General Motors du Canada Limitee ("GMC"), CAMI-Automotive Inc. ("CAMI") (collectively the "GM Defendants"), designed, manufactured and sold the Tracker. The Statements of Claim further allege that SMC and/or GM consulted Group Lotus plc, Lotus Cars Limited and Lotus Engineering Limited (collectively "Lotus") regarding the safety and stability of the Tracker. The plaintiffs allege that Lotus gave certain advice and warnings to SMC and GM concerning the Tracker that SMC and GM ignored. The plaintiffs allege that in such circumstances Lotus had an obligation to warn users of the Tracker that the Tracker was dangerous and defective. Alternatively, the plaintiffs allege that Lotus failed to properly advise and warn SMC and GM of potential dangers in the Tracker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this application, Lotus applies pursuant to Rule 14(6)(a) for an order that the claims against it be dismissed on the grounds that the Amended Statements of Claim do not allege facts that, if true, establish that the court has jurisdiction over Lotus in respect of these claims. The gist of Lotus' submission is that Lotus does not owe a duty of care to the plaintiffs as alleged. Absent a duty of care, Lotus has committed no tort in British Columbia and the court, accordingly, lacks jurisdiction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put Lotus' application in context, it is first necessary to briefly review the Accident and the actions that have arisen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23, 1994, Jason Beazley lost control of the Tracker and it rolled over several times. His three passengers, Natalia Spehar, David Kusherniuk, and Diana Pozzi were injured, Ms. Spehar most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15, 1996, Ms. Spehar commenced proceedings against the Beazleys. Mr. Kusherniuk and Ms. Pozzi subsequently commenced their own separate actions against the Beazleys.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March 2002, Ms. Spehar's claim proceeded to trial. The Beazleys admitted liability. On July 23, 2003, Koenigsberg J. awarded Ms. Spehar damages against the Beazleys totalling $7,478,825 (</w:t>
      </w:r>
      <w:hyperlink r:id="rId1197" w:history="1">
        <w:r>
          <w:rPr>
            <w:rFonts w:ascii="arial" w:eastAsia="arial" w:hAnsi="arial" w:cs="arial"/>
            <w:i/>
            <w:color w:val="0077CC"/>
            <w:sz w:val="20"/>
            <w:u w:val="single"/>
            <w:shd w:val="clear" w:color="auto" w:fill="FFFFFF"/>
            <w:lang w:val="en-US" w:eastAsia="en-US" w:bidi="ar-SA"/>
          </w:rPr>
          <w:t>2002 BCSC 1718</w:t>
        </w:r>
      </w:hyperlink>
      <w:r>
        <w:rPr>
          <w:rFonts w:ascii="arial" w:eastAsia="arial" w:hAnsi="arial" w:cs="arial"/>
          <w:color w:val="000000"/>
          <w:sz w:val="20"/>
          <w:lang w:val="en-US" w:eastAsia="en-US" w:bidi="ar-SA"/>
        </w:rPr>
        <w:t>). On May 26, 2004, the Court of Appeal upheld the award (</w:t>
      </w:r>
      <w:hyperlink r:id="rId119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September 2003, the Insurance Company of British Columbia ("ICBC") settled the claims of Mr. Kusherniuk and Ms. Pozzi. ICBC paid $810,958.91 to settle Mr. Kusherniuk's claim and $235,252.19 to settle Ms. Pozzi's claim. As a result of those payments, ICBC claims that it has acquired a statutory right of subrogation pursuant to s. 26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(formerly titled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Beazleys had $1 Million in third party liability coverage with ICBC. Prior to trial, Ms. Spehar had issued a formal offer to settle her claims for $1.7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December 2002, the Beazleys commenced proceedings against ICBC, the lawyers ICBC had appointed to defend them and their personal counsel who they had retained (the "Bad Faith Action"). Trial of the Bad Faith Action was scheduled to commence on September 20,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June 17, 2004, ICBC commenced in its own name and in the name of the Beazleys Action S04337 (the "Beazley Action"), which is one of the actions presently before me. The Beazley Action alleges that the Tracker was defectively designed and manufactured, rendering it unsafe. The Beazley Action, as originally constituted, was only brought against the GM Defendants. The plaintiffs in the Beazley Action seek contribution to the extent it is found that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caused the Accident, resulting in the settlement of the Kusherniuk and Pozzi claims and the Spehar judgment against the Beazleys.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Shortly before the scheduled start of the Bad Faith Action, ICBC applied for an order that the Bad Faith Action, the Beazley Action and a further claim Ms. Spehar had brought against ICBC in relation to Part VII benefits be tried together. On August 12, 2004, Kirkpatrick J. (as she then was) dismissed that application, at least in part because of her concern that the Beazley Action would not be ready for trial until at least 2007 (</w:t>
      </w:r>
      <w:hyperlink r:id="rId1199" w:history="1">
        <w:r>
          <w:rPr>
            <w:rFonts w:ascii="arial" w:eastAsia="arial" w:hAnsi="arial" w:cs="arial"/>
            <w:i/>
            <w:color w:val="0077CC"/>
            <w:sz w:val="20"/>
            <w:u w:val="single"/>
            <w:shd w:val="clear" w:color="auto" w:fill="FFFFFF"/>
            <w:lang w:val="en-US" w:eastAsia="en-US" w:bidi="ar-SA"/>
          </w:rPr>
          <w:t>2004 BCSC 1091</w:t>
        </w:r>
      </w:hyperlink>
      <w:r>
        <w:rPr>
          <w:rFonts w:ascii="arial" w:eastAsia="arial" w:hAnsi="arial" w:cs="arial"/>
          <w:color w:val="000000"/>
          <w:sz w:val="20"/>
          <w:lang w:val="en-US" w:eastAsia="en-US" w:bidi="ar-SA"/>
        </w:rPr>
        <w:t>). Shortly thereafter, the Bad Faith Action was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26, 2006, Ms. Spehar and ICBC commenced Action F060519 (the "Spehar Action") against the GM and Lotus Defendants for damages for injuries suffered by Ms. Spehar in the Accident. ICBC sues as the assignee of Ms. Spehar pursuant to the terms of a written agreement dated September 9, 2004. The Spehar Action, like the Beazley Action, alleges that the Tracker was defectively designed and manufactured, rendering it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AGAINST LOTUS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Beazley Action was amended on September 29, 2006 to add Lotus as defendants. The allegations in the Beazley Action and the Spehar Action are now identical, although the paragraph numbering differs. Paragraph references hereafter will be taken from the Further Amended Statement of Claim in the Spehar Action. Unless otherwise stated, references to the plaintiffs hereafter will refer collectively to the plaintiffs in both the Beazley and Spehar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allege that the Tracker was originally designed, manufactured and sold by the GM Defendants (para. 18). The plaintiffs allege that Lotus was retained by SMC to assess and review the Tracker. It is alleged that Lotus recommended certain design changes and knew that if the design defects were not corrected, then the Tracker would be unsafe, inherently dangerous and risky for users (para. 34-37).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Further Amended Statement of Claim continues:</w:t>
      </w:r>
      <w:r>
        <w:rPr>
          <w:rFonts w:ascii="arial" w:eastAsia="arial" w:hAnsi="arial" w:cs="arial"/>
          <w:sz w:val="20"/>
          <w:lang w:val="en-US" w:eastAsia="en-US" w:bidi="ar-SA"/>
        </w:rPr>
        <w:cr/>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those circumstances, the Lotus Companies owed a duty to all potential users of the Tracker to advise and warn SMC and GM, clearly and specifically, that if the changes recommended by the Lotus Companies were not implemented, the Tracker would have inadequate directional stability, inadequate ability to resist rollover and inadequate handling during limit and emergency manoeuvring situations, and that the Tracker would be unsafe and that the Tracker would be inherently dangerous.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the Lotus Companies gave that advice and warning to SMC and GM and that all advice and warnings given by the Lotus Companies to SMC and GM were ignored by SMC and GM.</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Lotus Companies did not give that advice and warning to SMC and GM the Lotus Companies breached their duties to potential users of the Tracker and that breach was a proximate cause of the Accident and the injuries to Natalia Spehar.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any event, the Lotus Companies knew, or should have known, that notwithstanding acceptance by SMC and GM of the Lotus Companies' recommendations and advice concerning necessary changes to the design of the Tracker, SMC and GM failed to implement any of those changes. The Lotus Companies knew or should have known that none of those changes were implemented until in or about 1996, when all of those changes were implemented.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that neither SMC nor GM was making any of the changes to design of the Tracker recommended by the Lotus Companies, and knowing that the Defendants would manufacture, distribute, market and sell the Tracker, the Lotus Companies owed a duty to all potential users of the Tracker to warn those users that the Tracker was dangerous and defective in that the Tracker had inadequate directional stability, inadequate handling in emergency and limit manoeuvring situations, and an unacceptably high risk of roll over. The Lotus Companies breached that duty. That breach was a proximate cause of the Accident and the injuries to Natalia Spehar.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Lotus Companies, by virtue of their role in design of the Tracker are jointly and severally liable with SMC, GM, GMC for loss and damage flowing from defects in the Tracker, including all loss and damage suffered by Natalia Spehar.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clarity, the claim against the Lotus Companies set out at paragraph 40 is made in the alternative to the claims made against the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Lotus submits that the duty of care alleged in these proceedings has not been previously recognised by Canadian courts and does not satisfy the test for novel claims. Lotus says that even if the facts alleged by the plaintiffs are proven true, the duty to warn does not extend to relationships such as that between the plaintiffs and Lotus.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Lotus now applies pursuant to Rules 14(6)(a) and 14(6)(b) to dismiss the plaintiffs' action. Rules 14(6)(a) and (b)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A party who has been served with an originating process in a proceeding, whether served with the originating process in that proceeding in or outside of British Columbia, may, after entering an appearance,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a pleading or to dismiss or stay the proceeding on the ground that the originating process or other pleading does not allege facts that, if true, would establish that the court has jurisdiction over that party in respect of the claim made against that party in the proceeding;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dismiss or stay the proceeding on the ground that the court does not have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hearing was limited to the relief sought under Rule 14(6)(a). If Lotus is unsuccessful in regards to its submission under Rule 14(6)(a), a further hearing may take place in relation to Rule 14(6)(b). Lotus' submissions under Rule 14(6)(b) are based in part on an affidavit of Roger Becker, a Lotus employee who resides in England. The parties agreed that the plaintiffs are entitled to cross-examine Mr. Becker on his affidavit. Given the expense involved in arranging for that cross-examination, I directed at a Case Management Conference that Lotus' application proceed in two stages.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turning to the merits of the application, it is first necessary to determine the appropriate test by which the application will be judged. The foundation of Lotus' application is that even if the facts alleged by the plaintiffs in their respective Statements of Claim are true, Lotus does not owe a duty of care to the plaintiffs as alleged, or at all. Lotus submits that the relationship between the plaintiffs and Lotus does not fall within a recognized class that gives rise to a duty of care and there is no proximity between the plaintiffs and Lotus sufficient to establish a duty of care. Lotus further submits that even if foreseeability and proximity can be established residual policy considerations negative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the application has been brought pursuant to Rule 14(6)(a), Lotus' submission raises considerations that usually arise in the context of a Rule 19(24) application to strike a pleading as disclosing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concede that, prior to the amendments to Rule 14 in 2003, a defendant could, on a Rule 14(6) application, argue not just whether the pleadings make a claim over which the court will take jurisdiction, but also whether the pleadings allege a cause of action. The plaintiffs suggest that the addition of Rule 14(6.4)(b), which allows a party who has brought a motion under Rule 14(6)(a) or (b) to defend the action on the merits pending determination of the jurisdiction issues, now allows the party in the position of Lotus to bring a Rule 19(24) application where previously such a motion could not be brought without attorning to the court's jurisdiction. The plaintiffs submit that Rule 14(6) should now be restricted to arguments concerning jurisdiction alone and if a foreign defendant wishes to argue that a pleading discloses no cause of action, the application should be brought under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do not accept that Rule 14(6) is so limited. While a defendant challenging jurisdiction may now be able to defend an action on the merits while the jurisdictional challenge is pending, Rule 14(6) can still be used to determine whether the Statement of Claim discloses a cause of action. The onus is on the plaintiffs to plead facts that establish that their claim is well-founded in law: </w:t>
      </w:r>
      <w:r>
        <w:rPr>
          <w:rFonts w:ascii="arial" w:eastAsia="arial" w:hAnsi="arial" w:cs="arial"/>
          <w:b/>
          <w:i/>
          <w:color w:val="000000"/>
          <w:sz w:val="20"/>
          <w:lang w:val="en-US" w:eastAsia="en-US" w:bidi="ar-SA"/>
        </w:rPr>
        <w:t>AG Armeno Mines &amp; Minerals Inc. v. PT Pukuafu Indah</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2000 BCCA 405</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77 B.C.L.R. (3d)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Matters of jurisdiction are determined pursuant to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Pursuant to s. 3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this Court has territorial competence over a non-resident defendant if there is a real and substantial connection between British Columbia and the facts upon which the proceeding against that defendant is based. Pursuant to s.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a real and substantial connection is presumed to exist if the proceeding 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Where damage from a manufacturer's product occurs in British Columbia,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committed in British Columbia regardless of where the negligent act or omission occurred: </w:t>
      </w:r>
      <w:r>
        <w:rPr>
          <w:rFonts w:ascii="arial" w:eastAsia="arial" w:hAnsi="arial" w:cs="arial"/>
          <w:b/>
          <w:i/>
          <w:color w:val="000000"/>
          <w:sz w:val="20"/>
          <w:lang w:val="en-US" w:eastAsia="en-US" w:bidi="ar-SA"/>
        </w:rPr>
        <w:t>G.W.L. Properties Ltd. v. W.R. Grace &amp; Co.</w:t>
      </w:r>
      <w:r>
        <w:rPr>
          <w:rFonts w:ascii="arial" w:eastAsia="arial" w:hAnsi="arial" w:cs="arial"/>
          <w:color w:val="000000"/>
          <w:sz w:val="20"/>
          <w:lang w:val="en-US" w:eastAsia="en-US" w:bidi="ar-SA"/>
        </w:rPr>
        <w:t xml:space="preserve"> </w:t>
      </w:r>
      <w:hyperlink r:id="rId1200" w:history="1">
        <w:r>
          <w:rPr>
            <w:rFonts w:ascii="arial" w:eastAsia="arial" w:hAnsi="arial" w:cs="arial"/>
            <w:i/>
            <w:color w:val="0077CC"/>
            <w:sz w:val="20"/>
            <w:u w:val="single"/>
            <w:shd w:val="clear" w:color="auto" w:fill="FFFFFF"/>
            <w:lang w:val="en-US" w:eastAsia="en-US" w:bidi="ar-SA"/>
          </w:rPr>
          <w:t>(1990), 50 B.C.L.R. (2d) 260</w:t>
        </w:r>
      </w:hyperlink>
      <w:r>
        <w:rPr>
          <w:rFonts w:ascii="arial" w:eastAsia="arial" w:hAnsi="arial" w:cs="arial"/>
          <w:color w:val="000000"/>
          <w:sz w:val="20"/>
          <w:lang w:val="en-US" w:eastAsia="en-US" w:bidi="ar-SA"/>
        </w:rPr>
        <w:t xml:space="preserve"> (C.A.). That proposition of law is not contested by Lotus. What is contested, however, is whether they have committed a tort at all and that, in turn, depends as to whether or not they owe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Lotus submits that for this Court to have jurisdiction the plaintiffs must establish that they have a "good arguable case". The "good arguable case" test applies in circumstances where a defendant has led evidence on the application which would prove fatal to some aspect of the plaintiff's case. In such circumstances, the plaintiff has an obligation to lead sufficient evidence on that issue to show a good arguable case: </w:t>
      </w:r>
      <w:r>
        <w:rPr>
          <w:rFonts w:ascii="arial" w:eastAsia="arial" w:hAnsi="arial" w:cs="arial"/>
          <w:b/>
          <w:i/>
          <w:color w:val="000000"/>
          <w:sz w:val="20"/>
          <w:lang w:val="en-US" w:eastAsia="en-US" w:bidi="ar-SA"/>
        </w:rPr>
        <w:t>Power Measurement Ltd. v. Ludlum</w:t>
      </w:r>
      <w:r>
        <w:rPr>
          <w:rFonts w:ascii="arial" w:eastAsia="arial" w:hAnsi="arial" w:cs="arial"/>
          <w:color w:val="000000"/>
          <w:sz w:val="20"/>
          <w:lang w:val="en-US" w:eastAsia="en-US" w:bidi="ar-SA"/>
        </w:rPr>
        <w:t xml:space="preserve">, </w:t>
      </w:r>
      <w:hyperlink r:id="rId1201" w:history="1">
        <w:r>
          <w:rPr>
            <w:rFonts w:ascii="arial" w:eastAsia="arial" w:hAnsi="arial" w:cs="arial"/>
            <w:i/>
            <w:color w:val="0077CC"/>
            <w:sz w:val="20"/>
            <w:u w:val="single"/>
            <w:shd w:val="clear" w:color="auto" w:fill="FFFFFF"/>
            <w:lang w:val="en-US" w:eastAsia="en-US" w:bidi="ar-SA"/>
          </w:rPr>
          <w:t>2006 BCSC 157</w:t>
        </w:r>
      </w:hyperlink>
      <w:r>
        <w:rPr>
          <w:rFonts w:ascii="arial" w:eastAsia="arial" w:hAnsi="arial" w:cs="arial"/>
          <w:color w:val="000000"/>
          <w:sz w:val="20"/>
          <w:lang w:val="en-US" w:eastAsia="en-US" w:bidi="ar-SA"/>
        </w:rPr>
        <w:t>, 33 C.P.C. (6th)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That is not the situation on this application. On this application, the issue is whether the pleadings disclose a cause of action. The plaintiffs submit that on this application the test is that set out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where the Court, in considering Rule 19(24(a) said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agree with the plaintiffs' submission. In my opinion, the same test must be applied when a defendant seeks to set aside a writ on jurisdictional grounds on the basis that no tort has been pled as when a party applies to dismiss an action under Rule 19(24) on the basis that the Statement of Claim does not disclose a cause of action. Unless the plaintiffs' claim is certain to fail, the court should not conclude at this stage of the proceedings that the pleading does not allege facts that, if true, would establish that the court has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ADMISSIBILITY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parties are not in agreement in regards to the admissibility of evidence on this application. The plaintiffs submit that the issue before the court is whether or not the pleadings disclose a cause of action. They submit that the application should be decided on the same principles as apply in Rule 19(24)(a). On such applications, it is well established that the facts in the Statement of Claim must be accepted as true. Pursuant to Rule 19(27), no evidence is admissible on an application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Lotus wishes to put in evidence the contract between itself and SMC. It submits that the confidentiality provisions of the contract demonstrate a policy reason why the duty of care alleged by the plaintiffs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held that this application must be determined on the same basis as an application under Rule 19(24)(a). On such applications, evidence is not admissible. Accordingly, the terms of the contract are not admissible on this application and I have not considered the contents of the contract between Lotus and SMC in deciding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existence of a duty of care is determined by the two stage analysis first set out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interpreted by the Supreme Court of Canada in a number of decisions including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set out the framework for determining the existence of the duty of care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brief compass, we suggest that at this stage in the evolution of the law, both in Canada and abroad, the Anns analysis is best understood as follows. At the first stage of the Anns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Anns test focuses on factors arising from the relationship between the plaintiff and the defendant. These factors include questions of policy, in the broad sense of that word. If foreseeability and proximity are established at the first stage, a prima facie duty of care arises. At the second stage of the Anns test, the question still remains whether there are residual policy considerations outside the relationship of the parties that may negative the imposition of a duty of care. It may be, as the Privy Council suggest in Yuen Kun Yeu, [1988] 1 A.C. 175, that such consideration will not often prevail. However, we think it useful expressly to ask, before imposing a new duty of care, whether despite foreseeability and proximity of relationship, there are other policy reasons why the duty should not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two-stage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need only be considered in novel situations. It is only when a case does not clearly fall within a relationship previously recognised as giving rise to a duty of care, that it is necessary to apply both steps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w:t>
      </w:r>
      <w:r>
        <w:rPr>
          <w:rFonts w:ascii="arial" w:eastAsia="arial" w:hAnsi="arial" w:cs="arial"/>
          <w:b/>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1202"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major point of departure between the parties on this application is whether or not there is anything unusual or novel concerning the causes of action brought against Lotus. The plaintiffs submit that the causes of action all fall within recognised categories and there is no need for an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Lotus submits that the duties of care are novel and that an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is required to determine whether the duty of care alleged is one that should be recognized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Further Amended Statement of Claim first alleges that Lotus had a duty to all potential users of the Tracker to advise and warn SMC and GM that, if the changes recommended by Lotus were not implemented, the Tracker would be unsafe and inherently dangerous. From that premise, the pleading then proceeds to alternative claims. The first is that Lotus did not give that advice and warning to SMC and GM and, thereby, breached their duty to potential users of the Tracker (the "Advise Claim"). The second is that Lotus, having given the appropriate advice, knew that SMC and GM were not making the appropriate changes to the design and, in such circumstances, Lotus had a duty to warn all potential users that the Tracker was dangerous and defective (the "Duty to Warn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submit that the Advise Claim is analogous to claims that have been long recognized. It cites passages from Klar et. al. </w:t>
      </w:r>
      <w:r>
        <w:rPr>
          <w:rFonts w:ascii="arial" w:eastAsia="arial" w:hAnsi="arial" w:cs="arial"/>
          <w:b/>
          <w:i/>
          <w:color w:val="000000"/>
          <w:sz w:val="20"/>
          <w:lang w:val="en-US" w:eastAsia="en-US" w:bidi="ar-SA"/>
        </w:rPr>
        <w:t>Remedies in Torts</w:t>
      </w:r>
      <w:r>
        <w:rPr>
          <w:rFonts w:ascii="arial" w:eastAsia="arial" w:hAnsi="arial" w:cs="arial"/>
          <w:color w:val="000000"/>
          <w:sz w:val="20"/>
          <w:lang w:val="en-US" w:eastAsia="en-US" w:bidi="ar-SA"/>
        </w:rPr>
        <w:t xml:space="preserve">, (Toronto: Carswell, 1987), Waddams, </w:t>
      </w:r>
      <w:r>
        <w:rPr>
          <w:rFonts w:ascii="arial" w:eastAsia="arial" w:hAnsi="arial" w:cs="arial"/>
          <w:b/>
          <w:i/>
          <w:color w:val="000000"/>
          <w:sz w:val="20"/>
          <w:lang w:val="en-US" w:eastAsia="en-US" w:bidi="ar-SA"/>
        </w:rPr>
        <w:t>Product Liability</w:t>
      </w:r>
      <w:r>
        <w:rPr>
          <w:rFonts w:ascii="arial" w:eastAsia="arial" w:hAnsi="arial" w:cs="arial"/>
          <w:color w:val="000000"/>
          <w:sz w:val="20"/>
          <w:lang w:val="en-US" w:eastAsia="en-US" w:bidi="ar-SA"/>
        </w:rPr>
        <w:t xml:space="preserve">, 4th ed. (Toronto: Carswell, 2002), Wallace, </w:t>
      </w:r>
      <w:r>
        <w:rPr>
          <w:rFonts w:ascii="arial" w:eastAsia="arial" w:hAnsi="arial" w:cs="arial"/>
          <w:b/>
          <w:i/>
          <w:color w:val="000000"/>
          <w:sz w:val="20"/>
          <w:lang w:val="en-US" w:eastAsia="en-US" w:bidi="ar-SA"/>
        </w:rPr>
        <w:t>Hudson's Building and Engineering Contracts</w:t>
      </w:r>
      <w:r>
        <w:rPr>
          <w:rFonts w:ascii="arial" w:eastAsia="arial" w:hAnsi="arial" w:cs="arial"/>
          <w:color w:val="000000"/>
          <w:sz w:val="20"/>
          <w:lang w:val="en-US" w:eastAsia="en-US" w:bidi="ar-SA"/>
        </w:rPr>
        <w:t xml:space="preserve">, 11th ed. (London: Sweet and Maxwell 1995) and Theall et. al., </w:t>
      </w:r>
      <w:r>
        <w:rPr>
          <w:rFonts w:ascii="arial" w:eastAsia="arial" w:hAnsi="arial" w:cs="arial"/>
          <w:b/>
          <w:i/>
          <w:color w:val="000000"/>
          <w:sz w:val="20"/>
          <w:lang w:val="en-US" w:eastAsia="en-US" w:bidi="ar-SA"/>
        </w:rPr>
        <w:t>Product Liability: Canadian Law and Practise</w:t>
      </w:r>
      <w:r>
        <w:rPr>
          <w:rFonts w:ascii="arial" w:eastAsia="arial" w:hAnsi="arial" w:cs="arial"/>
          <w:color w:val="000000"/>
          <w:sz w:val="20"/>
          <w:lang w:val="en-US" w:eastAsia="en-US" w:bidi="ar-SA"/>
        </w:rPr>
        <w:t xml:space="preserve"> (Aurora: Canada Law Book 2001) for the general proposition that anyone involved in the manufacturing and distribution of a product faces potential liability if the product fails or causes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submit that the Supreme Court of Canada has found that a duty of care existed in analogous situations, most notably in </w:t>
      </w:r>
      <w:r>
        <w:rPr>
          <w:rFonts w:ascii="arial" w:eastAsia="arial" w:hAnsi="arial" w:cs="arial"/>
          <w:b/>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1203"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In that case, La Forest J. held that a general contractor in the construction of an apartment building owed a duty of care to subsequent purchasers to ensure the building was free of dangerous defects. La Forrest J. found that it was reasonably foreseeable to contractors (and others responsible for design and construction) that if a building contained latent defects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subsequent purchasers of the building may suffer personal injury or damages. The plaintiffs, while acknowledging that </w:t>
      </w:r>
      <w:r>
        <w:rPr>
          <w:rFonts w:ascii="arial" w:eastAsia="arial" w:hAnsi="arial" w:cs="arial"/>
          <w:b/>
          <w:i/>
          <w:color w:val="000000"/>
          <w:sz w:val="20"/>
          <w:lang w:val="en-US" w:eastAsia="en-US" w:bidi="ar-SA"/>
        </w:rPr>
        <w:t>Winnipeg Condominium</w:t>
      </w:r>
      <w:r>
        <w:rPr>
          <w:rFonts w:ascii="arial" w:eastAsia="arial" w:hAnsi="arial" w:cs="arial"/>
          <w:color w:val="000000"/>
          <w:sz w:val="20"/>
          <w:lang w:val="en-US" w:eastAsia="en-US" w:bidi="ar-SA"/>
        </w:rPr>
        <w:t xml:space="preserve"> dealt only with dangerous defects to a building and the recoverability of pure economic loss, submit that these are not material distinctions.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Similarly, the plaintiffs submit that the Duty to Warn Claim is one that has long been recognized. The law is summarised in </w:t>
      </w:r>
      <w:r>
        <w:rPr>
          <w:rFonts w:ascii="arial" w:eastAsia="arial" w:hAnsi="arial" w:cs="arial"/>
          <w:b/>
          <w:i/>
          <w:color w:val="000000"/>
          <w:sz w:val="20"/>
          <w:lang w:val="en-US" w:eastAsia="en-US" w:bidi="ar-SA"/>
        </w:rPr>
        <w:t>Bow Valley Husky (Bermuda) Ltd. v. St. John Shipbuilding Ltd</w:t>
      </w:r>
      <w:r>
        <w:rPr>
          <w:rFonts w:ascii="arial" w:eastAsia="arial" w:hAnsi="arial" w:cs="arial"/>
          <w:color w:val="000000"/>
          <w:sz w:val="20"/>
          <w:lang w:val="en-US" w:eastAsia="en-US" w:bidi="ar-SA"/>
        </w:rPr>
        <w:t xml:space="preserve">., </w:t>
      </w:r>
      <w:hyperlink r:id="rId1204"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may be simply stated. Manufacturers and suppliers are required to warn all those who may reasonably be affected by potentially dangerous products: Lambert v. Lastoplex Chemicals Co., </w:t>
      </w:r>
      <w:hyperlink r:id="rId1205" w:history="1">
        <w:r>
          <w:rPr>
            <w:rFonts w:ascii="arial" w:eastAsia="arial" w:hAnsi="arial" w:cs="arial"/>
            <w:i/>
            <w:color w:val="0077CC"/>
            <w:sz w:val="20"/>
            <w:u w:val="single"/>
            <w:shd w:val="clear" w:color="auto" w:fill="FFFFFF"/>
            <w:lang w:val="en-US" w:eastAsia="en-US" w:bidi="ar-SA"/>
          </w:rPr>
          <w:t>[1972] S.C.R. 569</w:t>
        </w:r>
      </w:hyperlink>
      <w:r>
        <w:rPr>
          <w:rFonts w:ascii="arial" w:eastAsia="arial" w:hAnsi="arial" w:cs="arial"/>
          <w:color w:val="000000"/>
          <w:sz w:val="20"/>
          <w:lang w:val="en-US" w:eastAsia="en-US" w:bidi="ar-SA"/>
        </w:rPr>
        <w:t xml:space="preserve">, and Hollis v. Dow Corning Corp., </w:t>
      </w:r>
      <w:hyperlink r:id="rId1206"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This duty extends even to those persons who are not party to the contract of sale: Rivtow Marine Ltd. v. Washington Iron Works, </w:t>
      </w:r>
      <w:hyperlink r:id="rId1207"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The potential user must be reasonably foreseeable to the manufacturer or supplier - manufacturers and suppliers (including a builder-supplier like SJSL) do not have the duty to warn the entire world about every danger that can result from improper use of their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Lotus submit that they were a consultant to the manufacturer of a vehicle which the plaintiffs owned, drove or travelled in. They submit that this is not a recognised category of relationship that gives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Applying the first stage of the Anns test, they submit that there was no direct connection between the parties. There is no allegation that the plaintiffs relied upon Lotus or that the plaintiffs knew of the existence of Lotus and the role they played in the development of the Tracker. They submit there is no "close and direct relationship" between Lotus and the plaintiffs that would justify imposing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regard to the Advise Claim, Lotus cite </w:t>
      </w:r>
      <w:r>
        <w:rPr>
          <w:rFonts w:ascii="arial" w:eastAsia="arial" w:hAnsi="arial" w:cs="arial"/>
          <w:b/>
          <w:i/>
          <w:color w:val="000000"/>
          <w:sz w:val="20"/>
          <w:lang w:val="en-US" w:eastAsia="en-US" w:bidi="ar-SA"/>
        </w:rPr>
        <w:t>Hughes v. Sunbeam Corp. (Canada) Ltd.</w:t>
      </w:r>
      <w:r>
        <w:rPr>
          <w:rFonts w:ascii="arial" w:eastAsia="arial" w:hAnsi="arial" w:cs="arial"/>
          <w:color w:val="000000"/>
          <w:sz w:val="20"/>
          <w:lang w:val="en-US" w:eastAsia="en-US" w:bidi="ar-SA"/>
        </w:rPr>
        <w:t xml:space="preserve"> </w:t>
      </w:r>
      <w:hyperlink r:id="rId1208" w:history="1">
        <w:r>
          <w:rPr>
            <w:rFonts w:ascii="arial" w:eastAsia="arial" w:hAnsi="arial" w:cs="arial"/>
            <w:i/>
            <w:color w:val="0077CC"/>
            <w:sz w:val="20"/>
            <w:u w:val="single"/>
            <w:shd w:val="clear" w:color="auto" w:fill="FFFFFF"/>
            <w:lang w:val="en-US" w:eastAsia="en-US" w:bidi="ar-SA"/>
          </w:rPr>
          <w:t>(2002), 61 O.R. (3d) 433</w:t>
        </w:r>
      </w:hyperlink>
      <w:r>
        <w:rPr>
          <w:rFonts w:ascii="arial" w:eastAsia="arial" w:hAnsi="arial" w:cs="arial"/>
          <w:color w:val="000000"/>
          <w:sz w:val="20"/>
          <w:lang w:val="en-US" w:eastAsia="en-US" w:bidi="ar-SA"/>
        </w:rPr>
        <w:t xml:space="preserve"> (C.A.) in which the court struck out claims against the tester of the smoke detector. The issue in that case was whether an independent endorser of a product owed a duty of care to the purchasers of the product if the product turned out to be dangerously defective. The court, applying the proximity test, found that even if the harm was foreseeable, it was not proximate and, therefore, the tester did not owe the plaintiff a duty of care. The court further found that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did exist, the residual policy considerations of the second stage of the Anns test would negate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regard to the Duty to Warn Claim, Lotus cite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xml:space="preserve"> for the proposition that even if foreseeability is established, no duty of care would arise because alleged failure to warn arose in circumstances where there was no positive duty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Lotus further submit that even if there was sufficient proximity to establish a duty of care, there are residual policy considerations at the second stage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that would negate the duty, the most significant being the spectre of indeterminate liability in an indeterminate amount. Lotus further submit that the proposed duty does not allow Lotus to control its exposure to claims and that the manufacturer is better positioned than Lotus to ensure the safety of its products, a significant policy consideration in the second stage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fact that one case may be somewhat similar to another does not necessarily mean that second case is not novel. An example is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xml:space="preserve">, where the Court determined that the situation of commercial hosts differed from those of social hosts and decided that claims against social hosts for alcohol-related injuries constituted a new category of claim which required a detailed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case raises for determination the question of whether a consultant to a manufacturer of a mass produced complex product owes a duty of care to the end user of the product and, if such a duty of care is owed, whether it is limited to the advice given to the manufacturer, or extends to include a duty to warn the end user of the product that the product may be defective. While there may be some similarities between this situation and decided cases, there are also significant differences. A building is a single structure. An automobile is a mass produced product. No cases have been cited to me in relation to the obligations of a consultant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Similarly, there have been no cases cited which have considered the duty of an independent consultant to warn the ultimate end user of a product. While the authorities have clearly established that a manufacturer has such a duty, whether a party who has advised the manufacturer in the development of the product is similarly obliged has not previously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the facts and submissions before me, I find that the duties of care which the plaintiffs seek to impose on Lotus are novel and the determination of the existence of a duty of care requires a full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Accepting that the two claims are novel, the question for determination on this application is whether it can be said at this point in time that they are certain to fail. I am unable to reach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case raises important issues concerning the obligations of those who provide advice to manufacturers of products. If a duty of care is found to arise, the finding may have significant commercial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These are, in my view, not questions that should be determined summarily at this stage. Important and novel questions of law should not be decided absent a factual record: </w:t>
      </w:r>
      <w:r>
        <w:rPr>
          <w:rFonts w:ascii="arial" w:eastAsia="arial" w:hAnsi="arial" w:cs="arial"/>
          <w:b/>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1209"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A full evidentiary record will allow the court to fully explore the competing policy interests which need to be considered in determining whether a duty of care should be extended to this situation. Important and novel questions of law should not be determined in an evidentiary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Lotus' application pursuant to Rule 14(6)(a) is dismissed. The plaintiffs will be entitled to the costs of this application against Lotus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3"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10"/>
          <w:headerReference w:type="default" r:id="rId1211"/>
          <w:footerReference w:type="even" r:id="rId1212"/>
          <w:footerReference w:type="default" r:id="rId1213"/>
          <w:headerReference w:type="first" r:id="rId1214"/>
          <w:footerReference w:type="first" r:id="rId12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16" w:history="1">
        <w:r>
          <w:rPr>
            <w:rFonts w:ascii="arial" w:eastAsia="arial" w:hAnsi="arial" w:cs="arial"/>
            <w:b/>
            <w:bCs/>
            <w:i/>
            <w:color w:val="0077CC"/>
            <w:kern w:val="32"/>
            <w:sz w:val="28"/>
            <w:szCs w:val="32"/>
            <w:u w:val="single"/>
            <w:shd w:val="clear" w:color="auto" w:fill="FFFFFF"/>
            <w:lang w:val="en-US" w:eastAsia="en-US" w:bidi="ar-SA"/>
          </w:rPr>
          <w:t>Benoit v. Banfield, 2012 BREG para. 50,650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January 25,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S101377</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2012 BREG para. 50,650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17" w:history="1">
        <w:r>
          <w:rPr>
            <w:rFonts w:ascii="arial" w:eastAsia="arial" w:hAnsi="arial" w:cs="arial"/>
            <w:i/>
            <w:color w:val="0077CC"/>
            <w:sz w:val="20"/>
            <w:u w:val="single"/>
            <w:shd w:val="clear" w:color="auto" w:fill="FFFFFF"/>
            <w:lang w:val="en-US" w:eastAsia="en-US" w:bidi="ar-SA"/>
          </w:rPr>
          <w:t>[2012] B.C.J. No. 347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17" w:history="1">
        <w:r>
          <w:rPr>
            <w:rFonts w:ascii="arial" w:eastAsia="arial" w:hAnsi="arial" w:cs="arial"/>
            <w:i/>
            <w:color w:val="0077CC"/>
            <w:sz w:val="20"/>
            <w:u w:val="single"/>
            <w:shd w:val="clear" w:color="auto" w:fill="FFFFFF"/>
            <w:lang w:val="en-US" w:eastAsia="en-US" w:bidi="ar-SA"/>
          </w:rPr>
          <w:t>2012 BCSC 265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Danielle Nicole Benoit, by her Litigation Guardian, Theodore Joseph Benoit Plaintiff v. Margaret Jean Banfield, Gregory Alan Banfield, Gregory Alan Banfield doing business as GT Construction, Benwall Industries Ltd., Ronald Calvin Bennett, George Goffinet, Have Hammer Will Travel Ltd., Henry Paterson, Van City Construction Ltd., Canada Mortgage and Housing Corporation, John Does #3 and 4 and City of Surrey Defendants v. Janine Benoit, Ted Benoit aka Theodore Joseph Benoit, City of Surrey and Margaret Jean Banfield Third Parties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4"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7" w:name="Keywords_46"/>
      <w:bookmarkEnd w:id="317"/>
      <w:r>
        <w:rPr>
          <w:rFonts w:ascii="arial" w:eastAsia="arial" w:hAnsi="arial" w:cs="arial"/>
          <w:b/>
          <w:color w:val="000000"/>
          <w:sz w:val="20"/>
          <w:lang w:val="en-US" w:eastAsia="en-US" w:bidi="ar-SA"/>
        </w:rPr>
        <w:t xml:space="preserve">Land titles registration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homeowner — Defendant CMHC sponsored program that allowed for funding of home improvements — Under program, defendant homeowner constructed exterior staircase without handrails at residence — Infant plaintiff visited residence and fell from staircase, sustaining permanent injuries — Plaintiff sued for damages, alleging that CMHC carried out two negligent inspections during construction of staircase — CMHC not entitled to order either striking out of plaintiff's statement of claim or dismissal of plaintiff's case against it.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8" w:name="Case Summary_46"/>
            <w:bookmarkEnd w:id="31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subject building was owned by the defendant, Margaret Jean Banfield ("Banfield"). Banfield constructed an exterior staircase which led to a deck. The staircase was constructed without a handrail or guards, which was allegedly contrary to the residential building code standards in force at the time. While visiting Banfield's home, the infant plaintiff fell from the staircase and suffered a severe head injury resulting in permanent brain damage. She instituted proceedings through her Litigation Guardian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Banfield and a number of other defendants, including the Canada Mortgage and Housing Corporation (the "CMHC"). The CMHC had funded the construction of the staircase under the Canadian Home Renovation Plan (the "CHRP"). The CHRP required that two inspections be carried out by the CMHC at the applicant's premises. The first inspection was to verify that the quoted costs for the project were reasonable, and the second inspection was to ensure that the work had been completed satisfactorily. The CHRP agreement between the CMHC and the homeowner required that the construction meet "residential standards".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loan was advanced and an initial inspection was carried out. A CMHC inspector signed a form verifying completion of the work. The loan was then forgiven. Alleging that it owed no statutory duty of care to the plaintiff, the CMHC applied for an order striking the pleadings against it, or, alternatively, summarily dismissing the action against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9" w:name="Holdings of Court_39"/>
            <w:bookmarkEnd w:id="319"/>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CMHC's position was that it owed no common law or statutory duty of care to the infant plaintiff, since the purpose of its two inspections of the staircase was only to ensure that the construction project qualified for funding. Their purpose was not to determine whether the construction of the staircase met generally accepted building standards, as the plaintiff was alleging. However, the Court found that it was not plain and obvious from the facts adduced on CMHC's application that the plaintiff's case against it disclosed no reasonable cause of action.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a reasonable prospect that the infant plaintiff might establish (at trial) the required degree of proximity between the CMHC's alleged negligent conduct, and the damages that she suffered. Also, the infant plaintiff had located a retired CMHC inspector who provided a written opinion to the effect that the purpose of the CMHC inspections was, at least in part, to ensure that construction complied with the residential standards in place at the time. The question was whether there was sufficient evidence to decide the issues of fact or law that would support CMHC's application to dismiss the claim on a summary basis. The Court noted that discoveries had yet to be held. In addition, a central disputed fact was the purpose for which the inspection of the defective staircase was conducted. Since the plaintiff had mustered some evidence in that regard, it was too early to consider a summary dismissal application.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0" w:name="Counsel_47"/>
      <w:bookmarkEnd w:id="3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5"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 Webster-Evans for the plaintiff; D.R. Clark, QC, and K. Leung for the defendant, Canada Mortgage and Housing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1" w:name="Judgment_47"/>
      <w:bookmarkEnd w:id="321"/>
      <w:r>
        <w:pict>
          <v:line id="_x0000_s1266"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2" w:name="C.A. WEDGE J. (orally)"/>
            <w:bookmarkEnd w:id="322"/>
            <w:r>
              <w:rPr>
                <w:rFonts w:ascii="arial" w:eastAsia="arial" w:hAnsi="arial" w:cs="arial"/>
                <w:b/>
                <w:color w:val="000000"/>
                <w:sz w:val="30"/>
                <w:lang w:val="en-US" w:eastAsia="en-US" w:bidi="ar-SA"/>
              </w:rPr>
              <w:t>C.A. WEDGE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has been brought by the infant plaintiff as a result of a head injury she suffered when she fell from a staircase while visiting the home of the defendant, Margaret Banfield.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present application is brought by one of the named defendants, Canada Mortgage and Housing Corporation ("CMHC"). CMHC applies under Rule 9-5(1) of the Supreme Court Civil Rules to strike the pleadings with respect to its alleged liability for the injury on the basis that none of the pleadings disclose a reasonable claim against it. CMHC applies, in the alternative, for an order dismissing the claim on a summary basis pursuant to Rule 9-7(2) of the Rules. I will deal with the applications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Briefly by way of background, the staircase on which the plaintiff suffered her injuries was constructed by Ms. Banfield, the then-owner of the home. The construction was funded by CMHC under a program known as the Canadian Home Renovation Plan or CHRP. The CHRP was a one-year, $30 million program which took the form of forgivable loans of up to $3,000 per loan to cover home renovation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staircase, which was on the exterior of the building leading to an exterior deck, was constructed without handrail or guards, contrary, it is alleged, to residential building code standards in force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common ground that the relevant CHRP documents provided to applicants for the CHRP loans included the following provisions. Two inspections were to be carried out by CMHC at the applicant's premises. At the application stage, the first inspection was to verify that the quoted costs for the project were reasonable, that the specifications were "adequate", and that the proposed work was eligible. The second inspection was to take place after the work was completed to ensure it had been "completed satisfactorily".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also common ground that the CHRP agreement between CMHC and the homeowner required that the construction meet "residential standards". The agreement also stated that the CHRP loan would be advanced "upon satisfactory completion"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loan was advanced and an initial inspection was carried out. The deck and exterior staircase were completed and a CMHC inspector signed a form verifying completion of the work. The loan was then forgiven.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1994, the defendant Banfield invited the family of the infant plaintiff to her residence. It was during the visit that the plaintiff fell from the staircase, suffering severe head injuries which resulted in permanent brain damage. The lawsuit was commenced in early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has, as yet, been no examination for discovery of a CMHC representative. While there has been considerable correspondence between the plaintiff and CMHC's counsel concerning the appropriate representative from CMHC to be examined for discovery, agreement has yet to be reached respecting that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CMHC has brought its application to strike the pleadings, or alternatively summarily dismiss the action as against it, on the basis there is no common law or statutory duty of care owed by CMHC to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will turn first to CMHC's application to strike the pleadings. In the recent decision of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the Supreme Court of Canada addressed the test for striking pleadings under our rules. At para. 17 the Court stated,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 Another way of putting the test is that the claim has no reasonable prospect of success. Where a reasonable prospect of success exists, the matter should be allowed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Court went on to observe that the power to strike out claims is a valuable housekeeping measure which weeds out hopeless claims and allows those claims having some chance of success to go to trial. The Court went on to say this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Valuable as it is, the motion to strike is a tool that must be used with care. The law is not static and unchanging. Actions that yesterday were deemed hopeless may tomorrow succeed. Before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introduced a general duty of care to one's neighbour premised on foreseeability, few would have predicted that, absent a contractual relationship, a bottling company could be held liable for physical injury and emotional trauma resulting from a snail in a bottle of ginger beer. Before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[1963] 2 All E.R. 575 (H.L.), a tort action for negligent misstatement would have been regarded as incapable of success. The history of our law reveals that often new developments in the law first surface on motions to strike or similar preliminary motions, like the one at issue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Therefore,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reiterated at para. 22 the fundamental point that a motion to strike for failure to disclose a reasonable cause of action proceeds on the basis that the facts as pleaded are true unless manifestly incapable of being proven. No evidence is admissible on such a motion. The Court went on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Accordingly, on this motion to strike, I must proceed solely on the basis that the facts as pleaded on behalf of the infant plaintiff are true. At paragraph 14, the amended notice of civil claim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CMHC provided funding for the construction of the Staircase and did inspect or was required to inspect the construction and design of the renovations, including the design and construction of the Staircase, as a condition of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Paragraphs 35 to 39 of the amended statement of claim state as follows:</w:t>
      </w:r>
      <w:r>
        <w:rPr>
          <w:rFonts w:ascii="arial" w:eastAsia="arial" w:hAnsi="arial" w:cs="arial"/>
          <w:sz w:val="20"/>
          <w:lang w:val="en-US" w:eastAsia="en-US" w:bidi="ar-SA"/>
        </w:rPr>
        <w:cr/>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funding the construction of the Staircase and inspecting the Staircase, the Defendant CMHC owed a duty of care to later users of the Staircase to take reasonable steps to ensure that they were not exposed to dangers caused by patent defects in the Staircase.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funding the construction of the Staircase and inspecting of Staircase, the Defendant CMHC was materially implicated in the creation of the Staircase and the dangers faced by later users of the Staircase such as the Plaintiff.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funding the construction of the Staircase and inspecting of the Staircase, the Defendant CMHC owed a duty of care to later users of the Staircase to take reasonable steps to ensure that the renovations reasonably conformed to building codes and construction standards in effect at the time of the construction and did not expose users to unreasonable dangers.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its required inspections of the Staircase, the Defendant CMHC owed a duty of care to later users of the Staircase to exercise care in the way it carried out its inspections and to take steps to ensure obviously unsafe conditions were rectified.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fall and injuries suffered by the Plaintiff were the foreseeable result of the CMHC's funding of the construction of the Staircase and the failure of the Defendant CHMC to exercise care in its inspection of the Staircase, further particulars of which are listed in paragraph 40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 40, subparagraphs (a) through (l), set out further particulars, including failing to have a system or any reasonable system of inspection to ensure that the construction for which it provided funding was carried out following generally accepted building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CMHC issued a request for further and better particulars of the claim, which were provided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CMHC vigorously disputes that it was the obligation of inspectors inspecting the work to verify its design or safety. According to CMHC, the inspections were carried out only to ensure that the work qualified for funding. CMHC also disputed the contention that the final inspection was carried out for the purpose of determining whether the work was done in accordance with the building standards of the day. Rather, it argued, the final inspection was carried out only to determine that the work met the funding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difficulty with the arguments of CMHC is that they rest on the proof of facts which can only be established on the basis of evidence. The Court is not permitted to consider evidence at this stage. It may only consider the facts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infant plaintiff pleads that the purpose of CMHC's inspections was at least in part to ensure the proper design of the staircase. The question is whether, on the facts as pleaded, there is at least a reasonable prospect of establishing that CMHC owed a private duty of care to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case cited earlier, the Court was faced with the question of whether the facts as pleaded brought the case within a settled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giving rise to a duty of care. If so,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would be established. The Court cited in support of that conclusion its earlier decision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1202"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15. If the facts as pleaded do not bring the claim within a settled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Court must consider whether the general requirements for reliability and tort are met on the test set out by the House of Lords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and somewhat reformulated by the Supreme Court of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At the first stage of this test, the question is whether the facts disclose a relationship of proximity in which failure to take reasonable care might foreseeably cause harm or loss to the plaintiff. If so, the second stage inquiry is whether there are policy reasons why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Thus, if the facts as pleaded bring CMHC's relationship with the infant plaintiff within a settled category or analogous to a settled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gives rise to a duty of care,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will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argues that the facts as pleaded here bring the case within the settled category of negligent inspections. In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121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the Supreme Court of Canada held that a building inspector had a duty of care in respect of his inspection of a property eventually owned by the plaintiff, the subsequent buyer of the property. The relationship was of sufficient proximity that the City of Kamloops should have contemplated that carelessness of its inspection would cause harm to the plaintiff or the class of persons to whom the plaintiff belongs. That class of persons included subsequent owners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the Court discussed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and the Court's ability to impose, alongside the public law powers and duties, the private law duty to individuals. At p. 9 the Court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some circumstances the law could impose over and above, or perhaps alongside, these public law powers and duties a private law duty towards individuals enabling them to sue the authority for damages in a civil suit. The difficulty was to determine when such a private law duty could be imposed. The first step, Lord Wilberforce said, is to analyse the powers and duties of the authority to determine whether they require the authority to make "policy" decisions or "operational" decisions. He said at p. 754: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Most, indeed probably all, statutes relating to public authorities or public bodies, contain in them a large area of policy. The courts call this "discretion" meaning that the decision is one for the authority or body to make, and not for the courts. Many statutes also prescribe or at least presuppose the practical execution of policy decisions: a convenient description of this is to say that in addition to the area of policy or discretion, there is an operational area. Although this distinction between the policy area and the operational area is convenient, and illuminating, it is probably a distinction of degree; many "operational" powers or duties have in them some element of "discretion." It can safely be said that the more "operational" a power or duty may be, the easier it is to superimpose upon it a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Applying the principle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the Court found the City of Kamloops had the power to regulate construction. It did not have to do so. However, once the decision to inspect for the purpose of determining the quality of construction was made, the building inspectors exercising operational duties of inspection were obliged to take due care during those inspections so as not to injure persons whose relationship was sufficiently close that the City ought to have their interest in mind. The Court determined that the later buyer of the home was of sufficient proximity to have been within the mind of the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Supreme Court of Canada again considered the issue of negligent building inspections in the case of </w:t>
      </w:r>
      <w:r>
        <w:rPr>
          <w:rFonts w:ascii="arial" w:eastAsia="arial" w:hAnsi="arial" w:cs="arial"/>
          <w:i/>
          <w:color w:val="000000"/>
          <w:sz w:val="20"/>
          <w:lang w:val="en-US" w:eastAsia="en-US" w:bidi="ar-SA"/>
        </w:rPr>
        <w:t>Ingles v. Tutkaluk Construction Ltd.</w:t>
      </w:r>
      <w:r>
        <w:rPr>
          <w:rFonts w:ascii="arial" w:eastAsia="arial" w:hAnsi="arial" w:cs="arial"/>
          <w:color w:val="000000"/>
          <w:sz w:val="20"/>
          <w:lang w:val="en-US" w:eastAsia="en-US" w:bidi="ar-SA"/>
        </w:rPr>
        <w:t xml:space="preserve">, </w:t>
      </w:r>
      <w:hyperlink r:id="rId1219" w:history="1">
        <w:r>
          <w:rPr>
            <w:rFonts w:ascii="arial" w:eastAsia="arial" w:hAnsi="arial" w:cs="arial"/>
            <w:i/>
            <w:color w:val="0077CC"/>
            <w:sz w:val="20"/>
            <w:u w:val="single"/>
            <w:shd w:val="clear" w:color="auto" w:fill="FFFFFF"/>
            <w:lang w:val="en-US" w:eastAsia="en-US" w:bidi="ar-SA"/>
          </w:rPr>
          <w:t>2000 SCC 12</w:t>
        </w:r>
      </w:hyperlink>
      <w:r>
        <w:rPr>
          <w:rFonts w:ascii="arial" w:eastAsia="arial" w:hAnsi="arial" w:cs="arial"/>
          <w:color w:val="000000"/>
          <w:sz w:val="20"/>
          <w:lang w:val="en-US" w:eastAsia="en-US" w:bidi="ar-SA"/>
        </w:rPr>
        <w:t xml:space="preserve">. In that case, the Court considered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applied in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to determine whether a public body owes a private duty of care to individuals. At para. 16 of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[decisions] provide the basis for determining whether the law can impose on a public authority a private law duty towards individuals ... and for determining whether a duty of care is owed by a public authority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reiterated that the two questions must be asked: first, whether there is a sufficiently close relationship between the public authority and the person suffering the damage, so that in the reasonable contemplation of the authority, carelessness on its part might cause damage to that person; and if so, the second question is whether there are considerations which ought to limit the scope of the duty and the class of persons to whom it is owed or the damages to which the breach of the duty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went on to observe that the first step of the test presents quite a low threshold.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established where a relationship of proximity existed between the parties, such that it was reasonably foreseeable that carelessness on the part of the public actor would result in injury to the other party. The Court said the following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Lord Wilberforce recognized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only in certain circumstances will a public authority owe a private law duty of care towards individuals. Thus, under the second step of the test, the court must examine the legislation which governs the public authority to determine whether a private law duty should be imposed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went on to say the following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Inspection schemes fall within the second type of legislation identified by Lord Wilberforce. To determine whether an inspection scheme by a local authority will be subject to a private law duty of care, the court must determine whether the scheme represents a policy decision on the part of the authority, or whether it represents the implementation of a policy decision, at the operational level. True policy decisions are exempt from civil liability to ensure that governments are not restricted in making decisions based upon political or economic factors. It is clear, however, that once a government agency makes a policy decision to inspect, in certain circumstances, it owes a duty of care to all who may be injured by the negligent implementation of that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Again, at para. 20, the Court in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emphasized that once an inspection has occurred at the operational level, the public authority owes a duty of care to all who might be injured by a negligent inspection and a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will be applied. In such a case, in order to avoid liability, the government agency "must exercise the standard of care in its inspection that would be expected of an ordinary, reasonable and prudent person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emphasize this aspect of the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case because it is clear that the duty of care owed in those circumstances is not confined to the person for whom the inspection was originally or initially completed. Rather, the duty must extend to all persons who might thereafter be injured. CMHC argued that should the duty of care be found to exist in the present case, it would be confined to the owner of the house, the defendant Banfield. That argument cannot be sustained. The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decision makes clear that the class of persons to whom the duty is owed consists of those persons who may use the staircase; that is, the owner of the house and anyone else who attends at the property and who might use the staircase.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next step in the analysis involves an examination of the legislative scheme governing the public authority to determine whether there is any policy reason to limit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Once again, the Court in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noted at para. 22 that where the purpose of the inspection is to ensure compliance with safety standards and where the public authority has made a policy decision to do the inspection, the authority will owe a duty of care "to all who it is reasonable to conclude might be injured by the negligent exercise of their inspection powers." That is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case as pleaded by the infant plaintiff is that CMHC required the renovations it funded to meet residential construction standards, and that it made a policy decision to review the plans and inspect the renovations to determine that they were completed satisfactorily. The facts as pleaded establish that the inspections were operational in nature, as per the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National Housing Act</w:t>
      </w:r>
      <w:r>
        <w:rPr>
          <w:rFonts w:ascii="arial" w:eastAsia="arial" w:hAnsi="arial" w:cs="arial"/>
          <w:color w:val="000000"/>
          <w:sz w:val="20"/>
          <w:lang w:val="en-US" w:eastAsia="en-US" w:bidi="ar-SA"/>
        </w:rPr>
        <w:t xml:space="preserve">, R.S.C. 1970, c. N-10, under which the CMHC is created, does not exclude the possibility of liability. In other words, there is no statutory immunity. Further, the statute does not create an overarching public duty which could conflict with the private duty of care to a particular class of persons. Thus, the present case does not resemble the facts of decisions such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Holtslag v. Alberta</w:t>
      </w:r>
      <w:r>
        <w:rPr>
          <w:rFonts w:ascii="arial" w:eastAsia="arial" w:hAnsi="arial" w:cs="arial"/>
          <w:color w:val="000000"/>
          <w:sz w:val="20"/>
          <w:lang w:val="en-US" w:eastAsia="en-US" w:bidi="ar-SA"/>
        </w:rPr>
        <w:t xml:space="preserve">, </w:t>
      </w:r>
      <w:hyperlink r:id="rId1220" w:history="1">
        <w:r>
          <w:rPr>
            <w:rFonts w:ascii="arial" w:eastAsia="arial" w:hAnsi="arial" w:cs="arial"/>
            <w:i/>
            <w:color w:val="0077CC"/>
            <w:sz w:val="20"/>
            <w:u w:val="single"/>
            <w:shd w:val="clear" w:color="auto" w:fill="FFFFFF"/>
            <w:lang w:val="en-US" w:eastAsia="en-US" w:bidi="ar-SA"/>
          </w:rPr>
          <w:t>2006 ABCA 51</w:t>
        </w:r>
      </w:hyperlink>
      <w:r>
        <w:rPr>
          <w:rFonts w:ascii="arial" w:eastAsia="arial" w:hAnsi="arial" w:cs="arial"/>
          <w:color w:val="000000"/>
          <w:sz w:val="20"/>
          <w:lang w:val="en-US" w:eastAsia="en-US" w:bidi="ar-SA"/>
        </w:rPr>
        <w:t xml:space="preserve">. Nor, on the facts of the case as pleaded, do they resemble the facts of cases in which the public authority is strictly the lender of funds. Thus, cases such as </w:t>
      </w:r>
      <w:r>
        <w:rPr>
          <w:rFonts w:ascii="arial" w:eastAsia="arial" w:hAnsi="arial" w:cs="arial"/>
          <w:i/>
          <w:color w:val="000000"/>
          <w:sz w:val="20"/>
          <w:lang w:val="en-US" w:eastAsia="en-US" w:bidi="ar-SA"/>
        </w:rPr>
        <w:t>McMillan v. Canada Mortgage and Housing Corporation</w:t>
      </w:r>
      <w:r>
        <w:rPr>
          <w:rFonts w:ascii="arial" w:eastAsia="arial" w:hAnsi="arial" w:cs="arial"/>
          <w:color w:val="000000"/>
          <w:sz w:val="20"/>
          <w:lang w:val="en-US" w:eastAsia="en-US" w:bidi="ar-SA"/>
        </w:rPr>
        <w:t xml:space="preserve">, </w:t>
      </w:r>
      <w:hyperlink r:id="rId1221" w:history="1">
        <w:r>
          <w:rPr>
            <w:rFonts w:ascii="arial" w:eastAsia="arial" w:hAnsi="arial" w:cs="arial"/>
            <w:i/>
            <w:color w:val="0077CC"/>
            <w:sz w:val="20"/>
            <w:u w:val="single"/>
            <w:shd w:val="clear" w:color="auto" w:fill="FFFFFF"/>
            <w:lang w:val="en-US" w:eastAsia="en-US" w:bidi="ar-SA"/>
          </w:rPr>
          <w:t>2007 BCSC 1475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Kimpton v. Canada (Attorney General)</w:t>
      </w:r>
      <w:r>
        <w:rPr>
          <w:rFonts w:ascii="arial" w:eastAsia="arial" w:hAnsi="arial" w:cs="arial"/>
          <w:color w:val="000000"/>
          <w:sz w:val="20"/>
          <w:lang w:val="en-US" w:eastAsia="en-US" w:bidi="ar-SA"/>
        </w:rPr>
        <w:t xml:space="preserve">, </w:t>
      </w:r>
      <w:hyperlink r:id="rId1222" w:history="1">
        <w:r>
          <w:rPr>
            <w:rFonts w:ascii="arial" w:eastAsia="arial" w:hAnsi="arial" w:cs="arial"/>
            <w:i/>
            <w:color w:val="0077CC"/>
            <w:sz w:val="20"/>
            <w:u w:val="single"/>
            <w:shd w:val="clear" w:color="auto" w:fill="FFFFFF"/>
            <w:lang w:val="en-US" w:eastAsia="en-US" w:bidi="ar-SA"/>
          </w:rPr>
          <w:t>2002 BCSC 1645</w:t>
        </w:r>
      </w:hyperlink>
      <w:r>
        <w:rPr>
          <w:rFonts w:ascii="arial" w:eastAsia="arial" w:hAnsi="arial" w:cs="arial"/>
          <w:color w:val="000000"/>
          <w:sz w:val="20"/>
          <w:lang w:val="en-US" w:eastAsia="en-US" w:bidi="ar-SA"/>
        </w:rPr>
        <w:t>, cited by CMHC in its argument, are not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present case, CMHC was not acting as the insurer of a mortgage or the researcher of construction methods. Rather, on the facts as pleaded, CMHC was involved in the inspection of the work funded in its CHRP grants, both before and after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Finally, this is not a case where a finding of a duty of care would result in indeterminate liability. I do not accept that indeterminate liability could arise in this case. The Supreme Court of Canada discussed the notion of indeterminate liability in two recent decisions,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which I have cited earlier, and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1223"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the Court said at para. 70 that at the root of the concern is that the duty of care is so broad that its extent cannot be determined. The policy concern, said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closely related to proximity; the question is whether there are sufficient special factors arising out of the relationship between the plaintiff and the defendant so that indeterminate liability is not the result of imposing the proposed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went on to say that: "What is required is a principled basis upon which to draw the line between those to whom the duty is owed and those to whom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present case, CMHC offered grants of up to $3,000 per applicant for a one-year period. The pool of funds from which to draw was limited in the amount of $30 million. Thus, even were one to consider the possibility of a duty of care to all loan recipients, the number of persons is not indeterminate. In the context of the present case, liability extends only to the class of persons who might reasonably be foreseen as users of the defective staircase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Thus, I conclude that on the facts as pleaded by the infant plaintiff, there is a reasonable prospect of successfully establishing proximity. The plaintiff's claim is grounded in allegations of specific conduct by CMHC concerning the creation of the defective staircase and its negligent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noted by the Supreme Court of Canada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 asserted basis for proximity is grounded in specific conduct and interactions, ruling a claim out at the proximity stage may be difficult. So long as there is a reasonable prospect that the asserted interactions could, if true, result in a finding of sufficient proximity, and the statute does not exclude that possibility, the matter must be allowed to proceed to trial, subject to any policy considerations that may negate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at the second stage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case falls squarely within the circumstances described in that passage, and accordingly the motion to strike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turn then to CMHC's application for dismissal of the claim pursuant to the summary trial rule, Rule 9-7(2). The question raised by this application is whether there is sufficient evidence to decide the issues of fact or law that would support the application to dismiss the claim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case concerning CMHC is still in its early stages. Discoveries, as I have indicated earlier, have not yet been conducted. CMHC has nominated an individual who has no knowledge of any of the issues arising from the claim. That individual located the documents relating to the CHRP loans, but she has no knowledge of the nature of the inspections carried out as part of the loan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has been ongoing correspondence between counsel for the respective parties. CMHC has advised that it cannot locate any individual who carried out inspections specifically for the CHRP program. In the most recent correspondence, counsel for the plaintiff has asked CMHC to nominate any individual with knowledge or experience concerning inspections, whether or not that individual was specifically involved in the CHRP inspections, and even if the experience is relatively recent. No such individual has yet been nominated.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only evidence advanced by CMHC on its application to dismiss the plaintiff's claim consists of affidavits on information and belief, appending the CHRP application forms and information booklets generated at the time of the program, as well as the contract between the defendant Banfield and CMHC that was signed off at the time. CMHC's arguments are based solely on its interpretation of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affidavit material discloses that counsel for the plaintiff recently located an individual who actually conducted inspections pursuant to the CHRP loan program in 1983. That individual is retired and now lives in Powell River. He has provided the plaintiff with a written opinion concerning the purpose of the CMHC inspections carried out under the CHRP program and the standards that had to be met before construction would be approved by the inspectors. On its face, the opinion supports the allegations of the plaintiff that the purpose of the inspections was, at least in part, to ensure that construction complied with residential standards in place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CMHC argued that the inspector's evidence must be rejected because it is an attempt to opine on the issue of proximity, which is a question of law and not fact. I cannot agree. The inspector's evidence addresses the purpose of the CMHC inspections, which he says was to ensure compliance with safety standards imposed for residential construction at the material time. That evidence is advanced because it may assist the plaintiff in establishing the facts necessary to successfully argue reasonable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 the plaintiff brought an application to require CMHC to produce more documentation. That application was adjourned and has not yet been completed. It was only last week that the plaintiff obtained additional relevant documents pertaining to the disputed inspection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the issues arising in the claims against CMHC may not involve findings of credibility, a central disputed fact is the purpose for which the inspection of the defective staircase was conducted. The plaintiff has mustered some evidence in that regard, and it is simply too early to consider a summary dismissal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noted by Masuhara J. in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1224"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the Court should be reluctant to resolve factual issues on a summary trial application in the absence of admissible evidence where such evidence may well be tendered in an admissible form at a subsequent trial. The evidence of fact and opinion contained in the report of the former employee of CMHC concerning inspections will likely be advanced in admissible form at the trial of the claim. It would be patently unfair to the plaintiff to attempt to resolve those issues at this point in time. The action was only commenced recently and is not set to proceed for another nine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CMHC's application for judgment on a summary basis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Anything further,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WEBSTER-EVANS: My Lady,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WEBSTER-EVANS: We are seeking costs of the application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As the successful party, the plaintiff is entitled to costs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7"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25"/>
          <w:headerReference w:type="default" r:id="rId1226"/>
          <w:footerReference w:type="even" r:id="rId1227"/>
          <w:footerReference w:type="default" r:id="rId1228"/>
          <w:headerReference w:type="first" r:id="rId1229"/>
          <w:footerReference w:type="first" r:id="rId12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31" w:history="1">
        <w:r>
          <w:rPr>
            <w:rFonts w:ascii="arial" w:eastAsia="arial" w:hAnsi="arial" w:cs="arial"/>
            <w:b/>
            <w:bCs/>
            <w:i/>
            <w:color w:val="0077CC"/>
            <w:kern w:val="32"/>
            <w:sz w:val="28"/>
            <w:szCs w:val="32"/>
            <w:u w:val="single"/>
            <w:shd w:val="clear" w:color="auto" w:fill="FFFFFF"/>
            <w:lang w:val="en-US" w:eastAsia="en-US" w:bidi="ar-SA"/>
          </w:rPr>
          <w:t>Bewsey v. Bewsey, [2003] B.C.J. No. 2138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Quijano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S33339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142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 Bewsey, plaintiff, and David Richard Bewsey,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3" w:name="Keywords_47"/>
      <w:bookmarkEnd w:id="323"/>
      <w:r>
        <w:rPr>
          <w:rFonts w:ascii="arial" w:eastAsia="arial" w:hAnsi="arial" w:cs="arial"/>
          <w:b/>
          <w:color w:val="000000"/>
          <w:sz w:val="20"/>
          <w:lang w:val="en-US" w:eastAsia="en-US" w:bidi="ar-SA"/>
        </w:rPr>
        <w:t xml:space="preserve">Limitation of actions — Actions in 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Personal injury — Persons under disability and exemptions and exclusions.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4" w:name="Case Summary_47"/>
            <w:bookmarkEnd w:id="3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wife for a determination as to whether section 6 of the Limitation Act permitted her action for damages for personal injuries. The wife was injured in November 14, 1999, when she fell from the back of a truck that she and her defendant husband were using to move into their new home. The husband was in control of the truck at the time and let it roll forward while the wife was standing in the back moving some of their belongings. The wife suffered a broken calcaneus and was off work for two months. The parties had recently reconciled at the time of the wife's fall. She was completely dependent on the husband for the first month after the injury occurred. In the course of receiving advice regarding her matrimonial situation after the parties separated in 2001, the wife was advised that she had a cause of action against the husband for the injury she suffered. The wife submitted that she did not realize before then that she had a cause of action. She gave instructions to commence the injury action November 19, 2001. The action was commenced November 26, 2001.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5" w:name="Holdings of Court_40"/>
            <w:bookmarkEnd w:id="32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wife's claim was statute-barred. The wife knew the identity of the defendant. She knew at the time she fell from the truck that she had been injured as a result of the fall, that she fell when the truck moved forward unexpectedly and that the fall might well have been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person who was in control of the truck at the time it moved forward. A reasonable person, knowing those facts and having received appropriate advice, would regard the facts as showing that an action would have a reasonable prospect of success. The personal circumstances of the wife at the time and after the time of her fall, while difficult and perhaps intimidating, were not compelling in relation to a decision not to proceed as an otherwise reasonable person would.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6" w:name="Legislation Cited_34"/>
      <w:bookmarkEnd w:id="3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9"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Act,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Limitation Act, R.S.B.C. 1996, c. 266, s. 6, 6(3), 6(4)(b), 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7" w:name="Counsel_48"/>
      <w:bookmarkEnd w:id="3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0"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R.K. Hornquist, for the plaintiff. D.A. Nuyts,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8" w:name="Judgment_48"/>
      <w:bookmarkEnd w:id="328"/>
      <w:r>
        <w:pict>
          <v:line id="_x0000_s1271" style="position:absolute;z-index:2518620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9" w:name="QUIJANO J."/>
            <w:bookmarkEnd w:id="329"/>
            <w:r>
              <w:rPr>
                <w:rFonts w:ascii="arial" w:eastAsia="arial" w:hAnsi="arial" w:cs="arial"/>
                <w:b/>
                <w:color w:val="000000"/>
                <w:sz w:val="30"/>
                <w:lang w:val="en-US" w:eastAsia="en-US" w:bidi="ar-SA"/>
              </w:rPr>
              <w:t>QUIJANO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a determination as to whether the provisions of s. 6 of the Limitation Act,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is available to her so that her claim for damages for personal injury is not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purposes of this application the background facts are that the plaintiff was injured on November 14, 1999 when she fell from the back of a truck that she and her husband, the defendant, were using to move into their new home. It appears that the defendant was in control of the truck at the time and that he let it roll forward while the plaintiff was standing in the back of the truck moving some of their belongings. The plaintiff had no warning that the truck might be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suffered a broken calcaneus and was off work until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event the parties had recently committed to reconcile and were moving into their new home. Their relationship was fragile.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she convalesced the plaintiff was completely dependent on the defendant for her day-to-day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did not notify ICBC of the incident because she had no idea that they would be in any way involved. She says that she had no idea that she might have a cause of action against her husband for the injury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she was off work she continued to receive her salary from her employment. She returned to work in January of 2000 but was unable to meet the requirements of her job due, she says, to the injuries she suffered when she fell from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July 2001 the parties separated and the plaintiff sought the advice of counsel in relation to the separation. In the course of obtaining advice in relation to her matrimonial situation she was also advised by her counsel that she had a cause of action against her husband for the injury suffered by her as a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gave her counsel instructions to commence this action on November 19, 2001 at the same time she gave him instructions to seek a restraining order against the defendant in the matrimonial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action was commenced November 26, 2001, some 12 days after the apparent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brings this application seeking a determination that her claim is not statute barred. In particular she says that her claim falls within the provisions of ss. 6(3)-(5) of the Limitation Act, </w:t>
      </w:r>
      <w:hyperlink r:id="rId1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 set by this Act for an action</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burden of proving that time has begun to run so as to bar an action rests on the trustee.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claims through a predecessor in right, title or interest, the knowledge or means of knowledge of the predecessor before the right, title or interest passed is that of the first mentioned person,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of a deceased person, the court may have regard to the conduct and statements of the deceased person.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was referred to a number of recent authorities dealing with the way in which the court is to approach a determination of the applicability of s. 6 of the Limitation Act to the circumstances of a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common ground that the authorities have recognized that the test to be applied is fourfold and that the plaintiff need only show that one of the four components of the test is not present in order to succeed in establishing that the limitation period ought to be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Tysoe, J. of this court, in Ounjian v. St. Paul's Hospital et al, </w:t>
      </w:r>
      <w:hyperlink r:id="rId1232" w:history="1">
        <w:r>
          <w:rPr>
            <w:rFonts w:ascii="arial" w:eastAsia="arial" w:hAnsi="arial" w:cs="arial"/>
            <w:i/>
            <w:color w:val="0077CC"/>
            <w:sz w:val="20"/>
            <w:u w:val="single"/>
            <w:shd w:val="clear" w:color="auto" w:fill="FFFFFF"/>
            <w:lang w:val="en-US" w:eastAsia="en-US" w:bidi="ar-SA"/>
          </w:rPr>
          <w:t>[2002] B.C.J. No. 99</w:t>
        </w:r>
      </w:hyperlink>
      <w:r>
        <w:rPr>
          <w:rFonts w:ascii="arial" w:eastAsia="arial" w:hAnsi="arial" w:cs="arial"/>
          <w:color w:val="000000"/>
          <w:sz w:val="20"/>
          <w:lang w:val="en-US" w:eastAsia="en-US" w:bidi="ar-SA"/>
        </w:rPr>
        <w:t xml:space="preserve">, Vancouver Registry No. C982469, January 11, 2002 (B.C.S.C.), dealing with a similar application in the context of a medical malpractice suit, adopted the three components of the test set out in Vance v. Peglar, </w:t>
      </w:r>
      <w:hyperlink r:id="rId1233" w:history="1">
        <w:r>
          <w:rPr>
            <w:rFonts w:ascii="arial" w:eastAsia="arial" w:hAnsi="arial" w:cs="arial"/>
            <w:i/>
            <w:color w:val="0077CC"/>
            <w:sz w:val="20"/>
            <w:u w:val="single"/>
            <w:shd w:val="clear" w:color="auto" w:fill="FFFFFF"/>
            <w:lang w:val="en-US" w:eastAsia="en-US" w:bidi="ar-SA"/>
          </w:rPr>
          <w:t>[1996] 22 B.C.L.R. (3d) 251</w:t>
        </w:r>
      </w:hyperlink>
      <w:r>
        <w:rPr>
          <w:rFonts w:ascii="arial" w:eastAsia="arial" w:hAnsi="arial" w:cs="arial"/>
          <w:color w:val="000000"/>
          <w:sz w:val="20"/>
          <w:lang w:val="en-US" w:eastAsia="en-US" w:bidi="ar-SA"/>
        </w:rPr>
        <w:t xml:space="preserve"> (B.C.C.A.) by Lambert J.A. and found that there was a fourth component as well. He articulated all four components at para. 21 of his reasons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Vance v. Peglar, Lambert J.A. usefully broke the text of s. 6(4) down into three components; there is a fourth component which was not relevant in Vance v. Peglar. The four components can be paraphrased within the context of the present circumstances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clear that all four of these components have to be satisfied before the limitation period begins to run. Put another way, the plaintiff must demonstrate that at least one of the four components was not satisfied prior to two years before the date on which the action was commenced. In this case that earlier date would be November 25,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present case there is no issue with respect to the first and third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for the second and fourth components, the plaintiff says that she had no idea that the circumstances of the fall might have given her a cause of action against anyone. She says that it did not occur to her that, for example, her husband might have owed a duty of care to her such that she might be entitled to recover damages from him. In any event, she says that because of the fragile nature of the marriage she did not want to sue her husband. She also says that from the time of the fall, November 14, 1999, until sometime shortly before she returned to work she was totally incapacitated by her injury and dependent on her husband and her children to look after all of her day-to-day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says that up to the end of March 2000 she had not considered whether she had a cause of action as a result of the fall on November 14, 1999. She did not think, given the nature of the incident, that it concerned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unclear whether the plaintiff did not consider she had a cause of action because it was her husband who was operating the truck at the time she fell or whether she would have been of the same view had some other person been in control of the vehicle at the time. Either way, the question is, in relation to the second component: is her belief or understanding relevant to a determination as to whether she had the relevant facts within her means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Levitt v. Carr </w:t>
      </w:r>
      <w:hyperlink r:id="rId1234"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at p. 69, the Court of Appeal said that the facts falling within the plaintiff's means of knowledge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firstly those actually known, and secondly, those which would become known if he [the plaintiff] took such steps as would have been reasonable for him [or her] to take in his [or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think it clear that those who drafted the British Columbia statute rejected simple ignorance of the existence of a cause of action as sufficient to postpone the running of time. The solution adopted by the Law Reform Commission and by the legislature was to introduce another level of abstraction: notional advice by notional advisors. This advice is given the conceptual status of facts and, when added to those within the plaintiff's means of knowledge, forms the body of information upon which the reasonable man decides whether an action on the cause of action would have a reasonable prospect of success and whether the plaintiff ought to be able to bring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Karsanji Estate v. Roque, </w:t>
      </w:r>
      <w:hyperlink r:id="rId1235" w:history="1">
        <w:r>
          <w:rPr>
            <w:rFonts w:ascii="arial" w:eastAsia="arial" w:hAnsi="arial" w:cs="arial"/>
            <w:i/>
            <w:color w:val="0077CC"/>
            <w:sz w:val="20"/>
            <w:u w:val="single"/>
            <w:shd w:val="clear" w:color="auto" w:fill="FFFFFF"/>
            <w:lang w:val="en-US" w:eastAsia="en-US" w:bidi="ar-SA"/>
          </w:rPr>
          <w:t>[1990] 3 W.W.R. 612</w:t>
        </w:r>
      </w:hyperlink>
      <w:r>
        <w:rPr>
          <w:rFonts w:ascii="arial" w:eastAsia="arial" w:hAnsi="arial" w:cs="arial"/>
          <w:color w:val="000000"/>
          <w:sz w:val="20"/>
          <w:lang w:val="en-US" w:eastAsia="en-US" w:bidi="ar-SA"/>
        </w:rPr>
        <w:t xml:space="preserve"> (B.C.C.A.) Taylor, J.A. said at pp. 641-642: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hold that time does not start to run in such circumstances until the prospective plaintiff happens to receive expert advice confirming that the relevant breach of duty is a possible explanation for the problem - let alone a probable or likely explanation - would in my view unreasonably expose prospective defendants to "stale"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this case the plaintiff knew at the time she fell from the truck that she had been injured as a result of the fall, that she fell when the truck moved forward unexpectedly and that the fall may well have been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person who was in control of the truck at the time it moved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Thus I find the second component was satisfied before November 25,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component is not an issue. It is conceded that a reasonable person, knowing those facts and having taken appropriate advice, would regard the facts as showing that an action would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What remains to be determined is whether the fourth component was satisfied before November 25, 1999. That is, whether a reasonable person would regard the facts as showing that the plaintiff ought, in her own interests and taking her circumstances into account, to have been able to bring an action before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component was considered by the Supreme Court of Canada in Novak v. Bond </w:t>
      </w:r>
      <w:hyperlink r:id="rId1236" w:history="1">
        <w:r>
          <w:rPr>
            <w:rFonts w:ascii="arial" w:eastAsia="arial" w:hAnsi="arial" w:cs="arial"/>
            <w:i/>
            <w:color w:val="0077CC"/>
            <w:sz w:val="20"/>
            <w:u w:val="single"/>
            <w:shd w:val="clear" w:color="auto" w:fill="FFFFFF"/>
            <w:lang w:val="en-US" w:eastAsia="en-US" w:bidi="ar-SA"/>
          </w:rPr>
          <w:t>(1999), 63 B.C.L.R. (3d) 41</w:t>
        </w:r>
      </w:hyperlink>
      <w:r>
        <w:rPr>
          <w:rFonts w:ascii="arial" w:eastAsia="arial" w:hAnsi="arial" w:cs="arial"/>
          <w:color w:val="000000"/>
          <w:sz w:val="20"/>
          <w:lang w:val="en-US" w:eastAsia="en-US" w:bidi="ar-SA"/>
        </w:rPr>
        <w:t>. At p. 57 McLachlin, C.J. summarizes the proper interpretation of s. 6(4)(b) of the 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could, acting reasonably in light of his or her own particular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approach recognizes the special problems injured persons may encounter and the intense stresses and strains involved in litigation. It recognizes that in some cases, the plaintiff's own circumstances and interests may be so compelling that it cannot be reasonably said that he or she could bring an action within the prescribed limitation period. ...[People] should not be compelled to sue when to do so runs counter to a vital interest, such as the need to maintain their health in the face of a life-threatening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argues that, firstly, her circumstances were such that the court should conclude she could not have commenced the action within the two year limitation period or, alternatively, that the test is tempered by the language of Williamson, J. in Rivet v. Insurance Corporation of British Columbia, </w:t>
      </w:r>
      <w:hyperlink r:id="rId1237" w:history="1">
        <w:r>
          <w:rPr>
            <w:rFonts w:ascii="arial" w:eastAsia="arial" w:hAnsi="arial" w:cs="arial"/>
            <w:i/>
            <w:color w:val="0077CC"/>
            <w:sz w:val="20"/>
            <w:u w:val="single"/>
            <w:shd w:val="clear" w:color="auto" w:fill="FFFFFF"/>
            <w:lang w:val="en-US" w:eastAsia="en-US" w:bidi="ar-SA"/>
          </w:rPr>
          <w:t>[2001] B.C.J. No. 2470</w:t>
        </w:r>
      </w:hyperlink>
      <w:r>
        <w:rPr>
          <w:rFonts w:ascii="arial" w:eastAsia="arial" w:hAnsi="arial" w:cs="arial"/>
          <w:color w:val="000000"/>
          <w:sz w:val="20"/>
          <w:lang w:val="en-US" w:eastAsia="en-US" w:bidi="ar-SA"/>
        </w:rPr>
        <w:t>, Vancouver Registry No.: B991250, November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the plaintiff says she was in a situation where, considering the particular circumstances of the fragile and strained relationship with her husband and her dependence on him for the first month or so after the injury, she could not bring an action. Therefore, she says, it was not until after she was no longer dependent on her husband for her day-to-day care that the fourth component was satisfied. The fourth component had not been satisfied, she argues, at November 25, 1999, and therefore the limitation period had not expired when the writ was issued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argues that the court is obliged to follow the language in Novak and require the circumstances and interests affecting the plaintiff's ability to commence an action to be compelling in order to support a finding that the fourth component was not present until sometime within two years prior to the commencement of the action. In the present case, it is argued, the circumstances of the plaintiff are not compelling and therefore do not support a finding that she could not have commenced the action within the two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do not see that the language in Rivet can affect the very limited scope of the test set out in Novak. In Rivet the plaintiff was misled by an ICBC adjuster and as a consequence the second component of the test under s. 6 was the issue, not the fourth component. Furthermore, to apply the general provision of the Interpretation Act,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[that an enactment be given a fair wide and liberal interpretation so as to best ensure the attainment of its objects] is not necessary where, as here, the Supreme Court of Canada has thoroughly dealt with the interpretation of and test to be applied to this particular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Considering the language employed by McLachlin, C.J. in Novak, I have concluded that the personal circumstances of the plaintiff at and after the time of her fall, while difficult and perhaps intimidating, are not such as to satisfy the test in Novak, that they be compelling in relation to a decision not to proceed as an otherwise reasonable person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all of the components were present from the time of the fall and that, therefore, the claim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QUIJANO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2" style="position:absolute;z-index:2518988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Mardones v. Toyota Credit Canada Inc., [2008] B.C.J. No. 1217</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Minhas v. Sartor, [2014] B.C.J. No. 69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Myatt v. Holicza, [2000] B.C.J. No. 1610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Niloufari v. Movahedi, [2014] B.C.J. No. 699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Olsen v. Barrett, [2002] B.C.J. No. 1282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Pausch v. Vancouver Coastal Health Authority (c.o.b. UBC Hospital), [2014] B.C.J. No. 3316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 v. Fowler, [2007] B.C.J. No. 2490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Roeder v. Chamberlain, [2008] B.C.J. No. 893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 v. Canada (Attorney General), [2013] B.C.J. No. 1782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 Jose Mines Ltd. v. Coutu Estate, [2006] B.C.J. No. 90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Sepasi v. Smotrov, [2013] B.C.J. No. 792</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Sivasubramaniam v. Franz, [2008] B.C.J. No. 1533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Staar v. Blackmore, [2000] B.C.J. No. 1329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VIS 3540 v. Oak Meadows Estates Ltd., [2007] B.C.J. No. 1153</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Teigland v. Killarney Gardens Housing Co-operative, [2001] B.C.J. No. 1141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T.W.N.A. v. Clarke, [2001] B.C.J. No. 1621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Olson v. Farran, [2017] I.L.R. para. M-2956</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Conseil scolaire francophone de la Colombie-Britannique v. British Columbia, [2016] B.C.J. No. 2007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Dent v. Young, [2013] B.C.J. No. 1930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Dhillon v. Ashton, [2009] B.C.J. No. 1630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Facilities Subsector Bargaining Assn. v. British Columbia Nurses' Union, [2009] B.C.J. No. 2267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Foreman v. Moritz, [2001] B.C.J. No. 167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Fuchser v. Wilson, [2012] B.C.J. No. 224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J.F.C. v. Ladolcetta, [2009] B.C.J. No. 1694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Estate v. G.Y. Lee &amp; Associates Ltd., [2013] B.C.J. No. 2674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Mather v. MacDonald, [2016] B.C.J. No. 1082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Purewal v. Li, [2016] B.C.J. No. 2045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Tayler v. Loney, [2009] B.C.J. No. 1113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Tracy (Representative ad litem of) v. Instaloans Financial Solution Centres (B.C.) Ltd., [2008] B.C.J. No. 971</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Vagramov v. Zipursky, [2010] B.C.J. No. 552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Visona v. Stewart, [2013] B.C.J. No. 2420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Wilson v. Switlo, [2011] B.C.J. No. 1800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 v. Ho, [2005] B.C.J. No. 226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Cammack &amp; Co. Notaries Public v. Kavanagh, [2006] B.C.J. No. 1964</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Chambers v. Lyons, [2000] B.C.J. No. 1288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Foresters Life Insurance Co. v. Bingham Group Services Corp., [2019] B.C.J. No. 622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Gadsby v. British Columbia (Attorney General), [2019] B.C.J. No. 1780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Hildebrand v. Fox, [2008] B.C.J. No. 1222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Kelly v. Lowe, [2007] B.C.J. No. 886</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Parrett v. Central Saanich (District) Police Department, [2001] B.C.J. No. 106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Santiago v. James, [2008] B.C.J. No. 2368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V.C.P. Homes Inc. v. Fast, [2002] B.C.J. No. 642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Adams v. British Columbia, [2013] B.C.J. No. 627</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Aulakh v. Nahal, [2017] B.C.J. No. 1159</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Bagnell v. Taser International, Inc., [2006] B.C.J. No. 3235</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Baiden v. Vancouver (City) Police Department, [2003] B.C.J. No. 2032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Barkman v. Roy, [2005] B.C.J. No. 1326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Beazley v. Suzuki Motor Corp., [2008] B.C.J. No. 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Benoit v. Banfield, 2012 BREG para. 50,650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Bewsey v. Bewsey, [2003] B.C.J. No. 2138</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26)"/>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27)"/>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28)"/>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29)"/>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3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3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32)"/>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33)"/>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34)"/>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35)"/>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36)"/>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37)"/>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38)"/>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39)"/>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4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4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B)"/>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C)"/>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D)"/>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E)"/>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6"/>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G)"/>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H)"/>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J)"/>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K)"/>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K)"/>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2)"/>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3)"/>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4)"/>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5)"/>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6)"/>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7)"/>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9)"/>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1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1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f)"/>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g)"/>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h)"/>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j)"/>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k)"/>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m)"/>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n)"/>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o)"/>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p)"/>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q)"/>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4"/>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4"/>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d.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f)"/>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g)"/>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g.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h)"/>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j)"/>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j.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j.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k)"/>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k.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m)"/>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n)"/>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o)"/>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p)"/>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q)"/>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r)"/>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s)"/>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s.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s.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t)"/>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5"/>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f)"/>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g)"/>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h)"/>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4"/>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decimal"/>
      <w:lvlText w:val="&quot;10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decimal"/>
      <w:lvlText w:val="&quot;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quot;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quot;7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decimal"/>
      <w:lvlText w:val="&quot;7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quot;3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quot;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11FBBD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60774B9"/>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85FAEC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A6EAB7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F89107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107CA56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12F5E66F"/>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16EF074E"/>
    <w:multiLevelType w:val="multilevel"/>
    <w:tmpl w:val="00000001"/>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177AC65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19C6E841"/>
    <w:multiLevelType w:val="multilevel"/>
    <w:tmpl w:val="00000001"/>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1A70A69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1B74AB34"/>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1C68AE6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1EE2495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216D4180"/>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23FA184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24B0F6C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31E31C0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3228FCD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327D069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32DC68CE"/>
    <w:multiLevelType w:val="multilevel"/>
    <w:tmpl w:val="00000001"/>
    <w:lvl w:ilvl="0">
      <w:start w:val="1"/>
      <w:numFmt w:val="decimal"/>
      <w:lvlText w:val="2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380FFB7D"/>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3890D80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38B9455A"/>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3B99AF3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3DB818B5"/>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3DE9DF9B"/>
    <w:multiLevelType w:val="multilevel"/>
    <w:tmpl w:val="00000001"/>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49803E4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49D13518"/>
    <w:multiLevelType w:val="multilevel"/>
    <w:tmpl w:val="00000001"/>
    <w:lvl w:ilvl="0">
      <w:start w:val="1"/>
      <w:numFmt w:val="decimal"/>
      <w:lvlText w:val="s. 6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513997F5"/>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530011D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5824C40F"/>
    <w:multiLevelType w:val="multilevel"/>
    <w:tmpl w:val="00000001"/>
    <w:lvl w:ilvl="0">
      <w:start w:val="1"/>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5C16CAC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5CC3B2E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5EBA145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5ECC32F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69D12AF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6DC6D6AD"/>
    <w:multiLevelType w:val="multilevel"/>
    <w:tmpl w:val="00000001"/>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70F20DB"/>
    <w:multiLevelType w:val="multilevel"/>
    <w:tmpl w:val="00000001"/>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A456C8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7EF8CC12"/>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7F9201B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215"/>
  </w:num>
  <w:num w:numId="7">
    <w:abstractNumId w:val="222"/>
  </w:num>
  <w:num w:numId="8">
    <w:abstractNumId w:val="5"/>
  </w:num>
  <w:num w:numId="9">
    <w:abstractNumId w:val="6"/>
  </w:num>
  <w:num w:numId="10">
    <w:abstractNumId w:val="7"/>
  </w:num>
  <w:num w:numId="11">
    <w:abstractNumId w:val="229"/>
  </w:num>
  <w:num w:numId="12">
    <w:abstractNumId w:val="203"/>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20"/>
  </w:num>
  <w:num w:numId="26">
    <w:abstractNumId w:val="21"/>
  </w:num>
  <w:num w:numId="27">
    <w:abstractNumId w:val="22"/>
  </w:num>
  <w:num w:numId="28">
    <w:abstractNumId w:val="23"/>
  </w:num>
  <w:num w:numId="29">
    <w:abstractNumId w:val="24"/>
  </w:num>
  <w:num w:numId="30">
    <w:abstractNumId w:val="25"/>
  </w:num>
  <w:num w:numId="31">
    <w:abstractNumId w:val="26"/>
  </w:num>
  <w:num w:numId="32">
    <w:abstractNumId w:val="27"/>
  </w:num>
  <w:num w:numId="33">
    <w:abstractNumId w:val="28"/>
  </w:num>
  <w:num w:numId="34">
    <w:abstractNumId w:val="29"/>
  </w:num>
  <w:num w:numId="35">
    <w:abstractNumId w:val="30"/>
  </w:num>
  <w:num w:numId="36">
    <w:abstractNumId w:val="190"/>
  </w:num>
  <w:num w:numId="37">
    <w:abstractNumId w:val="225"/>
  </w:num>
  <w:num w:numId="38">
    <w:abstractNumId w:val="31"/>
  </w:num>
  <w:num w:numId="39">
    <w:abstractNumId w:val="32"/>
  </w:num>
  <w:num w:numId="40">
    <w:abstractNumId w:val="193"/>
  </w:num>
  <w:num w:numId="41">
    <w:abstractNumId w:val="33"/>
  </w:num>
  <w:num w:numId="42">
    <w:abstractNumId w:val="34"/>
  </w:num>
  <w:num w:numId="43">
    <w:abstractNumId w:val="35"/>
  </w:num>
  <w:num w:numId="44">
    <w:abstractNumId w:val="36"/>
  </w:num>
  <w:num w:numId="45">
    <w:abstractNumId w:val="37"/>
  </w:num>
  <w:num w:numId="46">
    <w:abstractNumId w:val="38"/>
  </w:num>
  <w:num w:numId="47">
    <w:abstractNumId w:val="39"/>
  </w:num>
  <w:num w:numId="48">
    <w:abstractNumId w:val="40"/>
  </w:num>
  <w:num w:numId="49">
    <w:abstractNumId w:val="41"/>
  </w:num>
  <w:num w:numId="50">
    <w:abstractNumId w:val="42"/>
  </w:num>
  <w:num w:numId="51">
    <w:abstractNumId w:val="43"/>
  </w:num>
  <w:num w:numId="52">
    <w:abstractNumId w:val="44"/>
  </w:num>
  <w:num w:numId="53">
    <w:abstractNumId w:val="45"/>
  </w:num>
  <w:num w:numId="54">
    <w:abstractNumId w:val="46"/>
  </w:num>
  <w:num w:numId="55">
    <w:abstractNumId w:val="47"/>
  </w:num>
  <w:num w:numId="56">
    <w:abstractNumId w:val="48"/>
  </w:num>
  <w:num w:numId="57">
    <w:abstractNumId w:val="49"/>
  </w:num>
  <w:num w:numId="58">
    <w:abstractNumId w:val="50"/>
  </w:num>
  <w:num w:numId="59">
    <w:abstractNumId w:val="51"/>
  </w:num>
  <w:num w:numId="60">
    <w:abstractNumId w:val="52"/>
  </w:num>
  <w:num w:numId="61">
    <w:abstractNumId w:val="53"/>
  </w:num>
  <w:num w:numId="62">
    <w:abstractNumId w:val="54"/>
  </w:num>
  <w:num w:numId="63">
    <w:abstractNumId w:val="55"/>
  </w:num>
  <w:num w:numId="64">
    <w:abstractNumId w:val="56"/>
  </w:num>
  <w:num w:numId="65">
    <w:abstractNumId w:val="57"/>
  </w:num>
  <w:num w:numId="66">
    <w:abstractNumId w:val="58"/>
  </w:num>
  <w:num w:numId="67">
    <w:abstractNumId w:val="59"/>
  </w:num>
  <w:num w:numId="68">
    <w:abstractNumId w:val="60"/>
  </w:num>
  <w:num w:numId="69">
    <w:abstractNumId w:val="61"/>
  </w:num>
  <w:num w:numId="70">
    <w:abstractNumId w:val="62"/>
  </w:num>
  <w:num w:numId="71">
    <w:abstractNumId w:val="63"/>
  </w:num>
  <w:num w:numId="72">
    <w:abstractNumId w:val="64"/>
  </w:num>
  <w:num w:numId="73">
    <w:abstractNumId w:val="65"/>
  </w:num>
  <w:num w:numId="74">
    <w:abstractNumId w:val="66"/>
  </w:num>
  <w:num w:numId="75">
    <w:abstractNumId w:val="67"/>
  </w:num>
  <w:num w:numId="76">
    <w:abstractNumId w:val="68"/>
  </w:num>
  <w:num w:numId="77">
    <w:abstractNumId w:val="69"/>
  </w:num>
  <w:num w:numId="78">
    <w:abstractNumId w:val="70"/>
  </w:num>
  <w:num w:numId="79">
    <w:abstractNumId w:val="71"/>
  </w:num>
  <w:num w:numId="80">
    <w:abstractNumId w:val="192"/>
  </w:num>
  <w:num w:numId="81">
    <w:abstractNumId w:val="194"/>
  </w:num>
  <w:num w:numId="82">
    <w:abstractNumId w:val="209"/>
  </w:num>
  <w:num w:numId="83">
    <w:abstractNumId w:val="227"/>
  </w:num>
  <w:num w:numId="84">
    <w:abstractNumId w:val="223"/>
  </w:num>
  <w:num w:numId="85">
    <w:abstractNumId w:val="224"/>
  </w:num>
  <w:num w:numId="86">
    <w:abstractNumId w:val="212"/>
  </w:num>
  <w:num w:numId="87">
    <w:abstractNumId w:val="72"/>
  </w:num>
  <w:num w:numId="88">
    <w:abstractNumId w:val="73"/>
  </w:num>
  <w:num w:numId="89">
    <w:abstractNumId w:val="74"/>
  </w:num>
  <w:num w:numId="90">
    <w:abstractNumId w:val="75"/>
  </w:num>
  <w:num w:numId="91">
    <w:abstractNumId w:val="76"/>
  </w:num>
  <w:num w:numId="92">
    <w:abstractNumId w:val="77"/>
  </w:num>
  <w:num w:numId="93">
    <w:abstractNumId w:val="78"/>
  </w:num>
  <w:num w:numId="94">
    <w:abstractNumId w:val="79"/>
  </w:num>
  <w:num w:numId="95">
    <w:abstractNumId w:val="80"/>
  </w:num>
  <w:num w:numId="96">
    <w:abstractNumId w:val="81"/>
  </w:num>
  <w:num w:numId="97">
    <w:abstractNumId w:val="82"/>
  </w:num>
  <w:num w:numId="98">
    <w:abstractNumId w:val="83"/>
  </w:num>
  <w:num w:numId="99">
    <w:abstractNumId w:val="84"/>
  </w:num>
  <w:num w:numId="100">
    <w:abstractNumId w:val="85"/>
  </w:num>
  <w:num w:numId="101">
    <w:abstractNumId w:val="86"/>
  </w:num>
  <w:num w:numId="102">
    <w:abstractNumId w:val="87"/>
  </w:num>
  <w:num w:numId="103">
    <w:abstractNumId w:val="88"/>
  </w:num>
  <w:num w:numId="104">
    <w:abstractNumId w:val="89"/>
  </w:num>
  <w:num w:numId="105">
    <w:abstractNumId w:val="90"/>
  </w:num>
  <w:num w:numId="106">
    <w:abstractNumId w:val="91"/>
  </w:num>
  <w:num w:numId="107">
    <w:abstractNumId w:val="92"/>
  </w:num>
  <w:num w:numId="108">
    <w:abstractNumId w:val="93"/>
  </w:num>
  <w:num w:numId="109">
    <w:abstractNumId w:val="94"/>
  </w:num>
  <w:num w:numId="110">
    <w:abstractNumId w:val="95"/>
  </w:num>
  <w:num w:numId="111">
    <w:abstractNumId w:val="96"/>
  </w:num>
  <w:num w:numId="112">
    <w:abstractNumId w:val="97"/>
  </w:num>
  <w:num w:numId="113">
    <w:abstractNumId w:val="98"/>
  </w:num>
  <w:num w:numId="114">
    <w:abstractNumId w:val="99"/>
  </w:num>
  <w:num w:numId="115">
    <w:abstractNumId w:val="100"/>
  </w:num>
  <w:num w:numId="116">
    <w:abstractNumId w:val="101"/>
  </w:num>
  <w:num w:numId="117">
    <w:abstractNumId w:val="102"/>
  </w:num>
  <w:num w:numId="118">
    <w:abstractNumId w:val="103"/>
  </w:num>
  <w:num w:numId="119">
    <w:abstractNumId w:val="104"/>
  </w:num>
  <w:num w:numId="120">
    <w:abstractNumId w:val="105"/>
  </w:num>
  <w:num w:numId="121">
    <w:abstractNumId w:val="106"/>
  </w:num>
  <w:num w:numId="122">
    <w:abstractNumId w:val="107"/>
  </w:num>
  <w:num w:numId="123">
    <w:abstractNumId w:val="108"/>
  </w:num>
  <w:num w:numId="124">
    <w:abstractNumId w:val="109"/>
  </w:num>
  <w:num w:numId="125">
    <w:abstractNumId w:val="110"/>
  </w:num>
  <w:num w:numId="126">
    <w:abstractNumId w:val="111"/>
  </w:num>
  <w:num w:numId="127">
    <w:abstractNumId w:val="112"/>
  </w:num>
  <w:num w:numId="128">
    <w:abstractNumId w:val="113"/>
  </w:num>
  <w:num w:numId="129">
    <w:abstractNumId w:val="114"/>
  </w:num>
  <w:num w:numId="130">
    <w:abstractNumId w:val="115"/>
  </w:num>
  <w:num w:numId="131">
    <w:abstractNumId w:val="116"/>
  </w:num>
  <w:num w:numId="132">
    <w:abstractNumId w:val="117"/>
  </w:num>
  <w:num w:numId="133">
    <w:abstractNumId w:val="118"/>
  </w:num>
  <w:num w:numId="134">
    <w:abstractNumId w:val="119"/>
  </w:num>
  <w:num w:numId="135">
    <w:abstractNumId w:val="120"/>
  </w:num>
  <w:num w:numId="136">
    <w:abstractNumId w:val="121"/>
  </w:num>
  <w:num w:numId="137">
    <w:abstractNumId w:val="122"/>
  </w:num>
  <w:num w:numId="138">
    <w:abstractNumId w:val="123"/>
  </w:num>
  <w:num w:numId="139">
    <w:abstractNumId w:val="124"/>
  </w:num>
  <w:num w:numId="140">
    <w:abstractNumId w:val="125"/>
  </w:num>
  <w:num w:numId="141">
    <w:abstractNumId w:val="126"/>
  </w:num>
  <w:num w:numId="142">
    <w:abstractNumId w:val="127"/>
  </w:num>
  <w:num w:numId="143">
    <w:abstractNumId w:val="128"/>
  </w:num>
  <w:num w:numId="144">
    <w:abstractNumId w:val="129"/>
  </w:num>
  <w:num w:numId="145">
    <w:abstractNumId w:val="130"/>
  </w:num>
  <w:num w:numId="146">
    <w:abstractNumId w:val="131"/>
  </w:num>
  <w:num w:numId="147">
    <w:abstractNumId w:val="132"/>
  </w:num>
  <w:num w:numId="148">
    <w:abstractNumId w:val="133"/>
  </w:num>
  <w:num w:numId="149">
    <w:abstractNumId w:val="134"/>
  </w:num>
  <w:num w:numId="150">
    <w:abstractNumId w:val="135"/>
  </w:num>
  <w:num w:numId="151">
    <w:abstractNumId w:val="136"/>
  </w:num>
  <w:num w:numId="152">
    <w:abstractNumId w:val="137"/>
  </w:num>
  <w:num w:numId="153">
    <w:abstractNumId w:val="138"/>
  </w:num>
  <w:num w:numId="154">
    <w:abstractNumId w:val="139"/>
  </w:num>
  <w:num w:numId="155">
    <w:abstractNumId w:val="140"/>
  </w:num>
  <w:num w:numId="156">
    <w:abstractNumId w:val="141"/>
  </w:num>
  <w:num w:numId="157">
    <w:abstractNumId w:val="142"/>
  </w:num>
  <w:num w:numId="158">
    <w:abstractNumId w:val="143"/>
  </w:num>
  <w:num w:numId="159">
    <w:abstractNumId w:val="144"/>
  </w:num>
  <w:num w:numId="160">
    <w:abstractNumId w:val="145"/>
  </w:num>
  <w:num w:numId="161">
    <w:abstractNumId w:val="146"/>
  </w:num>
  <w:num w:numId="162">
    <w:abstractNumId w:val="147"/>
  </w:num>
  <w:num w:numId="163">
    <w:abstractNumId w:val="148"/>
  </w:num>
  <w:num w:numId="164">
    <w:abstractNumId w:val="149"/>
  </w:num>
  <w:num w:numId="165">
    <w:abstractNumId w:val="150"/>
  </w:num>
  <w:num w:numId="166">
    <w:abstractNumId w:val="151"/>
  </w:num>
  <w:num w:numId="167">
    <w:abstractNumId w:val="152"/>
  </w:num>
  <w:num w:numId="168">
    <w:abstractNumId w:val="153"/>
  </w:num>
  <w:num w:numId="169">
    <w:abstractNumId w:val="154"/>
  </w:num>
  <w:num w:numId="170">
    <w:abstractNumId w:val="155"/>
  </w:num>
  <w:num w:numId="171">
    <w:abstractNumId w:val="156"/>
  </w:num>
  <w:num w:numId="172">
    <w:abstractNumId w:val="157"/>
  </w:num>
  <w:num w:numId="173">
    <w:abstractNumId w:val="158"/>
  </w:num>
  <w:num w:numId="174">
    <w:abstractNumId w:val="159"/>
  </w:num>
  <w:num w:numId="175">
    <w:abstractNumId w:val="160"/>
  </w:num>
  <w:num w:numId="176">
    <w:abstractNumId w:val="161"/>
  </w:num>
  <w:num w:numId="177">
    <w:abstractNumId w:val="162"/>
  </w:num>
  <w:num w:numId="178">
    <w:abstractNumId w:val="163"/>
  </w:num>
  <w:num w:numId="179">
    <w:abstractNumId w:val="197"/>
  </w:num>
  <w:num w:numId="180">
    <w:abstractNumId w:val="202"/>
  </w:num>
  <w:num w:numId="181">
    <w:abstractNumId w:val="216"/>
  </w:num>
  <w:num w:numId="182">
    <w:abstractNumId w:val="211"/>
  </w:num>
  <w:num w:numId="183">
    <w:abstractNumId w:val="208"/>
  </w:num>
  <w:num w:numId="184">
    <w:abstractNumId w:val="228"/>
  </w:num>
  <w:num w:numId="185">
    <w:abstractNumId w:val="214"/>
  </w:num>
  <w:num w:numId="186">
    <w:abstractNumId w:val="196"/>
  </w:num>
  <w:num w:numId="187">
    <w:abstractNumId w:val="210"/>
  </w:num>
  <w:num w:numId="188">
    <w:abstractNumId w:val="201"/>
  </w:num>
  <w:num w:numId="189">
    <w:abstractNumId w:val="200"/>
  </w:num>
  <w:num w:numId="190">
    <w:abstractNumId w:val="221"/>
  </w:num>
  <w:num w:numId="191">
    <w:abstractNumId w:val="164"/>
  </w:num>
  <w:num w:numId="192">
    <w:abstractNumId w:val="165"/>
  </w:num>
  <w:num w:numId="193">
    <w:abstractNumId w:val="166"/>
  </w:num>
  <w:num w:numId="194">
    <w:abstractNumId w:val="167"/>
  </w:num>
  <w:num w:numId="195">
    <w:abstractNumId w:val="168"/>
  </w:num>
  <w:num w:numId="196">
    <w:abstractNumId w:val="169"/>
  </w:num>
  <w:num w:numId="197">
    <w:abstractNumId w:val="170"/>
  </w:num>
  <w:num w:numId="198">
    <w:abstractNumId w:val="171"/>
  </w:num>
  <w:num w:numId="199">
    <w:abstractNumId w:val="172"/>
  </w:num>
  <w:num w:numId="200">
    <w:abstractNumId w:val="173"/>
  </w:num>
  <w:num w:numId="201">
    <w:abstractNumId w:val="174"/>
  </w:num>
  <w:num w:numId="202">
    <w:abstractNumId w:val="175"/>
  </w:num>
  <w:num w:numId="203">
    <w:abstractNumId w:val="176"/>
  </w:num>
  <w:num w:numId="204">
    <w:abstractNumId w:val="177"/>
  </w:num>
  <w:num w:numId="205">
    <w:abstractNumId w:val="178"/>
  </w:num>
  <w:num w:numId="206">
    <w:abstractNumId w:val="179"/>
  </w:num>
  <w:num w:numId="207">
    <w:abstractNumId w:val="180"/>
  </w:num>
  <w:num w:numId="208">
    <w:abstractNumId w:val="181"/>
  </w:num>
  <w:num w:numId="209">
    <w:abstractNumId w:val="182"/>
  </w:num>
  <w:num w:numId="210">
    <w:abstractNumId w:val="183"/>
  </w:num>
  <w:num w:numId="211">
    <w:abstractNumId w:val="184"/>
  </w:num>
  <w:num w:numId="212">
    <w:abstractNumId w:val="185"/>
  </w:num>
  <w:num w:numId="213">
    <w:abstractNumId w:val="186"/>
  </w:num>
  <w:num w:numId="214">
    <w:abstractNumId w:val="187"/>
  </w:num>
  <w:num w:numId="215">
    <w:abstractNumId w:val="188"/>
  </w:num>
  <w:num w:numId="216">
    <w:abstractNumId w:val="230"/>
  </w:num>
  <w:num w:numId="217">
    <w:abstractNumId w:val="219"/>
  </w:num>
  <w:num w:numId="218">
    <w:abstractNumId w:val="195"/>
  </w:num>
  <w:num w:numId="219">
    <w:abstractNumId w:val="189"/>
  </w:num>
  <w:num w:numId="220">
    <w:abstractNumId w:val="204"/>
  </w:num>
  <w:num w:numId="221">
    <w:abstractNumId w:val="205"/>
  </w:num>
  <w:num w:numId="222">
    <w:abstractNumId w:val="220"/>
  </w:num>
  <w:num w:numId="223">
    <w:abstractNumId w:val="213"/>
  </w:num>
  <w:num w:numId="224">
    <w:abstractNumId w:val="207"/>
  </w:num>
  <w:num w:numId="225">
    <w:abstractNumId w:val="206"/>
  </w:num>
  <w:num w:numId="226">
    <w:abstractNumId w:val="199"/>
  </w:num>
  <w:num w:numId="227">
    <w:abstractNumId w:val="218"/>
  </w:num>
  <w:num w:numId="228">
    <w:abstractNumId w:val="191"/>
  </w:num>
  <w:num w:numId="229">
    <w:abstractNumId w:val="226"/>
  </w:num>
  <w:num w:numId="230">
    <w:abstractNumId w:val="198"/>
  </w:num>
  <w:num w:numId="231">
    <w:abstractNumId w:val="2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H1-JFSV-G358-00000-00&amp;context=" TargetMode="External" /><Relationship Id="rId100" Type="http://schemas.openxmlformats.org/officeDocument/2006/relationships/header" Target="header21.xml" /><Relationship Id="rId1000" Type="http://schemas.openxmlformats.org/officeDocument/2006/relationships/footer" Target="footer112.xml" /><Relationship Id="rId1001" Type="http://schemas.openxmlformats.org/officeDocument/2006/relationships/footer" Target="footer113.xml" /><Relationship Id="rId1002" Type="http://schemas.openxmlformats.org/officeDocument/2006/relationships/header" Target="header114.xml" /><Relationship Id="rId1003" Type="http://schemas.openxmlformats.org/officeDocument/2006/relationships/footer" Target="footer114.xml" /><Relationship Id="rId1004" Type="http://schemas.openxmlformats.org/officeDocument/2006/relationships/hyperlink" Target="https://advance.lexis.com/api/document?collection=cases-ca&amp;id=urn:contentItem:5F7T-S7H1-JFSV-G35F-00000-00&amp;context=" TargetMode="External" /><Relationship Id="rId1005" Type="http://schemas.openxmlformats.org/officeDocument/2006/relationships/hyperlink" Target="https://advance.lexis.com/api/document?collection=legislation-ca&amp;id=urn:contentItem:5JKN-R7M1-F5T5-M031-00000-00&amp;context=" TargetMode="External" /><Relationship Id="rId1006" Type="http://schemas.openxmlformats.org/officeDocument/2006/relationships/hyperlink" Target="https://advance.lexis.com/api/document?collection=cases-ca&amp;id=urn:contentItem:5F8T-N3V1-JF75-M3B9-00000-00&amp;context=" TargetMode="External" /><Relationship Id="rId1007" Type="http://schemas.openxmlformats.org/officeDocument/2006/relationships/hyperlink" Target="https://advance.lexis.com/api/document?collection=cases-ca&amp;id=urn:contentItem:5F7T-S731-FFFC-B0FN-00000-00&amp;context=" TargetMode="External" /><Relationship Id="rId1008" Type="http://schemas.openxmlformats.org/officeDocument/2006/relationships/hyperlink" Target="https://advance.lexis.com/api/document?collection=cases-ca&amp;id=urn:contentItem:5F7T-S751-JBM1-M231-00000-00&amp;context=" TargetMode="External" /><Relationship Id="rId1009" Type="http://schemas.openxmlformats.org/officeDocument/2006/relationships/hyperlink" Target="https://advance.lexis.com/api/document?collection=cases-ca&amp;id=urn:contentItem:5F8T-N3R1-JJSF-22TB-00000-00&amp;context=" TargetMode="External" /><Relationship Id="rId101" Type="http://schemas.openxmlformats.org/officeDocument/2006/relationships/footer" Target="footer21.xml" /><Relationship Id="rId1010" Type="http://schemas.openxmlformats.org/officeDocument/2006/relationships/hyperlink" Target="https://advance.lexis.com/api/document?collection=cases-ca&amp;id=urn:contentItem:5F7T-S6R1-JCJ5-23JW-00000-00&amp;context=" TargetMode="External" /><Relationship Id="rId1011" Type="http://schemas.openxmlformats.org/officeDocument/2006/relationships/header" Target="header115.xml" /><Relationship Id="rId1012" Type="http://schemas.openxmlformats.org/officeDocument/2006/relationships/header" Target="header116.xml" /><Relationship Id="rId1013" Type="http://schemas.openxmlformats.org/officeDocument/2006/relationships/footer" Target="footer115.xml" /><Relationship Id="rId1014" Type="http://schemas.openxmlformats.org/officeDocument/2006/relationships/footer" Target="footer116.xml" /><Relationship Id="rId1015" Type="http://schemas.openxmlformats.org/officeDocument/2006/relationships/header" Target="header117.xml" /><Relationship Id="rId1016" Type="http://schemas.openxmlformats.org/officeDocument/2006/relationships/footer" Target="footer117.xml" /><Relationship Id="rId1017" Type="http://schemas.openxmlformats.org/officeDocument/2006/relationships/hyperlink" Target="https://advance.lexis.com/api/document?collection=cases-ca&amp;id=urn:contentItem:5F7T-S7F1-DXWW-24B6-00000-00&amp;context=" TargetMode="External" /><Relationship Id="rId1018" Type="http://schemas.openxmlformats.org/officeDocument/2006/relationships/hyperlink" Target="https://advance.lexis.com/api/document?collection=legislation-ca&amp;id=urn:contentItem:5F41-1FH1-F361-M0FT-00000-00&amp;context=" TargetMode="External" /><Relationship Id="rId1019" Type="http://schemas.openxmlformats.org/officeDocument/2006/relationships/hyperlink" Target="https://advance.lexis.com/api/document?collection=cases-ca&amp;id=urn:contentItem:5F8T-N3R1-FBV7-B04P-00000-00&amp;context=" TargetMode="External" /><Relationship Id="rId102" Type="http://schemas.openxmlformats.org/officeDocument/2006/relationships/hyperlink" Target="https://advance.lexis.com/api/document?collection=cases-ca&amp;id=urn:contentItem:5F7T-S7G1-JPP5-21NY-00000-00&amp;context=" TargetMode="External" /><Relationship Id="rId1020" Type="http://schemas.openxmlformats.org/officeDocument/2006/relationships/hyperlink" Target="https://advance.lexis.com/api/document?collection=cases-ca&amp;id=urn:contentItem:5F7T-S7H1-K054-G24F-00000-00&amp;context=" TargetMode="External" /><Relationship Id="rId1021" Type="http://schemas.openxmlformats.org/officeDocument/2006/relationships/hyperlink" Target="https://advance.lexis.com/api/document?collection=cases-ca&amp;id=urn:contentItem:5F8T-N3R1-JJSF-22TF-00000-00&amp;context=" TargetMode="External" /><Relationship Id="rId1022" Type="http://schemas.openxmlformats.org/officeDocument/2006/relationships/hyperlink" Target="https://advance.lexis.com/api/document?collection=cases-ca&amp;id=urn:contentItem:5F7T-S711-JG02-S1F6-00000-00&amp;context=" TargetMode="External" /><Relationship Id="rId1023" Type="http://schemas.openxmlformats.org/officeDocument/2006/relationships/hyperlink" Target="https://advance.lexis.com/api/document?collection=cases-ca&amp;id=urn:contentItem:5F7T-S6V1-JWR6-S0X5-00000-00&amp;context=" TargetMode="External" /><Relationship Id="rId1024" Type="http://schemas.openxmlformats.org/officeDocument/2006/relationships/hyperlink" Target="https://advance.lexis.com/api/document?collection=cases-ca&amp;id=urn:contentItem:5F7T-S6T1-F2F4-G1BY-00000-00&amp;context=" TargetMode="External" /><Relationship Id="rId1025" Type="http://schemas.openxmlformats.org/officeDocument/2006/relationships/hyperlink" Target="https://advance.lexis.com/api/document?collection=cases-ca&amp;id=urn:contentItem:5F7T-S6X1-F1H1-2124-00000-00&amp;context=" TargetMode="External" /><Relationship Id="rId1026" Type="http://schemas.openxmlformats.org/officeDocument/2006/relationships/hyperlink" Target="https://advance.lexis.com/api/document?collection=cases-ca&amp;id=urn:contentItem:5F7T-S761-F81W-222B-00000-00&amp;context=" TargetMode="External" /><Relationship Id="rId1027" Type="http://schemas.openxmlformats.org/officeDocument/2006/relationships/hyperlink" Target="https://advance.lexis.com/api/document?collection=cases-ca&amp;id=urn:contentItem:5F7T-S711-F27X-60PD-00000-00&amp;context=" TargetMode="External" /><Relationship Id="rId1028" Type="http://schemas.openxmlformats.org/officeDocument/2006/relationships/hyperlink" Target="https://advance.lexis.com/api/document?collection=cases-ca&amp;id=urn:contentItem:5F7T-S701-JJYN-B2HW-00000-00&amp;context=" TargetMode="External" /><Relationship Id="rId1029" Type="http://schemas.openxmlformats.org/officeDocument/2006/relationships/hyperlink" Target="https://advance.lexis.com/api/document?collection=cases-ca&amp;id=urn:contentItem:5F7T-S6T1-JK4W-M0F7-00000-00&amp;context=" TargetMode="External" /><Relationship Id="rId103" Type="http://schemas.openxmlformats.org/officeDocument/2006/relationships/hyperlink" Target="https://advance.lexis.com/api/document?collection=cases-ca&amp;id=urn:contentItem:5F7T-S781-FH4C-X2V6-00000-00&amp;context=" TargetMode="External" /><Relationship Id="rId1030" Type="http://schemas.openxmlformats.org/officeDocument/2006/relationships/hyperlink" Target="https://advance.lexis.com/api/document?collection=cases-ca&amp;id=urn:contentItem:5F7T-S7C1-JXG3-X06X-00000-00&amp;context=" TargetMode="External" /><Relationship Id="rId1031" Type="http://schemas.openxmlformats.org/officeDocument/2006/relationships/header" Target="header118.xml" /><Relationship Id="rId1032" Type="http://schemas.openxmlformats.org/officeDocument/2006/relationships/header" Target="header119.xml" /><Relationship Id="rId1033" Type="http://schemas.openxmlformats.org/officeDocument/2006/relationships/footer" Target="footer118.xml" /><Relationship Id="rId1034" Type="http://schemas.openxmlformats.org/officeDocument/2006/relationships/footer" Target="footer119.xml" /><Relationship Id="rId1035" Type="http://schemas.openxmlformats.org/officeDocument/2006/relationships/header" Target="header120.xml" /><Relationship Id="rId1036" Type="http://schemas.openxmlformats.org/officeDocument/2006/relationships/footer" Target="footer120.xml" /><Relationship Id="rId1037" Type="http://schemas.openxmlformats.org/officeDocument/2006/relationships/hyperlink" Target="https://advance.lexis.com/api/document?collection=cases-ca&amp;id=urn:contentItem:5F7T-S771-JJD0-G11B-00000-00&amp;context=" TargetMode="External" /><Relationship Id="rId1038" Type="http://schemas.openxmlformats.org/officeDocument/2006/relationships/hyperlink" Target="https://advance.lexis.com/api/document?collection=legislation-ca&amp;id=urn:contentItem:5F41-1FJ1-JPGX-S0S5-00000-00&amp;context=" TargetMode="External" /><Relationship Id="rId1039" Type="http://schemas.openxmlformats.org/officeDocument/2006/relationships/hyperlink" Target="https://advance.lexis.com/api/document?collection=legislation-ca&amp;id=urn:contentItem:5MS4-PW61-DYV0-G06J-00000-00&amp;context=" TargetMode="External" /><Relationship Id="rId104" Type="http://schemas.openxmlformats.org/officeDocument/2006/relationships/hyperlink" Target="https://advance.lexis.com/api/document?collection=cases-ca&amp;id=urn:contentItem:5F7T-S721-F4NT-X28J-00000-00&amp;context=" TargetMode="External" /><Relationship Id="rId1040" Type="http://schemas.openxmlformats.org/officeDocument/2006/relationships/hyperlink" Target="https://advance.lexis.com/api/document?collection=cases-ca&amp;id=urn:contentItem:5F7T-S771-JSJC-X039-00000-00&amp;context=" TargetMode="External" /><Relationship Id="rId1041" Type="http://schemas.openxmlformats.org/officeDocument/2006/relationships/hyperlink" Target="https://advance.lexis.com/api/document?collection=cases-ca&amp;id=urn:contentItem:5F8T-N3T1-JFKM-653C-00000-00&amp;context=" TargetMode="External" /><Relationship Id="rId1042" Type="http://schemas.openxmlformats.org/officeDocument/2006/relationships/hyperlink" Target="https://advance.lexis.com/api/document?collection=cases-ca&amp;id=urn:contentItem:5F7T-S7G1-JBT7-X3GS-00000-00&amp;context=" TargetMode="External" /><Relationship Id="rId1043" Type="http://schemas.openxmlformats.org/officeDocument/2006/relationships/hyperlink" Target="https://advance.lexis.com/api/document?collection=cases-ca&amp;id=urn:contentItem:5F7T-S771-F81W-22P6-00000-00&amp;context=" TargetMode="External" /><Relationship Id="rId1044" Type="http://schemas.openxmlformats.org/officeDocument/2006/relationships/hyperlink" Target="https://advance.lexis.com/api/document?collection=cases-ca&amp;id=urn:contentItem:5F7T-S7H1-JG02-S38H-00000-00&amp;context=" TargetMode="External" /><Relationship Id="rId1045" Type="http://schemas.openxmlformats.org/officeDocument/2006/relationships/hyperlink" Target="https://advance.lexis.com/api/document?collection=cases-ca&amp;id=urn:contentItem:5F7T-S6T1-DY89-M2PR-00000-00&amp;context=" TargetMode="External" /><Relationship Id="rId1046" Type="http://schemas.openxmlformats.org/officeDocument/2006/relationships/hyperlink" Target="https://advance.lexis.com/api/document?collection=cases-ca&amp;id=urn:contentItem:5F7T-S721-F4NT-X2F1-00000-00&amp;context=" TargetMode="External" /><Relationship Id="rId1047" Type="http://schemas.openxmlformats.org/officeDocument/2006/relationships/hyperlink" Target="https://advance.lexis.com/api/document?collection=cases-ca&amp;id=urn:contentItem:5F8P-SCR1-F4W2-6251-00000-00&amp;context=" TargetMode="External" /><Relationship Id="rId1048" Type="http://schemas.openxmlformats.org/officeDocument/2006/relationships/hyperlink" Target="https://advance.lexis.com/api/document?collection=cases-ca&amp;id=urn:contentItem:5F7H-KW81-JW5H-X0S5-00000-00&amp;context=" TargetMode="External" /><Relationship Id="rId1049" Type="http://schemas.openxmlformats.org/officeDocument/2006/relationships/hyperlink" Target="https://advance.lexis.com/api/document?collection=cases-ca&amp;id=urn:contentItem:5F2P-NNP1-JKPJ-G54J-00000-00&amp;context=" TargetMode="External" /><Relationship Id="rId105" Type="http://schemas.openxmlformats.org/officeDocument/2006/relationships/hyperlink" Target="https://advance.lexis.com/api/document?collection=cases-ca&amp;id=urn:contentItem:5F7T-S721-JSC5-M387-00000-00&amp;context=" TargetMode="External" /><Relationship Id="rId1050" Type="http://schemas.openxmlformats.org/officeDocument/2006/relationships/hyperlink" Target="https://advance.lexis.com/api/document?collection=legislation-ca&amp;id=urn:contentItem:5F41-1FJ1-JPGX-S0S6-00000-00&amp;context=" TargetMode="External" /><Relationship Id="rId1051" Type="http://schemas.openxmlformats.org/officeDocument/2006/relationships/hyperlink" Target="https://advance.lexis.com/api/document?collection=cases-ca&amp;id=urn:contentItem:5F8T-N3P1-FBV7-B55N-00000-00&amp;context=" TargetMode="External" /><Relationship Id="rId1052" Type="http://schemas.openxmlformats.org/officeDocument/2006/relationships/hyperlink" Target="https://advance.lexis.com/api/document?collection=cases-ca&amp;id=urn:contentItem:5F7T-S761-F81W-2215-00000-00&amp;context=" TargetMode="External" /><Relationship Id="rId1053" Type="http://schemas.openxmlformats.org/officeDocument/2006/relationships/hyperlink" Target="https://advance.lexis.com/api/document?collection=cases-ca&amp;id=urn:contentItem:5F7T-S761-F7ND-G4CT-00000-00&amp;context=" TargetMode="External" /><Relationship Id="rId1054" Type="http://schemas.openxmlformats.org/officeDocument/2006/relationships/header" Target="header121.xml" /><Relationship Id="rId1055" Type="http://schemas.openxmlformats.org/officeDocument/2006/relationships/header" Target="header122.xml" /><Relationship Id="rId1056" Type="http://schemas.openxmlformats.org/officeDocument/2006/relationships/footer" Target="footer121.xml" /><Relationship Id="rId1057" Type="http://schemas.openxmlformats.org/officeDocument/2006/relationships/footer" Target="footer122.xml" /><Relationship Id="rId1058" Type="http://schemas.openxmlformats.org/officeDocument/2006/relationships/header" Target="header123.xml" /><Relationship Id="rId1059" Type="http://schemas.openxmlformats.org/officeDocument/2006/relationships/footer" Target="footer123.xml" /><Relationship Id="rId106" Type="http://schemas.openxmlformats.org/officeDocument/2006/relationships/hyperlink" Target="https://advance.lexis.com/api/document?collection=cases-ca&amp;id=urn:contentItem:5F81-YH41-JX8W-M05P-00000-00&amp;context=" TargetMode="External" /><Relationship Id="rId1060" Type="http://schemas.openxmlformats.org/officeDocument/2006/relationships/hyperlink" Target="https://advance.lexis.com/api/document?collection=cases-ca&amp;id=urn:contentItem:5F7T-S7H1-JS5Y-B32S-00000-00&amp;context=" TargetMode="External" /><Relationship Id="rId1061" Type="http://schemas.openxmlformats.org/officeDocument/2006/relationships/hyperlink" Target="https://advance.lexis.com/api/document?collection=cases-ca&amp;id=urn:contentItem:5K6Y-81M1-DXHD-G2C5-00000-00&amp;context=" TargetMode="External" /><Relationship Id="rId1062" Type="http://schemas.openxmlformats.org/officeDocument/2006/relationships/hyperlink" Target="https://advance.lexis.com/api/document?collection=cases-ca&amp;id=urn:contentItem:5F7T-S6X1-K054-G1R7-00000-00&amp;context=" TargetMode="External" /><Relationship Id="rId1063" Type="http://schemas.openxmlformats.org/officeDocument/2006/relationships/hyperlink" Target="https://advance.lexis.com/api/document?collection=cases-ca&amp;id=urn:contentItem:5F7T-S791-FJTD-G2NK-00000-00&amp;context=" TargetMode="External" /><Relationship Id="rId1064" Type="http://schemas.openxmlformats.org/officeDocument/2006/relationships/hyperlink" Target="https://advance.lexis.com/api/document?collection=cases-ca&amp;id=urn:contentItem:5F7T-S7G1-JWR6-S1R1-00000-00&amp;context=" TargetMode="External" /><Relationship Id="rId1065" Type="http://schemas.openxmlformats.org/officeDocument/2006/relationships/hyperlink" Target="https://advance.lexis.com/api/document?collection=cases-ca&amp;id=urn:contentItem:5F7T-S7C1-F7VM-S3N9-00000-00&amp;context=" TargetMode="External" /><Relationship Id="rId1066" Type="http://schemas.openxmlformats.org/officeDocument/2006/relationships/hyperlink" Target="https://advance.lexis.com/api/document?collection=cases-ca&amp;id=urn:contentItem:5F7T-S7D1-FFFC-B13D-00000-00&amp;context=" TargetMode="External" /><Relationship Id="rId1067" Type="http://schemas.openxmlformats.org/officeDocument/2006/relationships/hyperlink" Target="https://advance.lexis.com/api/document?collection=cases-ca&amp;id=urn:contentItem:5F7T-S711-JG02-S1V5-00000-00&amp;context=" TargetMode="External" /><Relationship Id="rId1068" Type="http://schemas.openxmlformats.org/officeDocument/2006/relationships/hyperlink" Target="https://advance.lexis.com/api/document?collection=cases-ca&amp;id=urn:contentItem:5F7T-S711-JG02-S1WP-00000-00&amp;context=" TargetMode="External" /><Relationship Id="rId1069" Type="http://schemas.openxmlformats.org/officeDocument/2006/relationships/hyperlink" Target="https://advance.lexis.com/api/document?collection=cases-ca&amp;id=urn:contentItem:5F7T-S771-JTGH-B1BR-00000-00&amp;context=" TargetMode="External" /><Relationship Id="rId107" Type="http://schemas.openxmlformats.org/officeDocument/2006/relationships/header" Target="header22.xml" /><Relationship Id="rId1070" Type="http://schemas.openxmlformats.org/officeDocument/2006/relationships/header" Target="header124.xml" /><Relationship Id="rId1071" Type="http://schemas.openxmlformats.org/officeDocument/2006/relationships/header" Target="header125.xml" /><Relationship Id="rId1072" Type="http://schemas.openxmlformats.org/officeDocument/2006/relationships/footer" Target="footer124.xml" /><Relationship Id="rId1073" Type="http://schemas.openxmlformats.org/officeDocument/2006/relationships/footer" Target="footer125.xml" /><Relationship Id="rId1074" Type="http://schemas.openxmlformats.org/officeDocument/2006/relationships/header" Target="header126.xml" /><Relationship Id="rId1075" Type="http://schemas.openxmlformats.org/officeDocument/2006/relationships/footer" Target="footer126.xml" /><Relationship Id="rId1076" Type="http://schemas.openxmlformats.org/officeDocument/2006/relationships/hyperlink" Target="https://advance.lexis.com/api/document?collection=cases-ca&amp;id=urn:contentItem:5F7T-S781-F900-G0R1-00000-00&amp;context=" TargetMode="External" /><Relationship Id="rId1077" Type="http://schemas.openxmlformats.org/officeDocument/2006/relationships/hyperlink" Target="https://advance.lexis.com/api/document?collection=cases-ca&amp;id=urn:contentItem:5F7T-S701-JK4W-M0N4-00000-00&amp;context=" TargetMode="External" /><Relationship Id="rId1078" Type="http://schemas.openxmlformats.org/officeDocument/2006/relationships/hyperlink" Target="https://advance.lexis.com/api/document?collection=cases-ca&amp;id=urn:contentItem:5F8P-SCJ1-JCBX-S0H4-00000-00&amp;context=" TargetMode="External" /><Relationship Id="rId1079" Type="http://schemas.openxmlformats.org/officeDocument/2006/relationships/hyperlink" Target="https://advance.lexis.com/api/document?collection=cases-ca&amp;id=urn:contentItem:5F8T-N3V1-JFKM-6045-00000-00&amp;context=" TargetMode="External" /><Relationship Id="rId108" Type="http://schemas.openxmlformats.org/officeDocument/2006/relationships/header" Target="header23.xml" /><Relationship Id="rId1080" Type="http://schemas.openxmlformats.org/officeDocument/2006/relationships/hyperlink" Target="https://advance.lexis.com/api/document?collection=cases-ca&amp;id=urn:contentItem:5F7H-SCN1-DY89-M2C9-00000-00&amp;context=" TargetMode="External" /><Relationship Id="rId1081" Type="http://schemas.openxmlformats.org/officeDocument/2006/relationships/header" Target="header127.xml" /><Relationship Id="rId1082" Type="http://schemas.openxmlformats.org/officeDocument/2006/relationships/header" Target="header128.xml" /><Relationship Id="rId1083" Type="http://schemas.openxmlformats.org/officeDocument/2006/relationships/footer" Target="footer127.xml" /><Relationship Id="rId1084" Type="http://schemas.openxmlformats.org/officeDocument/2006/relationships/footer" Target="footer128.xml" /><Relationship Id="rId1085" Type="http://schemas.openxmlformats.org/officeDocument/2006/relationships/header" Target="header129.xml" /><Relationship Id="rId1086" Type="http://schemas.openxmlformats.org/officeDocument/2006/relationships/footer" Target="footer129.xml" /><Relationship Id="rId1087" Type="http://schemas.openxmlformats.org/officeDocument/2006/relationships/hyperlink" Target="https://advance.lexis.com/api/document?collection=cases-ca&amp;id=urn:contentItem:5F7T-S7N1-JC5P-G2CJ-00000-00&amp;context=" TargetMode="External" /><Relationship Id="rId1088" Type="http://schemas.openxmlformats.org/officeDocument/2006/relationships/hyperlink" Target="https://advance.lexis.com/api/document?collection=cases-ca&amp;id=urn:contentItem:5F7T-S771-F2TK-22T7-00000-00&amp;context=" TargetMode="External" /><Relationship Id="rId1089" Type="http://schemas.openxmlformats.org/officeDocument/2006/relationships/hyperlink" Target="https://advance.lexis.com/api/document?collection=cases-ca&amp;id=urn:contentItem:5F8T-N3V1-FC1F-M486-00000-00&amp;context=" TargetMode="External" /><Relationship Id="rId109" Type="http://schemas.openxmlformats.org/officeDocument/2006/relationships/footer" Target="footer22.xml" /><Relationship Id="rId1090" Type="http://schemas.openxmlformats.org/officeDocument/2006/relationships/hyperlink" Target="https://advance.lexis.com/api/document?collection=cases-ca&amp;id=urn:contentItem:5F7T-S7F1-JFKM-61TG-00000-00&amp;context=" TargetMode="External" /><Relationship Id="rId1091" Type="http://schemas.openxmlformats.org/officeDocument/2006/relationships/hyperlink" Target="https://advance.lexis.com/api/document?collection=cases-ca&amp;id=urn:contentItem:5F7T-S7C1-F4NT-X32M-00000-00&amp;context=" TargetMode="External" /><Relationship Id="rId1092" Type="http://schemas.openxmlformats.org/officeDocument/2006/relationships/hyperlink" Target="https://advance.lexis.com/api/document?collection=cases-ca&amp;id=urn:contentItem:5F8T-N3T1-JGHR-M26G-00000-00&amp;context=" TargetMode="External" /><Relationship Id="rId1093" Type="http://schemas.openxmlformats.org/officeDocument/2006/relationships/hyperlink" Target="https://advance.lexis.com/api/document?collection=cases-ca&amp;id=urn:contentItem:5F7T-XPW1-F8D9-M4NP-00000-00&amp;context=" TargetMode="External" /><Relationship Id="rId1094" Type="http://schemas.openxmlformats.org/officeDocument/2006/relationships/hyperlink" Target="https://advance.lexis.com/api/document?collection=cases-ca&amp;id=urn:contentItem:5F8T-N3T1-JJSF-23K3-00000-00&amp;context=" TargetMode="External" /><Relationship Id="rId1095" Type="http://schemas.openxmlformats.org/officeDocument/2006/relationships/hyperlink" Target="https://advance.lexis.com/api/document?collection=cases-ca&amp;id=urn:contentItem:5F7T-S7M1-JPP5-22DX-00000-00&amp;context=" TargetMode="External" /><Relationship Id="rId1096" Type="http://schemas.openxmlformats.org/officeDocument/2006/relationships/header" Target="header130.xml" /><Relationship Id="rId1097" Type="http://schemas.openxmlformats.org/officeDocument/2006/relationships/header" Target="header131.xml" /><Relationship Id="rId1098" Type="http://schemas.openxmlformats.org/officeDocument/2006/relationships/footer" Target="footer130.xml" /><Relationship Id="rId1099" Type="http://schemas.openxmlformats.org/officeDocument/2006/relationships/footer" Target="footer131.xml" /><Relationship Id="rId11" Type="http://schemas.openxmlformats.org/officeDocument/2006/relationships/hyperlink" Target="https://advance.lexis.com/api/document?collection=cases-ca&amp;id=urn:contentItem:5F8T-N3V1-JTGH-B1C7-00000-00&amp;context=" TargetMode="External" /><Relationship Id="rId110" Type="http://schemas.openxmlformats.org/officeDocument/2006/relationships/footer" Target="footer23.xml" /><Relationship Id="rId1100" Type="http://schemas.openxmlformats.org/officeDocument/2006/relationships/header" Target="header132.xml" /><Relationship Id="rId1101" Type="http://schemas.openxmlformats.org/officeDocument/2006/relationships/footer" Target="footer132.xml" /><Relationship Id="rId1102" Type="http://schemas.openxmlformats.org/officeDocument/2006/relationships/hyperlink" Target="https://advance.lexis.com/api/document?collection=cases-ca&amp;id=urn:contentItem:5NVG-FX31-K054-G13D-00000-00&amp;context=" TargetMode="External" /><Relationship Id="rId1103" Type="http://schemas.openxmlformats.org/officeDocument/2006/relationships/hyperlink" Target="https://advance.lexis.com/api/document?collection=legislation-ca&amp;id=urn:contentItem:5R79-X2R1-JB7K-214M-00000-00&amp;context=" TargetMode="External" /><Relationship Id="rId1104" Type="http://schemas.openxmlformats.org/officeDocument/2006/relationships/hyperlink" Target="https://advance.lexis.com/api/document?collection=cases-ca&amp;id=urn:contentItem:5GB3-MY31-JX3N-B2D2-00000-00&amp;context=" TargetMode="External" /><Relationship Id="rId1105" Type="http://schemas.openxmlformats.org/officeDocument/2006/relationships/hyperlink" Target="https://advance.lexis.com/api/document?collection=cases-ca&amp;id=urn:contentItem:5F81-VJX1-F22N-X1WV-00000-00&amp;context=" TargetMode="External" /><Relationship Id="rId1106" Type="http://schemas.openxmlformats.org/officeDocument/2006/relationships/hyperlink" Target="https://advance.lexis.com/api/document?collection=cases-ca&amp;id=urn:contentItem:5F81-VJX1-F22N-X246-00000-00&amp;context=" TargetMode="External" /><Relationship Id="rId1107" Type="http://schemas.openxmlformats.org/officeDocument/2006/relationships/hyperlink" Target="https://advance.lexis.com/api/document?collection=cases-ca&amp;id=urn:contentItem:5F7H-SCN1-DY89-M2FB-00000-00&amp;context=" TargetMode="External" /><Relationship Id="rId1108" Type="http://schemas.openxmlformats.org/officeDocument/2006/relationships/hyperlink" Target="https://advance.lexis.com/api/document?collection=cases-ca&amp;id=urn:contentItem:5F7T-S7K1-JX3N-B2V4-00000-00&amp;context=" TargetMode="External" /><Relationship Id="rId1109" Type="http://schemas.openxmlformats.org/officeDocument/2006/relationships/hyperlink" Target="https://advance.lexis.com/api/document?collection=cases-ca&amp;id=urn:contentItem:5F7T-S7N1-F06F-24KX-00000-00&amp;context=" TargetMode="External" /><Relationship Id="rId111" Type="http://schemas.openxmlformats.org/officeDocument/2006/relationships/header" Target="header24.xml" /><Relationship Id="rId1110" Type="http://schemas.openxmlformats.org/officeDocument/2006/relationships/hyperlink" Target="https://advance.lexis.com/api/document?collection=cases-ca&amp;id=urn:contentItem:5F82-1SJ1-FGY5-M50Y-00000-00&amp;context=" TargetMode="External" /><Relationship Id="rId1111" Type="http://schemas.openxmlformats.org/officeDocument/2006/relationships/hyperlink" Target="https://advance.lexis.com/api/document?collection=cases-ca&amp;id=urn:contentItem:5F16-9321-FC1F-M53V-00000-00&amp;context=" TargetMode="External" /><Relationship Id="rId1112" Type="http://schemas.openxmlformats.org/officeDocument/2006/relationships/hyperlink" Target="https://advance.lexis.com/api/document?collection=cases-ca&amp;id=urn:contentItem:5F8T-N3V1-JF75-M3MT-00000-00&amp;context=" TargetMode="External" /><Relationship Id="rId1113" Type="http://schemas.openxmlformats.org/officeDocument/2006/relationships/hyperlink" Target="https://advance.lexis.com/api/document?collection=cases-ca&amp;id=urn:contentItem:5F7T-S721-F06F-2348-00000-00&amp;context=" TargetMode="External" /><Relationship Id="rId1114" Type="http://schemas.openxmlformats.org/officeDocument/2006/relationships/hyperlink" Target="https://advance.lexis.com/api/document?collection=cases-ca&amp;id=urn:contentItem:5GJG-DJW1-JP4G-62HR-00000-00&amp;context=" TargetMode="External" /><Relationship Id="rId1115" Type="http://schemas.openxmlformats.org/officeDocument/2006/relationships/hyperlink" Target="https://advance.lexis.com/api/document?collection=cases-ca&amp;id=urn:contentItem:5F8T-N3V1-JTGH-B1H3-00000-00&amp;context=" TargetMode="External" /><Relationship Id="rId1116" Type="http://schemas.openxmlformats.org/officeDocument/2006/relationships/hyperlink" Target="https://advance.lexis.com/api/document?collection=cases-ca&amp;id=urn:contentItem:5F8T-N3V1-JF75-M3R4-00000-00&amp;context=" TargetMode="External" /><Relationship Id="rId1117" Type="http://schemas.openxmlformats.org/officeDocument/2006/relationships/hyperlink" Target="https://advance.lexis.com/api/document?collection=cases-ca&amp;id=urn:contentItem:5F8T-N3S1-JT99-254W-00000-00&amp;context=" TargetMode="External" /><Relationship Id="rId1118" Type="http://schemas.openxmlformats.org/officeDocument/2006/relationships/hyperlink" Target="https://advance.lexis.com/api/document?collection=cases-ca&amp;id=urn:contentItem:5F7T-S6X1-F1H1-20YT-00000-00&amp;context=" TargetMode="External" /><Relationship Id="rId1119" Type="http://schemas.openxmlformats.org/officeDocument/2006/relationships/hyperlink" Target="https://advance.lexis.com/api/document?collection=cases-ca&amp;id=urn:contentItem:5GCC-XVB1-JGHR-M4B7-00000-00&amp;context=" TargetMode="External" /><Relationship Id="rId112" Type="http://schemas.openxmlformats.org/officeDocument/2006/relationships/footer" Target="footer24.xml" /><Relationship Id="rId1120" Type="http://schemas.openxmlformats.org/officeDocument/2006/relationships/hyperlink" Target="https://advance.lexis.com/api/document?collection=cases-ca&amp;id=urn:contentItem:5F81-VJX1-JKPJ-G1NH-00000-00&amp;context=" TargetMode="External" /><Relationship Id="rId1121" Type="http://schemas.openxmlformats.org/officeDocument/2006/relationships/hyperlink" Target="https://advance.lexis.com/api/document?collection=cases-ca&amp;id=urn:contentItem:5F81-VJX1-FGY5-M3D0-00000-00&amp;context=" TargetMode="External" /><Relationship Id="rId1122" Type="http://schemas.openxmlformats.org/officeDocument/2006/relationships/hyperlink" Target="https://advance.lexis.com/api/document?collection=cases-ca&amp;id=urn:contentItem:5F82-1SF1-JKPJ-G29C-00000-00&amp;context=" TargetMode="External" /><Relationship Id="rId1123" Type="http://schemas.openxmlformats.org/officeDocument/2006/relationships/hyperlink" Target="https://advance.lexis.com/api/document?collection=cases-ca&amp;id=urn:contentItem:5KP4-X8R1-JW09-M424-00000-00&amp;context=" TargetMode="External" /><Relationship Id="rId1124" Type="http://schemas.openxmlformats.org/officeDocument/2006/relationships/hyperlink" Target="https://advance.lexis.com/api/document?collection=cases-ca&amp;id=urn:contentItem:5F81-VJY1-JPGX-S4KN-00000-00&amp;context=" TargetMode="External" /><Relationship Id="rId1125" Type="http://schemas.openxmlformats.org/officeDocument/2006/relationships/hyperlink" Target="https://advance.lexis.com/api/document?collection=cases-ca&amp;id=urn:contentItem:5F8P-SD81-JX8W-M4BP-00000-00&amp;context=" TargetMode="External" /><Relationship Id="rId1126" Type="http://schemas.openxmlformats.org/officeDocument/2006/relationships/hyperlink" Target="https://advance.lexis.com/api/document?collection=cases-ca&amp;id=urn:contentItem:5F8P-SDC1-JJ6S-605G-00000-00&amp;context=" TargetMode="External" /><Relationship Id="rId1127" Type="http://schemas.openxmlformats.org/officeDocument/2006/relationships/hyperlink" Target="https://advance.lexis.com/api/document?collection=cases-ca&amp;id=urn:contentItem:5F7T-S7D1-DY89-M3VG-00000-00&amp;context=" TargetMode="External" /><Relationship Id="rId1128" Type="http://schemas.openxmlformats.org/officeDocument/2006/relationships/hyperlink" Target="https://advance.lexis.com/api/document?collection=cases-ca&amp;id=urn:contentItem:5F8P-SCY1-JC5P-G0WS-00000-00&amp;context=" TargetMode="External" /><Relationship Id="rId1129" Type="http://schemas.openxmlformats.org/officeDocument/2006/relationships/hyperlink" Target="https://advance.lexis.com/api/document?collection=cases-ca&amp;id=urn:contentItem:5F8P-SF21-JJK6-S0KK-00000-00&amp;context=" TargetMode="External" /><Relationship Id="rId113" Type="http://schemas.openxmlformats.org/officeDocument/2006/relationships/hyperlink" Target="https://advance.lexis.com/api/document?collection=cases-ca&amp;id=urn:contentItem:5F7T-S7H1-K054-G2DM-00000-00&amp;context=" TargetMode="External" /><Relationship Id="rId1130" Type="http://schemas.openxmlformats.org/officeDocument/2006/relationships/hyperlink" Target="https://advance.lexis.com/api/document?collection=cases-ca&amp;id=urn:contentItem:5F8P-SFB1-FCSB-S41X-00000-00&amp;context=" TargetMode="External" /><Relationship Id="rId1131" Type="http://schemas.openxmlformats.org/officeDocument/2006/relationships/hyperlink" Target="https://advance.lexis.com/api/document?collection=cases-ca&amp;id=urn:contentItem:5F16-93C1-JSJC-X4W5-00000-00&amp;context=" TargetMode="External" /><Relationship Id="rId1132" Type="http://schemas.openxmlformats.org/officeDocument/2006/relationships/hyperlink" Target="https://advance.lexis.com/api/document?collection=cases-ca&amp;id=urn:contentItem:5F7T-S7G1-JWR6-S1MB-00000-00&amp;context=" TargetMode="External" /><Relationship Id="rId1133" Type="http://schemas.openxmlformats.org/officeDocument/2006/relationships/hyperlink" Target="https://advance.lexis.com/api/document?collection=cases-ca&amp;id=urn:contentItem:5F7T-S7K1-JSJC-X186-00000-00&amp;context=" TargetMode="External" /><Relationship Id="rId1134" Type="http://schemas.openxmlformats.org/officeDocument/2006/relationships/hyperlink" Target="https://advance.lexis.com/api/document?collection=cases-ca&amp;id=urn:contentItem:5F7T-S7P1-JP4G-6262-00000-00&amp;context=" TargetMode="External" /><Relationship Id="rId1135" Type="http://schemas.openxmlformats.org/officeDocument/2006/relationships/hyperlink" Target="https://advance.lexis.com/api/document?collection=cases-ca&amp;id=urn:contentItem:5N8X-PSB1-JCRC-B3MK-00000-00&amp;context=" TargetMode="External" /><Relationship Id="rId1136" Type="http://schemas.openxmlformats.org/officeDocument/2006/relationships/hyperlink" Target="https://advance.lexis.com/api/document?collection=cases-ca&amp;id=urn:contentItem:5F7T-S7H1-JS5Y-B2NN-00000-00&amp;context=" TargetMode="External" /><Relationship Id="rId1137" Type="http://schemas.openxmlformats.org/officeDocument/2006/relationships/hyperlink" Target="https://advance.lexis.com/api/document?collection=cases-ca&amp;id=urn:contentItem:5F7T-S7P1-JG02-S4CH-00000-00&amp;context=" TargetMode="External" /><Relationship Id="rId1138" Type="http://schemas.openxmlformats.org/officeDocument/2006/relationships/header" Target="header133.xml" /><Relationship Id="rId1139" Type="http://schemas.openxmlformats.org/officeDocument/2006/relationships/header" Target="header134.xml" /><Relationship Id="rId114" Type="http://schemas.openxmlformats.org/officeDocument/2006/relationships/hyperlink" Target="https://advance.lexis.com/api/document?collection=legislation-ca&amp;id=urn:contentItem:5F41-1FM1-FGJR-216H-00000-00&amp;context=" TargetMode="External" /><Relationship Id="rId1140" Type="http://schemas.openxmlformats.org/officeDocument/2006/relationships/footer" Target="footer133.xml" /><Relationship Id="rId1141" Type="http://schemas.openxmlformats.org/officeDocument/2006/relationships/footer" Target="footer134.xml" /><Relationship Id="rId1142" Type="http://schemas.openxmlformats.org/officeDocument/2006/relationships/header" Target="header135.xml" /><Relationship Id="rId1143" Type="http://schemas.openxmlformats.org/officeDocument/2006/relationships/footer" Target="footer135.xml" /><Relationship Id="rId1144" Type="http://schemas.openxmlformats.org/officeDocument/2006/relationships/hyperlink" Target="https://advance.lexis.com/api/document?collection=cases-ca&amp;id=urn:contentItem:5F7T-S7F1-JFKM-61GH-00000-00&amp;context=" TargetMode="External" /><Relationship Id="rId1145" Type="http://schemas.openxmlformats.org/officeDocument/2006/relationships/hyperlink" Target="https://advance.lexis.com/api/document?collection=cases-ca&amp;id=urn:contentItem:5F8T-N3V1-FC1F-M49K-00000-00&amp;context=" TargetMode="External" /><Relationship Id="rId1146" Type="http://schemas.openxmlformats.org/officeDocument/2006/relationships/hyperlink" Target="https://advance.lexis.com/api/document?collection=legislation-ca&amp;id=urn:contentItem:5W07-7G11-FG12-6309-00000-00&amp;context=" TargetMode="External" /><Relationship Id="rId1147" Type="http://schemas.openxmlformats.org/officeDocument/2006/relationships/hyperlink" Target="https://advance.lexis.com/api/document?collection=cases-ca&amp;id=urn:contentItem:5F7T-S7D1-DY89-M486-00000-00&amp;context=" TargetMode="External" /><Relationship Id="rId1148" Type="http://schemas.openxmlformats.org/officeDocument/2006/relationships/hyperlink" Target="https://advance.lexis.com/api/document?collection=cases-ca&amp;id=urn:contentItem:5F8T-N3R1-JBDT-B566-00000-00&amp;context=" TargetMode="External" /><Relationship Id="rId1149" Type="http://schemas.openxmlformats.org/officeDocument/2006/relationships/header" Target="header136.xml" /><Relationship Id="rId115" Type="http://schemas.openxmlformats.org/officeDocument/2006/relationships/hyperlink" Target="https://advance.lexis.com/api/document?collection=cases-ca&amp;id=urn:contentItem:5F7T-S7C1-JCJ5-20GX-00000-00&amp;context=" TargetMode="External" /><Relationship Id="rId1150" Type="http://schemas.openxmlformats.org/officeDocument/2006/relationships/header" Target="header137.xml" /><Relationship Id="rId1151" Type="http://schemas.openxmlformats.org/officeDocument/2006/relationships/footer" Target="footer136.xml" /><Relationship Id="rId1152" Type="http://schemas.openxmlformats.org/officeDocument/2006/relationships/footer" Target="footer137.xml" /><Relationship Id="rId1153" Type="http://schemas.openxmlformats.org/officeDocument/2006/relationships/header" Target="header138.xml" /><Relationship Id="rId1154" Type="http://schemas.openxmlformats.org/officeDocument/2006/relationships/footer" Target="footer138.xml" /><Relationship Id="rId1155" Type="http://schemas.openxmlformats.org/officeDocument/2006/relationships/hyperlink" Target="https://advance.lexis.com/api/document?collection=cases-ca&amp;id=urn:contentItem:5F7T-S7C1-JCJ5-20NY-00000-00&amp;context=" TargetMode="External" /><Relationship Id="rId1156" Type="http://schemas.openxmlformats.org/officeDocument/2006/relationships/hyperlink" Target="https://advance.lexis.com/api/document?collection=cases-ca&amp;id=urn:contentItem:5F7T-S731-JC0G-63VN-00000-00&amp;context=" TargetMode="External" /><Relationship Id="rId1157" Type="http://schemas.openxmlformats.org/officeDocument/2006/relationships/hyperlink" Target="https://advance.lexis.com/api/document?collection=cases-ca&amp;id=urn:contentItem:5F7T-S6W1-F7ND-G2RV-00000-00&amp;context=" TargetMode="External" /><Relationship Id="rId1158" Type="http://schemas.openxmlformats.org/officeDocument/2006/relationships/hyperlink" Target="https://advance.lexis.com/api/document?collection=cases-ca&amp;id=urn:contentItem:5F7T-S7C1-FCSB-S2HV-00000-00&amp;context=" TargetMode="External" /><Relationship Id="rId1159" Type="http://schemas.openxmlformats.org/officeDocument/2006/relationships/hyperlink" Target="https://advance.lexis.com/api/document?collection=cases-ca&amp;id=urn:contentItem:5F7T-S6V1-F956-S0CJ-00000-00&amp;context=" TargetMode="External" /><Relationship Id="rId116" Type="http://schemas.openxmlformats.org/officeDocument/2006/relationships/hyperlink" Target="https://advance.lexis.com/api/document?collection=cases-ca&amp;id=urn:contentItem:5F7T-S7D1-F7ND-G0T6-00000-00&amp;context=" TargetMode="External" /><Relationship Id="rId1160" Type="http://schemas.openxmlformats.org/officeDocument/2006/relationships/hyperlink" Target="https://advance.lexis.com/api/document?collection=cases-ca&amp;id=urn:contentItem:5F7T-S6V1-F2TK-22BV-00000-00&amp;context=" TargetMode="External" /><Relationship Id="rId1161" Type="http://schemas.openxmlformats.org/officeDocument/2006/relationships/hyperlink" Target="https://advance.lexis.com/api/document?collection=cases-ca&amp;id=urn:contentItem:5F7T-S771-JSJC-X02K-00000-00&amp;context=" TargetMode="External" /><Relationship Id="rId1162" Type="http://schemas.openxmlformats.org/officeDocument/2006/relationships/hyperlink" Target="https://advance.lexis.com/api/document?collection=cases-ca&amp;id=urn:contentItem:5F7T-S771-F81W-22S0-00000-00&amp;context=" TargetMode="External" /><Relationship Id="rId1163" Type="http://schemas.openxmlformats.org/officeDocument/2006/relationships/hyperlink" Target="https://advance.lexis.com/api/document?collection=cases-ca&amp;id=urn:contentItem:5F7T-S6W1-F528-G1S8-00000-00&amp;context=" TargetMode="External" /><Relationship Id="rId1164" Type="http://schemas.openxmlformats.org/officeDocument/2006/relationships/hyperlink" Target="https://advance.lexis.com/api/document?collection=cases-ca&amp;id=urn:contentItem:5F8T-N3V1-JFKM-602P-00000-00&amp;context=" TargetMode="External" /><Relationship Id="rId1165" Type="http://schemas.openxmlformats.org/officeDocument/2006/relationships/hyperlink" Target="https://advance.lexis.com/api/document?collection=cases-ca&amp;id=urn:contentItem:5F7T-S721-FD4T-B0ND-00000-00&amp;context=" TargetMode="External" /><Relationship Id="rId1166" Type="http://schemas.openxmlformats.org/officeDocument/2006/relationships/hyperlink" Target="https://advance.lexis.com/api/document?collection=cases-ca&amp;id=urn:contentItem:5F7T-S741-F57G-S1V2-00000-00&amp;context=" TargetMode="External" /><Relationship Id="rId1167" Type="http://schemas.openxmlformats.org/officeDocument/2006/relationships/hyperlink" Target="https://advance.lexis.com/api/document?collection=cases-ca&amp;id=urn:contentItem:5F7T-S761-JCBX-S0PK-00000-00&amp;context=" TargetMode="External" /><Relationship Id="rId1168" Type="http://schemas.openxmlformats.org/officeDocument/2006/relationships/hyperlink" Target="https://advance.lexis.com/api/document?collection=cases-ca&amp;id=urn:contentItem:5F7T-S751-F361-M176-00000-00&amp;context=" TargetMode="External" /><Relationship Id="rId1169" Type="http://schemas.openxmlformats.org/officeDocument/2006/relationships/hyperlink" Target="https://advance.lexis.com/api/document?collection=cases-ca&amp;id=urn:contentItem:5F7T-S771-JJD0-G18H-00000-00&amp;context=" TargetMode="External" /><Relationship Id="rId117" Type="http://schemas.openxmlformats.org/officeDocument/2006/relationships/hyperlink" Target="https://advance.lexis.com/api/document?collection=cases-ca&amp;id=urn:contentItem:5F7T-S7C1-JXG3-X08C-00000-00&amp;context=" TargetMode="External" /><Relationship Id="rId1170" Type="http://schemas.openxmlformats.org/officeDocument/2006/relationships/hyperlink" Target="https://advance.lexis.com/api/document?collection=cases-ca&amp;id=urn:contentItem:5F7T-S771-F361-M1KC-00000-00&amp;context=" TargetMode="External" /><Relationship Id="rId1171" Type="http://schemas.openxmlformats.org/officeDocument/2006/relationships/hyperlink" Target="https://advance.lexis.com/api/document?collection=cases-ca&amp;id=urn:contentItem:5F7T-S731-F1WF-M284-00000-00&amp;context=" TargetMode="External" /><Relationship Id="rId1172" Type="http://schemas.openxmlformats.org/officeDocument/2006/relationships/hyperlink" Target="https://advance.lexis.com/api/document?collection=cases-ca&amp;id=urn:contentItem:5F7T-S6W1-JYYX-61X7-00000-00&amp;context=" TargetMode="External" /><Relationship Id="rId1173" Type="http://schemas.openxmlformats.org/officeDocument/2006/relationships/header" Target="header139.xml" /><Relationship Id="rId1174" Type="http://schemas.openxmlformats.org/officeDocument/2006/relationships/header" Target="header140.xml" /><Relationship Id="rId1175" Type="http://schemas.openxmlformats.org/officeDocument/2006/relationships/footer" Target="footer139.xml" /><Relationship Id="rId1176" Type="http://schemas.openxmlformats.org/officeDocument/2006/relationships/footer" Target="footer140.xml" /><Relationship Id="rId1177" Type="http://schemas.openxmlformats.org/officeDocument/2006/relationships/header" Target="header141.xml" /><Relationship Id="rId1178" Type="http://schemas.openxmlformats.org/officeDocument/2006/relationships/footer" Target="footer141.xml" /><Relationship Id="rId1179" Type="http://schemas.openxmlformats.org/officeDocument/2006/relationships/hyperlink" Target="https://advance.lexis.com/api/document?collection=cases-ca&amp;id=urn:contentItem:5F7T-S7D1-JXG3-X0W7-00000-00&amp;context=" TargetMode="External" /><Relationship Id="rId118" Type="http://schemas.openxmlformats.org/officeDocument/2006/relationships/hyperlink" Target="https://advance.lexis.com/api/document?collection=cases-ca&amp;id=urn:contentItem:5F7T-S771-F81W-2293-00000-00&amp;context=" TargetMode="External" /><Relationship Id="rId1180" Type="http://schemas.openxmlformats.org/officeDocument/2006/relationships/hyperlink" Target="https://advance.lexis.com/api/document?collection=cases-ca&amp;id=urn:contentItem:5F7T-S7C1-JXG3-X02B-00000-00&amp;context=" TargetMode="External" /><Relationship Id="rId1181" Type="http://schemas.openxmlformats.org/officeDocument/2006/relationships/hyperlink" Target="https://advance.lexis.com/api/document?collection=cases-ca&amp;id=urn:contentItem:5F7T-S761-JX8W-M2PV-00000-00&amp;context=" TargetMode="External" /><Relationship Id="rId1182" Type="http://schemas.openxmlformats.org/officeDocument/2006/relationships/hyperlink" Target="https://advance.lexis.com/api/document?collection=cases-ca&amp;id=urn:contentItem:5F7T-S7C1-JS0R-2276-00000-00&amp;context=" TargetMode="External" /><Relationship Id="rId1183" Type="http://schemas.openxmlformats.org/officeDocument/2006/relationships/hyperlink" Target="https://advance.lexis.com/api/document?collection=cases-ca&amp;id=urn:contentItem:5F7T-S751-JP4G-61DK-00000-00&amp;context=" TargetMode="External" /><Relationship Id="rId1184" Type="http://schemas.openxmlformats.org/officeDocument/2006/relationships/hyperlink" Target="https://advance.lexis.com/api/document?collection=cases-ca&amp;id=urn:contentItem:5F7T-S7D1-FCSB-S31X-00000-00&amp;context=" TargetMode="External" /><Relationship Id="rId1185" Type="http://schemas.openxmlformats.org/officeDocument/2006/relationships/hyperlink" Target="https://advance.lexis.com/api/document?collection=cases-ca&amp;id=urn:contentItem:5F7T-S781-JSC5-M3W1-00000-00&amp;context=" TargetMode="External" /><Relationship Id="rId1186" Type="http://schemas.openxmlformats.org/officeDocument/2006/relationships/hyperlink" Target="https://advance.lexis.com/api/document?collection=cases-ca&amp;id=urn:contentItem:5F7T-S741-F57G-S1S9-00000-00&amp;context=" TargetMode="External" /><Relationship Id="rId1187" Type="http://schemas.openxmlformats.org/officeDocument/2006/relationships/hyperlink" Target="https://advance.lexis.com/api/document?collection=cases-ca&amp;id=urn:contentItem:5F7T-S7D1-JN6B-S119-00000-00&amp;context=" TargetMode="External" /><Relationship Id="rId1188" Type="http://schemas.openxmlformats.org/officeDocument/2006/relationships/header" Target="header142.xml" /><Relationship Id="rId1189" Type="http://schemas.openxmlformats.org/officeDocument/2006/relationships/header" Target="header143.xml" /><Relationship Id="rId119" Type="http://schemas.openxmlformats.org/officeDocument/2006/relationships/hyperlink" Target="https://advance.lexis.com/api/document?collection=cases-ca&amp;id=urn:contentItem:5F82-1SF1-K054-G435-00000-00&amp;context=" TargetMode="External" /><Relationship Id="rId1190" Type="http://schemas.openxmlformats.org/officeDocument/2006/relationships/footer" Target="footer142.xml" /><Relationship Id="rId1191" Type="http://schemas.openxmlformats.org/officeDocument/2006/relationships/footer" Target="footer143.xml" /><Relationship Id="rId1192" Type="http://schemas.openxmlformats.org/officeDocument/2006/relationships/header" Target="header144.xml" /><Relationship Id="rId1193" Type="http://schemas.openxmlformats.org/officeDocument/2006/relationships/footer" Target="footer144.xml" /><Relationship Id="rId1194" Type="http://schemas.openxmlformats.org/officeDocument/2006/relationships/hyperlink" Target="https://advance.lexis.com/api/document?collection=cases-ca&amp;id=urn:contentItem:5F7T-S7G1-JBT7-X3JH-00000-00&amp;context=" TargetMode="External" /><Relationship Id="rId1195" Type="http://schemas.openxmlformats.org/officeDocument/2006/relationships/hyperlink" Target="https://advance.lexis.com/api/document?collection=cases-ca&amp;id=urn:contentItem:5K6Y-81M1-DXHD-G2BH-00000-00&amp;context=" TargetMode="External" /><Relationship Id="rId1196" Type="http://schemas.openxmlformats.org/officeDocument/2006/relationships/hyperlink" Target="https://advance.lexis.com/api/document?collection=legislation-ca&amp;id=urn:contentItem:5F41-1FG1-JJYN-B03C-00000-00&amp;context=" TargetMode="External" /><Relationship Id="rId1197" Type="http://schemas.openxmlformats.org/officeDocument/2006/relationships/hyperlink" Target="https://advance.lexis.com/api/document?collection=cases-ca&amp;id=urn:contentItem:5F7T-S7B1-FH4C-X3NJ-00000-00&amp;context=" TargetMode="External" /><Relationship Id="rId1198" Type="http://schemas.openxmlformats.org/officeDocument/2006/relationships/hyperlink" Target="https://advance.lexis.com/api/document?collection=cases-ca&amp;id=urn:contentItem:5F7T-S7C1-F4NT-X3NB-00000-00&amp;context=" TargetMode="External" /><Relationship Id="rId1199" Type="http://schemas.openxmlformats.org/officeDocument/2006/relationships/hyperlink" Target="https://advance.lexis.com/api/document?collection=cases-ca&amp;id=urn:contentItem:5F7T-S7C1-JXG3-X0GW-00000-00&amp;context=" TargetMode="External" /><Relationship Id="rId12" Type="http://schemas.openxmlformats.org/officeDocument/2006/relationships/hyperlink" Target="https://advance.lexis.com/api/document?collection=cases-ca&amp;id=urn:contentItem:5F7T-S6V1-JFKM-6133-00000-00&amp;context=" TargetMode="External" /><Relationship Id="rId120" Type="http://schemas.openxmlformats.org/officeDocument/2006/relationships/hyperlink" Target="https://advance.lexis.com/api/document?collection=cases-ca&amp;id=urn:contentItem:5F7T-S771-F81W-2294-00000-00&amp;context=" TargetMode="External" /><Relationship Id="rId1200" Type="http://schemas.openxmlformats.org/officeDocument/2006/relationships/hyperlink" Target="https://advance.lexis.com/api/document?collection=cases-ca&amp;id=urn:contentItem:5F7T-S701-JJYN-B2DT-00000-00&amp;context=" TargetMode="External" /><Relationship Id="rId1201" Type="http://schemas.openxmlformats.org/officeDocument/2006/relationships/hyperlink" Target="https://advance.lexis.com/api/document?collection=cases-ca&amp;id=urn:contentItem:5F7T-S7F1-DXWW-23CH-00000-00&amp;context=" TargetMode="External" /><Relationship Id="rId1202" Type="http://schemas.openxmlformats.org/officeDocument/2006/relationships/hyperlink" Target="https://advance.lexis.com/api/document?collection=cases-ca&amp;id=urn:contentItem:5F8T-N3V1-JTGH-B16R-00000-00&amp;context=" TargetMode="External" /><Relationship Id="rId1203" Type="http://schemas.openxmlformats.org/officeDocument/2006/relationships/hyperlink" Target="https://advance.lexis.com/api/document?collection=cases-ca&amp;id=urn:contentItem:5F8T-N3V1-JF75-M3GT-00000-00&amp;context=" TargetMode="External" /><Relationship Id="rId1204" Type="http://schemas.openxmlformats.org/officeDocument/2006/relationships/hyperlink" Target="https://advance.lexis.com/api/document?collection=cases-ca&amp;id=urn:contentItem:5F8T-N3V1-FC1F-M3WX-00000-00&amp;context=" TargetMode="External" /><Relationship Id="rId1205" Type="http://schemas.openxmlformats.org/officeDocument/2006/relationships/hyperlink" Target="https://advance.lexis.com/api/document?collection=cases-ca&amp;id=urn:contentItem:5F8T-N3S1-JBDT-B021-00000-00&amp;context=" TargetMode="External" /><Relationship Id="rId1206" Type="http://schemas.openxmlformats.org/officeDocument/2006/relationships/hyperlink" Target="https://advance.lexis.com/api/document?collection=cases-ca&amp;id=urn:contentItem:5F8T-N3V1-JF75-M3MF-00000-00&amp;context=" TargetMode="External" /><Relationship Id="rId1207" Type="http://schemas.openxmlformats.org/officeDocument/2006/relationships/hyperlink" Target="https://advance.lexis.com/api/document?collection=cases-ca&amp;id=urn:contentItem:5F8T-N3S1-JBDT-B087-00000-00&amp;context=" TargetMode="External" /><Relationship Id="rId1208" Type="http://schemas.openxmlformats.org/officeDocument/2006/relationships/hyperlink" Target="https://advance.lexis.com/api/document?collection=cases-ca&amp;id=urn:contentItem:5F81-VJX1-FGY5-M380-00000-00&amp;context=" TargetMode="External" /><Relationship Id="rId1209" Type="http://schemas.openxmlformats.org/officeDocument/2006/relationships/hyperlink" Target="https://advance.lexis.com/api/document?collection=cases-ca&amp;id=urn:contentItem:5F7T-S781-JC5P-G1HX-00000-00&amp;context=" TargetMode="External" /><Relationship Id="rId121" Type="http://schemas.openxmlformats.org/officeDocument/2006/relationships/hyperlink" Target="https://advance.lexis.com/api/document?collection=cases-ca&amp;id=urn:contentItem:5F8T-N3S1-JBDT-B09R-00000-00&amp;context=" TargetMode="External" /><Relationship Id="rId1210" Type="http://schemas.openxmlformats.org/officeDocument/2006/relationships/header" Target="header145.xml" /><Relationship Id="rId1211" Type="http://schemas.openxmlformats.org/officeDocument/2006/relationships/header" Target="header146.xml" /><Relationship Id="rId1212" Type="http://schemas.openxmlformats.org/officeDocument/2006/relationships/footer" Target="footer145.xml" /><Relationship Id="rId1213" Type="http://schemas.openxmlformats.org/officeDocument/2006/relationships/footer" Target="footer146.xml" /><Relationship Id="rId1214" Type="http://schemas.openxmlformats.org/officeDocument/2006/relationships/header" Target="header147.xml" /><Relationship Id="rId1215" Type="http://schemas.openxmlformats.org/officeDocument/2006/relationships/footer" Target="footer147.xml" /><Relationship Id="rId1216" Type="http://schemas.openxmlformats.org/officeDocument/2006/relationships/hyperlink" Target="https://advance.lexis.com/api/document?collection=cases-ca&amp;id=urn:contentItem:5K6X-JJV1-JB2B-S031-00000-00&amp;context=" TargetMode="External" /><Relationship Id="rId1217" Type="http://schemas.openxmlformats.org/officeDocument/2006/relationships/hyperlink" Target="https://advance.lexis.com/api/document?collection=cases-ca&amp;id=urn:contentItem:5F7T-S7M1-F4W2-621B-00000-00&amp;context=" TargetMode="External" /><Relationship Id="rId1218" Type="http://schemas.openxmlformats.org/officeDocument/2006/relationships/hyperlink" Target="https://advance.lexis.com/api/document?collection=cases-ca&amp;id=urn:contentItem:5F8T-N3T1-JJSF-2339-00000-00&amp;context=" TargetMode="External" /><Relationship Id="rId1219" Type="http://schemas.openxmlformats.org/officeDocument/2006/relationships/hyperlink" Target="https://advance.lexis.com/api/document?collection=cases-ca&amp;id=urn:contentItem:5F8T-N3V1-FC1F-M44F-00000-00&amp;context=" TargetMode="External" /><Relationship Id="rId122" Type="http://schemas.openxmlformats.org/officeDocument/2006/relationships/hyperlink" Target="https://advance.lexis.com/api/document?collection=cases-ca&amp;id=urn:contentItem:5F81-VJX1-JKPJ-G1YC-00000-00&amp;context=" TargetMode="External" /><Relationship Id="rId1220" Type="http://schemas.openxmlformats.org/officeDocument/2006/relationships/hyperlink" Target="https://advance.lexis.com/api/document?collection=cases-ca&amp;id=urn:contentItem:5F16-9371-F27X-61JF-00000-00&amp;context=" TargetMode="External" /><Relationship Id="rId1221" Type="http://schemas.openxmlformats.org/officeDocument/2006/relationships/hyperlink" Target="https://advance.lexis.com/api/document?collection=cases-ca&amp;id=urn:contentItem:5F7T-S7G1-F5KY-B1HF-00000-00&amp;context=" TargetMode="External" /><Relationship Id="rId1222" Type="http://schemas.openxmlformats.org/officeDocument/2006/relationships/hyperlink" Target="https://advance.lexis.com/api/document?collection=cases-ca&amp;id=urn:contentItem:5F7T-S7B1-FH4C-X3GF-00000-00&amp;context=" TargetMode="External" /><Relationship Id="rId1223" Type="http://schemas.openxmlformats.org/officeDocument/2006/relationships/hyperlink" Target="https://advance.lexis.com/api/document?collection=cases-ca&amp;id=urn:contentItem:5F8T-N3V1-JTGH-B1H4-00000-00&amp;context=" TargetMode="External" /><Relationship Id="rId1224" Type="http://schemas.openxmlformats.org/officeDocument/2006/relationships/hyperlink" Target="https://advance.lexis.com/api/document?collection=cases-ca&amp;id=urn:contentItem:5F7T-S7H1-JFSV-G38X-00000-00&amp;context=" TargetMode="External" /><Relationship Id="rId1225" Type="http://schemas.openxmlformats.org/officeDocument/2006/relationships/header" Target="header148.xml" /><Relationship Id="rId1226" Type="http://schemas.openxmlformats.org/officeDocument/2006/relationships/header" Target="header149.xml" /><Relationship Id="rId1227" Type="http://schemas.openxmlformats.org/officeDocument/2006/relationships/footer" Target="footer148.xml" /><Relationship Id="rId1228" Type="http://schemas.openxmlformats.org/officeDocument/2006/relationships/footer" Target="footer149.xml" /><Relationship Id="rId1229" Type="http://schemas.openxmlformats.org/officeDocument/2006/relationships/header" Target="header150.xml" /><Relationship Id="rId123" Type="http://schemas.openxmlformats.org/officeDocument/2006/relationships/hyperlink" Target="https://advance.lexis.com/api/document?collection=cases-ca&amp;id=urn:contentItem:5F7T-S7F1-DXWW-2489-00000-00&amp;context=" TargetMode="External" /><Relationship Id="rId1230" Type="http://schemas.openxmlformats.org/officeDocument/2006/relationships/footer" Target="footer150.xml" /><Relationship Id="rId1231" Type="http://schemas.openxmlformats.org/officeDocument/2006/relationships/hyperlink" Target="https://advance.lexis.com/api/document?collection=cases-ca&amp;id=urn:contentItem:5F7T-S7C1-JCJ5-20TX-00000-00&amp;context=" TargetMode="External" /><Relationship Id="rId1232" Type="http://schemas.openxmlformats.org/officeDocument/2006/relationships/hyperlink" Target="https://advance.lexis.com/api/document?collection=cases-ca&amp;id=urn:contentItem:5F7T-S781-DYMS-61GK-00000-00&amp;context=" TargetMode="External" /><Relationship Id="rId1233" Type="http://schemas.openxmlformats.org/officeDocument/2006/relationships/hyperlink" Target="https://advance.lexis.com/api/document?collection=cases-ca&amp;id=urn:contentItem:5F7T-S741-FJM6-61JD-00000-00&amp;context=" TargetMode="External" /><Relationship Id="rId1234" Type="http://schemas.openxmlformats.org/officeDocument/2006/relationships/hyperlink" Target="https://advance.lexis.com/api/document?collection=cases-ca&amp;id=urn:contentItem:5F7T-S711-F5KY-B10P-00000-00&amp;context=" TargetMode="External" /><Relationship Id="rId1235" Type="http://schemas.openxmlformats.org/officeDocument/2006/relationships/hyperlink" Target="https://advance.lexis.com/api/document?collection=cases-ca&amp;id=urn:contentItem:5F7T-S701-JJ6S-61J5-00000-00&amp;context=" TargetMode="External" /><Relationship Id="rId1236" Type="http://schemas.openxmlformats.org/officeDocument/2006/relationships/hyperlink" Target="https://advance.lexis.com/api/document?collection=cases-ca&amp;id=urn:contentItem:5F8T-N3V1-FC1F-M428-00000-00&amp;context=" TargetMode="External" /><Relationship Id="rId1237" Type="http://schemas.openxmlformats.org/officeDocument/2006/relationships/hyperlink" Target="https://advance.lexis.com/api/document?collection=cases-ca&amp;id=urn:contentItem:5F7T-S781-JSC5-M421-00000-00&amp;context=" TargetMode="External" /><Relationship Id="rId1238" Type="http://schemas.openxmlformats.org/officeDocument/2006/relationships/numbering" Target="numbering.xml" /><Relationship Id="rId1239" Type="http://schemas.openxmlformats.org/officeDocument/2006/relationships/styles" Target="styles.xml" /><Relationship Id="rId124" Type="http://schemas.openxmlformats.org/officeDocument/2006/relationships/hyperlink" Target="https://advance.lexis.com/api/document?collection=cases-ca&amp;id=urn:contentItem:5F7T-S7D1-DY89-M40X-00000-00&amp;context=" TargetMode="External" /><Relationship Id="rId125" Type="http://schemas.openxmlformats.org/officeDocument/2006/relationships/hyperlink" Target="https://advance.lexis.com/api/document?collection=cases-ca&amp;id=urn:contentItem:5F7T-S6Y1-DY33-B0F6-00000-00&amp;context=" TargetMode="External" /><Relationship Id="rId126" Type="http://schemas.openxmlformats.org/officeDocument/2006/relationships/hyperlink" Target="https://advance.lexis.com/api/document?collection=cases-ca&amp;id=urn:contentItem:5F8T-N3V1-JTGH-B19N-00000-00&amp;context=" TargetMode="External" /><Relationship Id="rId127" Type="http://schemas.openxmlformats.org/officeDocument/2006/relationships/hyperlink" Target="https://advance.lexis.com/api/document?collection=cases-ca&amp;id=urn:contentItem:5F7T-S771-JN14-G2C3-00000-00&amp;context=" TargetMode="External" /><Relationship Id="rId128" Type="http://schemas.openxmlformats.org/officeDocument/2006/relationships/hyperlink" Target="https://advance.lexis.com/api/document?collection=cases-ca&amp;id=urn:contentItem:5F7T-S741-F2F4-G262-00000-00&amp;context=" TargetMode="External" /><Relationship Id="rId129" Type="http://schemas.openxmlformats.org/officeDocument/2006/relationships/hyperlink" Target="https://advance.lexis.com/api/document?collection=cases-ca&amp;id=urn:contentItem:5F7T-S751-F361-M0WH-00000-00&amp;context=" TargetMode="External" /><Relationship Id="rId13" Type="http://schemas.openxmlformats.org/officeDocument/2006/relationships/hyperlink" Target="https://advance.lexis.com/api/document?collection=cases-ca&amp;id=urn:contentItem:5F7T-S7G1-JPP5-21XD-00000-00&amp;context=" TargetMode="External" /><Relationship Id="rId130" Type="http://schemas.openxmlformats.org/officeDocument/2006/relationships/hyperlink" Target="https://advance.lexis.com/api/document?collection=cases-ca&amp;id=urn:contentItem:5F8N-K711-FJM6-64CJ-00000-00&amp;context=" TargetMode="External" /><Relationship Id="rId131" Type="http://schemas.openxmlformats.org/officeDocument/2006/relationships/hyperlink" Target="https://advance.lexis.com/api/document?collection=cases-ca&amp;id=urn:contentItem:5F8N-K711-F1P7-B3BN-00000-00&amp;context=" TargetMode="External" /><Relationship Id="rId132" Type="http://schemas.openxmlformats.org/officeDocument/2006/relationships/hyperlink" Target="https://advance.lexis.com/api/document?collection=cases-ca&amp;id=urn:contentItem:5F7T-S7G1-JNY7-X3VP-00000-00&amp;context=" TargetMode="External" /><Relationship Id="rId133" Type="http://schemas.openxmlformats.org/officeDocument/2006/relationships/hyperlink" Target="https://advance.lexis.com/api/document?collection=cases-ca&amp;id=urn:contentItem:5F8T-N3V1-FC1F-M4DX-00000-00&amp;context=" TargetMode="External" /><Relationship Id="rId134" Type="http://schemas.openxmlformats.org/officeDocument/2006/relationships/hyperlink" Target="https://advance.lexis.com/api/document?collection=cases-ca&amp;id=urn:contentItem:5F8T-N3V1-JFKM-60BM-00000-00&amp;context=" TargetMode="External" /><Relationship Id="rId135" Type="http://schemas.openxmlformats.org/officeDocument/2006/relationships/hyperlink" Target="https://advance.lexis.com/api/document?collection=legislation-ca&amp;id=urn:contentItem:5VYK-4RY1-JKB3-X1CT-00000-00&amp;context=" TargetMode="External" /><Relationship Id="rId136" Type="http://schemas.openxmlformats.org/officeDocument/2006/relationships/hyperlink" Target="https://advance.lexis.com/api/document?collection=legislation-ca&amp;id=urn:contentItem:5F41-1FG1-FC1F-M0TW-00000-00&amp;context=" TargetMode="External" /><Relationship Id="rId137" Type="http://schemas.openxmlformats.org/officeDocument/2006/relationships/header" Target="header25.xml" /><Relationship Id="rId138" Type="http://schemas.openxmlformats.org/officeDocument/2006/relationships/header" Target="header26.xml" /><Relationship Id="rId139" Type="http://schemas.openxmlformats.org/officeDocument/2006/relationships/footer" Target="footer25.xml" /><Relationship Id="rId14" Type="http://schemas.openxmlformats.org/officeDocument/2006/relationships/hyperlink" Target="https://advance.lexis.com/api/document?collection=cases-ca&amp;id=urn:contentItem:5F7T-S7F1-FBN1-21XK-00000-00&amp;context=" TargetMode="External" /><Relationship Id="rId140" Type="http://schemas.openxmlformats.org/officeDocument/2006/relationships/footer" Target="footer26.xml" /><Relationship Id="rId141" Type="http://schemas.openxmlformats.org/officeDocument/2006/relationships/header" Target="header27.xml" /><Relationship Id="rId142" Type="http://schemas.openxmlformats.org/officeDocument/2006/relationships/footer" Target="footer27.xml" /><Relationship Id="rId143" Type="http://schemas.openxmlformats.org/officeDocument/2006/relationships/hyperlink" Target="https://advance.lexis.com/api/document?collection=cases-ca&amp;id=urn:contentItem:5F7T-S7P1-JCRC-B29K-00000-00&amp;context=" TargetMode="External" /><Relationship Id="rId144" Type="http://schemas.openxmlformats.org/officeDocument/2006/relationships/hyperlink" Target="https://advance.lexis.com/api/document?collection=cases-ca&amp;id=urn:contentItem:5F7T-S761-FFMK-M15W-00000-00&amp;context=" TargetMode="External" /><Relationship Id="rId145" Type="http://schemas.openxmlformats.org/officeDocument/2006/relationships/hyperlink" Target="https://advance.lexis.com/api/document?collection=cases-ca&amp;id=urn:contentItem:5F8T-N3V1-FH4C-X1XK-00000-00&amp;context=" TargetMode="External" /><Relationship Id="rId146" Type="http://schemas.openxmlformats.org/officeDocument/2006/relationships/hyperlink" Target="https://advance.lexis.com/api/document?collection=cases-ca&amp;id=urn:contentItem:5F7T-S7K1-JKHB-631H-00000-00&amp;context=" TargetMode="External" /><Relationship Id="rId147" Type="http://schemas.openxmlformats.org/officeDocument/2006/relationships/hyperlink" Target="https://advance.lexis.com/api/document?collection=cases-ca&amp;id=urn:contentItem:5F7T-S7F1-JFKM-61VX-00000-00&amp;context=" TargetMode="External" /><Relationship Id="rId148" Type="http://schemas.openxmlformats.org/officeDocument/2006/relationships/hyperlink" Target="https://advance.lexis.com/api/document?collection=cases-ca&amp;id=urn:contentItem:5F7T-S771-JJD0-G1JV-00000-00&amp;context=" TargetMode="External" /><Relationship Id="rId149" Type="http://schemas.openxmlformats.org/officeDocument/2006/relationships/hyperlink" Target="https://advance.lexis.com/api/document?collection=cases-ca&amp;id=urn:contentItem:5F8T-N3V1-JTGH-B1GX-00000-00&amp;context=" TargetMode="External" /><Relationship Id="rId15" Type="http://schemas.openxmlformats.org/officeDocument/2006/relationships/hyperlink" Target="https://advance.lexis.com/api/document?collection=cases-ca&amp;id=urn:contentItem:5F7T-S7G1-JWR6-S1K1-00000-00&amp;context=" TargetMode="External" /><Relationship Id="rId150" Type="http://schemas.openxmlformats.org/officeDocument/2006/relationships/hyperlink" Target="https://advance.lexis.com/api/document?collection=cases-ca&amp;id=urn:contentItem:5F7T-S6T1-K054-G10J-00000-00&amp;context=" TargetMode="External" /><Relationship Id="rId151" Type="http://schemas.openxmlformats.org/officeDocument/2006/relationships/hyperlink" Target="https://advance.lexis.com/api/document?collection=cases-ca&amp;id=urn:contentItem:5F7T-S6T1-F528-G0XR-00000-00&amp;context=" TargetMode="External" /><Relationship Id="rId152" Type="http://schemas.openxmlformats.org/officeDocument/2006/relationships/hyperlink" Target="https://advance.lexis.com/api/document?collection=cases-ca&amp;id=urn:contentItem:5F8T-N3V1-JTGH-B1GJ-00000-00&amp;context=" TargetMode="External" /><Relationship Id="rId153" Type="http://schemas.openxmlformats.org/officeDocument/2006/relationships/hyperlink" Target="https://advance.lexis.com/api/document?collection=cases-ca&amp;id=urn:contentItem:5F8T-N3T1-JGHR-M27Y-00000-00&amp;context=" TargetMode="External" /><Relationship Id="rId154" Type="http://schemas.openxmlformats.org/officeDocument/2006/relationships/hyperlink" Target="https://advance.lexis.com/api/document?collection=cases-ca&amp;id=urn:contentItem:5F7T-S741-F7VM-S34P-00000-00&amp;context=" TargetMode="External" /><Relationship Id="rId155" Type="http://schemas.openxmlformats.org/officeDocument/2006/relationships/hyperlink" Target="https://advance.lexis.com/api/document?collection=cases-ca&amp;id=urn:contentItem:5F8T-N3V1-JTGH-B1HX-00000-00&amp;context=" TargetMode="External" /><Relationship Id="rId156" Type="http://schemas.openxmlformats.org/officeDocument/2006/relationships/hyperlink" Target="https://advance.lexis.com/api/document?collection=cases-ca&amp;id=urn:contentItem:5F7T-S7N1-JJ1H-X2XK-00000-00&amp;context=" TargetMode="External" /><Relationship Id="rId157" Type="http://schemas.openxmlformats.org/officeDocument/2006/relationships/hyperlink" Target="https://advance.lexis.com/api/document?collection=cases-ca&amp;id=urn:contentItem:5F7T-S7H1-JCRC-B16V-00000-00&amp;context=" TargetMode="External" /><Relationship Id="rId158" Type="http://schemas.openxmlformats.org/officeDocument/2006/relationships/hyperlink" Target="https://advance.lexis.com/api/document?collection=cases-ca&amp;id=urn:contentItem:5F7T-S7H1-JS5Y-B32J-00000-00&amp;context=" TargetMode="External" /><Relationship Id="rId159" Type="http://schemas.openxmlformats.org/officeDocument/2006/relationships/hyperlink" Target="https://advance.lexis.com/api/document?collection=cases-ca&amp;id=urn:contentItem:5F7T-S7C1-JXG3-X0KH-00000-00&amp;context=" TargetMode="External" /><Relationship Id="rId16" Type="http://schemas.openxmlformats.org/officeDocument/2006/relationships/hyperlink" Target="https://advance.lexis.com/api/document?collection=cases-ca&amp;id=urn:contentItem:5F7T-S7F1-FFFC-B21C-00000-00&amp;context=" TargetMode="External" /><Relationship Id="rId160" Type="http://schemas.openxmlformats.org/officeDocument/2006/relationships/hyperlink" Target="https://advance.lexis.com/api/document?collection=cases-ca&amp;id=urn:contentItem:5F7T-S771-F361-M1HH-00000-00&amp;context=" TargetMode="External" /><Relationship Id="rId161" Type="http://schemas.openxmlformats.org/officeDocument/2006/relationships/hyperlink" Target="https://advance.lexis.com/api/document?collection=cases-ca&amp;id=urn:contentItem:5F8T-N3T1-JJSF-238R-00000-00&amp;context=" TargetMode="External" /><Relationship Id="rId162" Type="http://schemas.openxmlformats.org/officeDocument/2006/relationships/header" Target="header28.xml" /><Relationship Id="rId163" Type="http://schemas.openxmlformats.org/officeDocument/2006/relationships/header" Target="header29.xml" /><Relationship Id="rId164" Type="http://schemas.openxmlformats.org/officeDocument/2006/relationships/footer" Target="footer28.xml" /><Relationship Id="rId165" Type="http://schemas.openxmlformats.org/officeDocument/2006/relationships/footer" Target="footer29.xml" /><Relationship Id="rId166" Type="http://schemas.openxmlformats.org/officeDocument/2006/relationships/header" Target="header30.xml" /><Relationship Id="rId167" Type="http://schemas.openxmlformats.org/officeDocument/2006/relationships/footer" Target="footer30.xml" /><Relationship Id="rId168" Type="http://schemas.openxmlformats.org/officeDocument/2006/relationships/hyperlink" Target="https://advance.lexis.com/api/document?collection=cases-ca&amp;id=urn:contentItem:5F7T-S7D1-JG02-S35X-00000-00&amp;context=" TargetMode="External" /><Relationship Id="rId169" Type="http://schemas.openxmlformats.org/officeDocument/2006/relationships/hyperlink" Target="https://advance.lexis.com/api/document?collection=legislation-ca&amp;id=urn:contentItem:5F41-1FJ1-JBDT-B066-00000-00&amp;context=" TargetMode="External" /><Relationship Id="rId17" Type="http://schemas.openxmlformats.org/officeDocument/2006/relationships/header" Target="header4.xml" /><Relationship Id="rId170" Type="http://schemas.openxmlformats.org/officeDocument/2006/relationships/hyperlink" Target="https://advance.lexis.com/api/document?collection=cases-ca&amp;id=urn:contentItem:5F7T-S711-JB2B-S0W5-00000-00&amp;context=" TargetMode="External" /><Relationship Id="rId171" Type="http://schemas.openxmlformats.org/officeDocument/2006/relationships/hyperlink" Target="https://advance.lexis.com/api/document?collection=cases-ca&amp;id=urn:contentItem:5F7T-S7H1-JFKM-62NK-00000-00&amp;context=" TargetMode="External" /><Relationship Id="rId172" Type="http://schemas.openxmlformats.org/officeDocument/2006/relationships/hyperlink" Target="https://advance.lexis.com/api/document?collection=cases-ca&amp;id=urn:contentItem:5F7T-S6Y1-F65M-6050-00000-00&amp;context=" TargetMode="External" /><Relationship Id="rId173" Type="http://schemas.openxmlformats.org/officeDocument/2006/relationships/hyperlink" Target="https://advance.lexis.com/api/document?collection=cases-ca&amp;id=urn:contentItem:5F7T-S6W1-F4GK-M1J6-00000-00&amp;context="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eader" Target="header5.xml" /><Relationship Id="rId180" Type="http://schemas.openxmlformats.org/officeDocument/2006/relationships/hyperlink" Target="https://advance.lexis.com/api/document?collection=cases-ca&amp;id=urn:contentItem:5F7T-S7N1-DXWW-2063-00000-00&amp;context="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cases-ca&amp;id=urn:contentItem:5F7T-S7H1-F4GK-M34Y-00000-00&amp;context=" TargetMode="External" /><Relationship Id="rId188" Type="http://schemas.openxmlformats.org/officeDocument/2006/relationships/hyperlink" Target="https://advance.lexis.com/api/document?collection=cases-ca&amp;id=urn:contentItem:5K6Y-81M1-DXHD-G2B6-00000-00&amp;context=" TargetMode="External" /><Relationship Id="rId189" Type="http://schemas.openxmlformats.org/officeDocument/2006/relationships/hyperlink" Target="https://advance.lexis.com/api/document?collection=cases-ca&amp;id=urn:contentItem:5F7T-S6V1-JC0G-62DS-00000-00&amp;context=" TargetMode="External" /><Relationship Id="rId19" Type="http://schemas.openxmlformats.org/officeDocument/2006/relationships/footer" Target="footer4.xml" /><Relationship Id="rId190" Type="http://schemas.openxmlformats.org/officeDocument/2006/relationships/hyperlink" Target="https://advance.lexis.com/api/document?collection=cases-ca&amp;id=urn:contentItem:5F7T-S701-JJYN-B2SC-00000-00&amp;context=" TargetMode="External" /><Relationship Id="rId191" Type="http://schemas.openxmlformats.org/officeDocument/2006/relationships/hyperlink" Target="https://advance.lexis.com/api/document?collection=cases-ca&amp;id=urn:contentItem:5F7T-S701-JJ6S-61H1-00000-00&amp;context=" TargetMode="External" /><Relationship Id="rId192" Type="http://schemas.openxmlformats.org/officeDocument/2006/relationships/hyperlink" Target="https://advance.lexis.com/api/document?collection=cases-ca&amp;id=urn:contentItem:5F7T-S721-F4NT-X2G1-00000-00&amp;context=" TargetMode="External" /><Relationship Id="rId193" Type="http://schemas.openxmlformats.org/officeDocument/2006/relationships/hyperlink" Target="https://advance.lexis.com/api/document?collection=cases-ca&amp;id=urn:contentItem:5F7T-S761-JX8W-M32H-00000-00&amp;context=" TargetMode="External" /><Relationship Id="rId194" Type="http://schemas.openxmlformats.org/officeDocument/2006/relationships/hyperlink" Target="https://advance.lexis.com/api/document?collection=cases-ca&amp;id=urn:contentItem:5F7T-S751-FJDY-X3N1-00000-00&amp;context=" TargetMode="External" /><Relationship Id="rId195" Type="http://schemas.openxmlformats.org/officeDocument/2006/relationships/hyperlink" Target="https://advance.lexis.com/api/document?collection=cases-ca&amp;id=urn:contentItem:5F7T-S721-F5T5-M232-00000-00&amp;context=" TargetMode="External" /><Relationship Id="rId196" Type="http://schemas.openxmlformats.org/officeDocument/2006/relationships/hyperlink" Target="https://advance.lexis.com/api/document?collection=cases-ca&amp;id=urn:contentItem:5F7T-S731-JC0G-63DC-00000-00&amp;context=" TargetMode="External" /><Relationship Id="rId197" Type="http://schemas.openxmlformats.org/officeDocument/2006/relationships/hyperlink" Target="https://advance.lexis.com/api/document?collection=cases-ca&amp;id=urn:contentItem:5F7T-S731-FFFC-B0N3-00000-00&amp;context=" TargetMode="External" /><Relationship Id="rId198" Type="http://schemas.openxmlformats.org/officeDocument/2006/relationships/hyperlink" Target="https://advance.lexis.com/api/document?collection=cases-ca&amp;id=urn:contentItem:5F7T-S751-JP4G-611N-00000-00&amp;context=" TargetMode="External" /><Relationship Id="rId199" Type="http://schemas.openxmlformats.org/officeDocument/2006/relationships/hyperlink" Target="https://advance.lexis.com/api/document?collection=cases-ca&amp;id=urn:contentItem:5F7T-S761-F81W-2226-00000-00&amp;context=" TargetMode="Externa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yperlink" Target="https://advance.lexis.com/api/document?collection=cases-ca&amp;id=urn:contentItem:5F7T-S751-JBM1-M2K2-00000-00&amp;context=" TargetMode="External" /><Relationship Id="rId201" Type="http://schemas.openxmlformats.org/officeDocument/2006/relationships/hyperlink" Target="https://advance.lexis.com/api/document?collection=cases-ca&amp;id=urn:contentItem:5F7T-S7G1-JWR6-S21H-00000-00&amp;context=" TargetMode="External" /><Relationship Id="rId202" Type="http://schemas.openxmlformats.org/officeDocument/2006/relationships/header" Target="header37.xml" /><Relationship Id="rId203" Type="http://schemas.openxmlformats.org/officeDocument/2006/relationships/header" Target="header38.xml" /><Relationship Id="rId204" Type="http://schemas.openxmlformats.org/officeDocument/2006/relationships/footer" Target="footer37.xml" /><Relationship Id="rId205" Type="http://schemas.openxmlformats.org/officeDocument/2006/relationships/footer" Target="footer38.xml" /><Relationship Id="rId206" Type="http://schemas.openxmlformats.org/officeDocument/2006/relationships/header" Target="header39.xml" /><Relationship Id="rId207" Type="http://schemas.openxmlformats.org/officeDocument/2006/relationships/footer" Target="footer39.xml" /><Relationship Id="rId208" Type="http://schemas.openxmlformats.org/officeDocument/2006/relationships/hyperlink" Target="https://advance.lexis.com/api/document?collection=cases-ca&amp;id=urn:contentItem:5F7T-S771-F81W-22BS-00000-00&amp;context=" TargetMode="External" /><Relationship Id="rId209" Type="http://schemas.openxmlformats.org/officeDocument/2006/relationships/hyperlink" Target="https://advance.lexis.com/api/document?collection=cases-ca&amp;id=urn:contentItem:5F7T-S6X1-F06F-22C1-00000-00&amp;context=" TargetMode="External" /><Relationship Id="rId21" Type="http://schemas.openxmlformats.org/officeDocument/2006/relationships/header" Target="header6.xml" /><Relationship Id="rId210" Type="http://schemas.openxmlformats.org/officeDocument/2006/relationships/hyperlink" Target="https://advance.lexis.com/api/document?collection=cases-ca&amp;id=urn:contentItem:5F8P-SCJ1-FGJR-23N1-00000-00&amp;context=" TargetMode="External" /><Relationship Id="rId211" Type="http://schemas.openxmlformats.org/officeDocument/2006/relationships/hyperlink" Target="https://advance.lexis.com/api/document?collection=cases-ca&amp;id=urn:contentItem:5F8T-N3V1-JFKM-6052-00000-00&amp;context=" TargetMode="External" /><Relationship Id="rId212" Type="http://schemas.openxmlformats.org/officeDocument/2006/relationships/header" Target="header40.xml" /><Relationship Id="rId213" Type="http://schemas.openxmlformats.org/officeDocument/2006/relationships/header" Target="header41.xml" /><Relationship Id="rId214" Type="http://schemas.openxmlformats.org/officeDocument/2006/relationships/footer" Target="footer40.xml" /><Relationship Id="rId215" Type="http://schemas.openxmlformats.org/officeDocument/2006/relationships/footer" Target="footer41.xml" /><Relationship Id="rId216" Type="http://schemas.openxmlformats.org/officeDocument/2006/relationships/header" Target="header42.xml" /><Relationship Id="rId217" Type="http://schemas.openxmlformats.org/officeDocument/2006/relationships/footer" Target="footer42.xml" /><Relationship Id="rId218" Type="http://schemas.openxmlformats.org/officeDocument/2006/relationships/hyperlink" Target="https://advance.lexis.com/api/document?collection=cases-ca&amp;id=urn:contentItem:5F7T-S7F1-FBN1-21CW-00000-00&amp;context=" TargetMode="External" /><Relationship Id="rId219" Type="http://schemas.openxmlformats.org/officeDocument/2006/relationships/hyperlink" Target="https://advance.lexis.com/api/document?collection=cases-ca&amp;id=urn:contentItem:5F7T-S741-F528-G21K-00000-00&amp;context=" TargetMode="External" /><Relationship Id="rId22" Type="http://schemas.openxmlformats.org/officeDocument/2006/relationships/footer" Target="footer6.xml" /><Relationship Id="rId220" Type="http://schemas.openxmlformats.org/officeDocument/2006/relationships/hyperlink" Target="https://advance.lexis.com/api/document?collection=cases-ca&amp;id=urn:contentItem:5F7T-S771-JN14-G2DF-00000-00&amp;context=" TargetMode="External" /><Relationship Id="rId221" Type="http://schemas.openxmlformats.org/officeDocument/2006/relationships/hyperlink" Target="https://advance.lexis.com/api/document?collection=cases-ca&amp;id=urn:contentItem:5F7T-S7D1-JXG3-X0P1-00000-00&amp;context=" TargetMode="External" /><Relationship Id="rId222" Type="http://schemas.openxmlformats.org/officeDocument/2006/relationships/hyperlink" Target="https://advance.lexis.com/api/document?collection=cases-ca&amp;id=urn:contentItem:5F7T-S6T1-JTNR-M2MX-00000-00&amp;context=" TargetMode="External" /><Relationship Id="rId223" Type="http://schemas.openxmlformats.org/officeDocument/2006/relationships/hyperlink" Target="https://advance.lexis.com/api/document?collection=cases-ca&amp;id=urn:contentItem:5F7T-S7D1-F7ND-G0FM-00000-00&amp;context=" TargetMode="External" /><Relationship Id="rId224" Type="http://schemas.openxmlformats.org/officeDocument/2006/relationships/hyperlink" Target="https://advance.lexis.com/api/document?collection=cases-ca&amp;id=urn:contentItem:5F7T-S7F1-JX3N-B1DM-00000-00&amp;context=" TargetMode="External" /><Relationship Id="rId225" Type="http://schemas.openxmlformats.org/officeDocument/2006/relationships/hyperlink" Target="https://advance.lexis.com/api/document?collection=cases-ca&amp;id=urn:contentItem:5F7T-S6X1-K0BB-S0F0-00000-00&amp;context=" TargetMode="External" /><Relationship Id="rId226" Type="http://schemas.openxmlformats.org/officeDocument/2006/relationships/hyperlink" Target="https://advance.lexis.com/api/document?collection=cases-ca&amp;id=urn:contentItem:5F7T-S751-JG02-S2D1-00000-00&amp;context=" TargetMode="External" /><Relationship Id="rId227" Type="http://schemas.openxmlformats.org/officeDocument/2006/relationships/hyperlink" Target="https://advance.lexis.com/api/document?collection=cases-ca&amp;id=urn:contentItem:5F7T-S771-F361-M1V9-00000-00&amp;context=" TargetMode="External" /><Relationship Id="rId228" Type="http://schemas.openxmlformats.org/officeDocument/2006/relationships/hyperlink" Target="https://advance.lexis.com/api/document?collection=cases-ca&amp;id=urn:contentItem:5F7T-S7D1-FCSB-S324-00000-00&amp;context=" TargetMode="External" /><Relationship Id="rId229" Type="http://schemas.openxmlformats.org/officeDocument/2006/relationships/hyperlink" Target="https://advance.lexis.com/api/document?collection=cases-ca&amp;id=urn:contentItem:5F7T-S7F1-FJTD-G3DS-00000-00&amp;context=" TargetMode="External" /><Relationship Id="rId23" Type="http://schemas.openxmlformats.org/officeDocument/2006/relationships/hyperlink" Target="https://advance.lexis.com/api/document?collection=cases-ca&amp;id=urn:contentItem:5F7T-S7P1-JSJC-X1C5-00000-00&amp;context=" TargetMode="External" /><Relationship Id="rId230" Type="http://schemas.openxmlformats.org/officeDocument/2006/relationships/hyperlink" Target="https://advance.lexis.com/api/document?collection=cases-ca&amp;id=urn:contentItem:5F7T-S771-JTGH-B12P-00000-00&amp;context=" TargetMode="External" /><Relationship Id="rId231" Type="http://schemas.openxmlformats.org/officeDocument/2006/relationships/hyperlink" Target="https://advance.lexis.com/api/document?collection=cases-ca&amp;id=urn:contentItem:5F7T-S7F1-JFKM-61TY-00000-00&amp;context=" TargetMode="External" /><Relationship Id="rId232" Type="http://schemas.openxmlformats.org/officeDocument/2006/relationships/hyperlink" Target="https://advance.lexis.com/api/document?collection=cases-ca&amp;id=urn:contentItem:5F7T-S7D1-JXG3-X0PB-00000-00&amp;context=" TargetMode="External" /><Relationship Id="rId233" Type="http://schemas.openxmlformats.org/officeDocument/2006/relationships/header" Target="header43.xml" /><Relationship Id="rId234" Type="http://schemas.openxmlformats.org/officeDocument/2006/relationships/header" Target="header44.xml" /><Relationship Id="rId235" Type="http://schemas.openxmlformats.org/officeDocument/2006/relationships/footer" Target="footer43.xml" /><Relationship Id="rId236" Type="http://schemas.openxmlformats.org/officeDocument/2006/relationships/footer" Target="footer44.xml" /><Relationship Id="rId237" Type="http://schemas.openxmlformats.org/officeDocument/2006/relationships/header" Target="header45.xml" /><Relationship Id="rId238" Type="http://schemas.openxmlformats.org/officeDocument/2006/relationships/footer" Target="footer45.xml" /><Relationship Id="rId239" Type="http://schemas.openxmlformats.org/officeDocument/2006/relationships/hyperlink" Target="https://advance.lexis.com/api/document?collection=cases-ca&amp;id=urn:contentItem:5F7T-S781-F7G6-63J6-00000-00&amp;context=" TargetMode="External" /><Relationship Id="rId24" Type="http://schemas.openxmlformats.org/officeDocument/2006/relationships/hyperlink" Target="https://advance.lexis.com/api/document?collection=cases-ca&amp;id=urn:contentItem:5F7T-S7K1-F1H1-223T-00000-00&amp;context=" TargetMode="External" /><Relationship Id="rId240" Type="http://schemas.openxmlformats.org/officeDocument/2006/relationships/hyperlink" Target="https://advance.lexis.com/api/document?collection=cases-ca&amp;id=urn:contentItem:5F7T-S701-F8KH-X150-00000-00&amp;context=" TargetMode="External" /><Relationship Id="rId241" Type="http://schemas.openxmlformats.org/officeDocument/2006/relationships/hyperlink" Target="https://advance.lexis.com/api/document?collection=cases-ca&amp;id=urn:contentItem:5F7T-S6Y1-JTNR-M4CY-00000-00&amp;context=" TargetMode="External" /><Relationship Id="rId242" Type="http://schemas.openxmlformats.org/officeDocument/2006/relationships/hyperlink" Target="https://advance.lexis.com/api/document?collection=cases-ca&amp;id=urn:contentItem:5F7T-S6Y1-F4GK-M1WK-00000-00&amp;context=" TargetMode="External" /><Relationship Id="rId243" Type="http://schemas.openxmlformats.org/officeDocument/2006/relationships/hyperlink" Target="https://advance.lexis.com/api/document?collection=cases-ca&amp;id=urn:contentItem:5F7T-S761-JX8W-M2W3-00000-00&amp;context=" TargetMode="External" /><Relationship Id="rId244" Type="http://schemas.openxmlformats.org/officeDocument/2006/relationships/hyperlink" Target="https://advance.lexis.com/api/document?collection=cases-ca&amp;id=urn:contentItem:5F7T-S6Y1-JP9P-G1KG-00000-00&amp;context=" TargetMode="External" /><Relationship Id="rId245" Type="http://schemas.openxmlformats.org/officeDocument/2006/relationships/hyperlink" Target="https://advance.lexis.com/api/document?collection=cases-ca&amp;id=urn:contentItem:5F16-9341-DY33-B493-00000-00&amp;context=" TargetMode="External" /><Relationship Id="rId246" Type="http://schemas.openxmlformats.org/officeDocument/2006/relationships/hyperlink" Target="https://advance.lexis.com/api/document?collection=cases-ca&amp;id=urn:contentItem:5F7T-S741-DXPM-S0VK-00000-00&amp;context=" TargetMode="External" /><Relationship Id="rId247" Type="http://schemas.openxmlformats.org/officeDocument/2006/relationships/hyperlink" Target="https://advance.lexis.com/api/document?collection=cases-ca&amp;id=urn:contentItem:5F7T-S721-JSC5-M3JG-00000-00&amp;context=" TargetMode="External" /><Relationship Id="rId248" Type="http://schemas.openxmlformats.org/officeDocument/2006/relationships/hyperlink" Target="https://advance.lexis.com/api/document?collection=cases-ca&amp;id=urn:contentItem:5F7V-3DK1-FCYK-23X9-00000-00&amp;context=" TargetMode="External" /><Relationship Id="rId249" Type="http://schemas.openxmlformats.org/officeDocument/2006/relationships/header" Target="header46.xml" /><Relationship Id="rId25" Type="http://schemas.openxmlformats.org/officeDocument/2006/relationships/hyperlink" Target="https://advance.lexis.com/api/document?collection=cases-ca&amp;id=urn:contentItem:5F7T-S7H1-FCSB-S3PW-00000-00&amp;context=" TargetMode="External" /><Relationship Id="rId250" Type="http://schemas.openxmlformats.org/officeDocument/2006/relationships/header" Target="header47.xml" /><Relationship Id="rId251" Type="http://schemas.openxmlformats.org/officeDocument/2006/relationships/footer" Target="footer46.xml" /><Relationship Id="rId252" Type="http://schemas.openxmlformats.org/officeDocument/2006/relationships/footer" Target="footer47.xml" /><Relationship Id="rId253" Type="http://schemas.openxmlformats.org/officeDocument/2006/relationships/header" Target="header48.xml" /><Relationship Id="rId254" Type="http://schemas.openxmlformats.org/officeDocument/2006/relationships/footer" Target="footer48.xml" /><Relationship Id="rId255" Type="http://schemas.openxmlformats.org/officeDocument/2006/relationships/hyperlink" Target="https://advance.lexis.com/api/document?collection=cases-ca&amp;id=urn:contentItem:5F7T-S781-F06F-23X7-00000-00&amp;context=" TargetMode="External" /><Relationship Id="rId256" Type="http://schemas.openxmlformats.org/officeDocument/2006/relationships/hyperlink" Target="https://advance.lexis.com/api/document?collection=cases-ca&amp;id=urn:contentItem:5F7T-S771-FG68-G172-00000-00&amp;context=" TargetMode="External" /><Relationship Id="rId257" Type="http://schemas.openxmlformats.org/officeDocument/2006/relationships/hyperlink" Target="https://advance.lexis.com/api/document?collection=cases-ca&amp;id=urn:contentItem:5F7T-S6X1-JXNB-6314-00000-00&amp;context=" TargetMode="External" /><Relationship Id="rId258" Type="http://schemas.openxmlformats.org/officeDocument/2006/relationships/hyperlink" Target="https://advance.lexis.com/api/document?collection=cases-ca&amp;id=urn:contentItem:5F8T-N3T1-JGHR-M251-00000-00&amp;context=" TargetMode="External" /><Relationship Id="rId259" Type="http://schemas.openxmlformats.org/officeDocument/2006/relationships/hyperlink" Target="https://advance.lexis.com/api/document?collection=cases-ca&amp;id=urn:contentItem:5F8T-N3V1-FC1F-M439-00000-00&amp;context=" TargetMode="External" /><Relationship Id="rId26" Type="http://schemas.openxmlformats.org/officeDocument/2006/relationships/hyperlink" Target="https://advance.lexis.com/api/document?collection=cases-ca&amp;id=urn:contentItem:5F7T-S7K1-F528-G2V7-00000-00&amp;context=" TargetMode="External" /><Relationship Id="rId260" Type="http://schemas.openxmlformats.org/officeDocument/2006/relationships/hyperlink" Target="https://advance.lexis.com/api/document?collection=cases-ca&amp;id=urn:contentItem:5F8T-N3V1-JF75-M3S6-00000-00&amp;context=" TargetMode="External" /><Relationship Id="rId261" Type="http://schemas.openxmlformats.org/officeDocument/2006/relationships/hyperlink" Target="https://advance.lexis.com/api/document?collection=cases-ca&amp;id=urn:contentItem:5F7T-S751-JBM1-M2MF-00000-00&amp;context=" TargetMode="External" /><Relationship Id="rId262" Type="http://schemas.openxmlformats.org/officeDocument/2006/relationships/hyperlink" Target="https://advance.lexis.com/api/document?collection=cases-ca&amp;id=urn:contentItem:5F7T-S6X1-F7ND-G39N-00000-00&amp;context=" TargetMode="External" /><Relationship Id="rId263" Type="http://schemas.openxmlformats.org/officeDocument/2006/relationships/hyperlink" Target="https://advance.lexis.com/api/document?collection=cases-ca&amp;id=urn:contentItem:5F7T-S741-FJM6-61BF-00000-00&amp;context=" TargetMode="External" /><Relationship Id="rId264" Type="http://schemas.openxmlformats.org/officeDocument/2006/relationships/hyperlink" Target="https://advance.lexis.com/api/document?collection=cases-ca&amp;id=urn:contentItem:5F7T-S6T1-DY89-M2MX-00000-00&amp;context=" TargetMode="External" /><Relationship Id="rId265" Type="http://schemas.openxmlformats.org/officeDocument/2006/relationships/hyperlink" Target="https://advance.lexis.com/api/document?collection=cases-ca&amp;id=urn:contentItem:5F8W-M421-F900-G4XJ-00000-00&amp;context=" TargetMode="External" /><Relationship Id="rId266" Type="http://schemas.openxmlformats.org/officeDocument/2006/relationships/hyperlink" Target="https://advance.lexis.com/api/document?collection=cases-ca&amp;id=urn:contentItem:5F7F-5RH1-F873-B0FD-00000-00&amp;context=" TargetMode="External" /><Relationship Id="rId267" Type="http://schemas.openxmlformats.org/officeDocument/2006/relationships/hyperlink" Target="https://advance.lexis.com/api/document?collection=cases-ca&amp;id=urn:contentItem:5F7T-XPW1-DY89-M4RJ-00000-00&amp;context=" TargetMode="External" /><Relationship Id="rId268" Type="http://schemas.openxmlformats.org/officeDocument/2006/relationships/hyperlink" Target="https://advance.lexis.com/api/document?collection=cases-ca&amp;id=urn:contentItem:5F82-1SD1-F8D9-M21D-00000-00&amp;context=" TargetMode="External" /><Relationship Id="rId269" Type="http://schemas.openxmlformats.org/officeDocument/2006/relationships/hyperlink" Target="https://advance.lexis.com/api/document?collection=cases-ca&amp;id=urn:contentItem:5F7T-S6T1-FJTD-G1S3-00000-00&amp;context=" TargetMode="External" /><Relationship Id="rId27" Type="http://schemas.openxmlformats.org/officeDocument/2006/relationships/hyperlink" Target="https://advance.lexis.com/api/document?collection=cases-ca&amp;id=urn:contentItem:5F7T-S7K1-DY33-B1TJ-00000-00&amp;context=" TargetMode="External" /><Relationship Id="rId270" Type="http://schemas.openxmlformats.org/officeDocument/2006/relationships/hyperlink" Target="https://advance.lexis.com/api/document?collection=cases-ca&amp;id=urn:contentItem:5F7T-S781-F06F-23N7-00000-00&amp;context=" TargetMode="External" /><Relationship Id="rId271" Type="http://schemas.openxmlformats.org/officeDocument/2006/relationships/header" Target="header49.xml" /><Relationship Id="rId272" Type="http://schemas.openxmlformats.org/officeDocument/2006/relationships/header" Target="header50.xml" /><Relationship Id="rId273" Type="http://schemas.openxmlformats.org/officeDocument/2006/relationships/footer" Target="footer49.xml" /><Relationship Id="rId274" Type="http://schemas.openxmlformats.org/officeDocument/2006/relationships/footer" Target="footer50.xml" /><Relationship Id="rId275" Type="http://schemas.openxmlformats.org/officeDocument/2006/relationships/header" Target="header51.xml" /><Relationship Id="rId276" Type="http://schemas.openxmlformats.org/officeDocument/2006/relationships/footer" Target="footer51.xml" /><Relationship Id="rId277" Type="http://schemas.openxmlformats.org/officeDocument/2006/relationships/hyperlink" Target="https://advance.lexis.com/api/document?collection=cases-ca&amp;id=urn:contentItem:5N3C-M701-FGJR-21JN-00000-00&amp;context=" TargetMode="External" /><Relationship Id="rId278" Type="http://schemas.openxmlformats.org/officeDocument/2006/relationships/hyperlink" Target="https://advance.lexis.com/api/document?collection=cases-ca&amp;id=urn:contentItem:5M8J-J731-JJSF-20TG-00000-00&amp;context=" TargetMode="External" /><Relationship Id="rId279" Type="http://schemas.openxmlformats.org/officeDocument/2006/relationships/hyperlink" Target="https://advance.lexis.com/api/document?collection=legislation-ca&amp;id=urn:contentItem:5YP5-7N61-F8KH-X2KN-00000-00&amp;context=" TargetMode="External" /><Relationship Id="rId28" Type="http://schemas.openxmlformats.org/officeDocument/2006/relationships/hyperlink" Target="https://advance.lexis.com/api/document?collection=cases-ca&amp;id=urn:contentItem:5F7T-S7K1-JWXF-20W6-00000-00&amp;context=" TargetMode="External" /><Relationship Id="rId280" Type="http://schemas.openxmlformats.org/officeDocument/2006/relationships/hyperlink" Target="https://advance.lexis.com/api/document?collection=legislation-ca&amp;id=urn:contentItem:5VWW-WY51-F2F4-G2PN-00000-00&amp;context=" TargetMode="External" /><Relationship Id="rId281" Type="http://schemas.openxmlformats.org/officeDocument/2006/relationships/hyperlink" Target="https://advance.lexis.com/api/document?collection=cases-ca&amp;id=urn:contentItem:5K86-HW41-JC0G-642R-00000-00&amp;context=" TargetMode="External" /><Relationship Id="rId282" Type="http://schemas.openxmlformats.org/officeDocument/2006/relationships/hyperlink" Target="https://advance.lexis.com/api/document?collection=legislation-ca&amp;id=urn:contentItem:5W2C-X5J1-JJ1H-X0F6-00000-00&amp;context=" TargetMode="External" /><Relationship Id="rId283" Type="http://schemas.openxmlformats.org/officeDocument/2006/relationships/hyperlink" Target="https://advance.lexis.com/api/document?collection=cases-ca&amp;id=urn:contentItem:5F7T-S771-JW5H-X21R-00000-00&amp;context=" TargetMode="External" /><Relationship Id="rId284" Type="http://schemas.openxmlformats.org/officeDocument/2006/relationships/hyperlink" Target="https://advance.lexis.com/api/document?collection=cases-ca&amp;id=urn:contentItem:5GWF-M0T1-F8KH-X2G7-00000-00&amp;context=" TargetMode="External" /><Relationship Id="rId285" Type="http://schemas.openxmlformats.org/officeDocument/2006/relationships/hyperlink" Target="https://advance.lexis.com/api/document?collection=cases-ca&amp;id=urn:contentItem:5F7T-S7M1-JFSV-G3N0-00000-00&amp;context=" TargetMode="External" /><Relationship Id="rId286" Type="http://schemas.openxmlformats.org/officeDocument/2006/relationships/hyperlink" Target="https://advance.lexis.com/api/document?collection=cases-ca&amp;id=urn:contentItem:5F8T-N3T1-JJSF-23N5-00000-00&amp;context=" TargetMode="External" /><Relationship Id="rId287" Type="http://schemas.openxmlformats.org/officeDocument/2006/relationships/hyperlink" Target="https://advance.lexis.com/api/document?collection=cases-ca&amp;id=urn:contentItem:5F8T-N3V1-JFKM-6038-00000-00&amp;context=" TargetMode="External" /><Relationship Id="rId288" Type="http://schemas.openxmlformats.org/officeDocument/2006/relationships/hyperlink" Target="https://advance.lexis.com/api/document?collection=cases-ca&amp;id=urn:contentItem:5F7T-S7K1-JX3N-B2WX-00000-00&amp;context=" TargetMode="External" /><Relationship Id="rId289" Type="http://schemas.openxmlformats.org/officeDocument/2006/relationships/hyperlink" Target="https://advance.lexis.com/api/document?collection=cases-ca&amp;id=urn:contentItem:5KS2-M7W1-JNY7-X3HS-00000-00&amp;context=" TargetMode="External" /><Relationship Id="rId29" Type="http://schemas.openxmlformats.org/officeDocument/2006/relationships/hyperlink" Target="https://advance.lexis.com/api/document?collection=cases-ca&amp;id=urn:contentItem:5F7T-S781-DYMS-61D4-00000-00&amp;context=" TargetMode="External" /><Relationship Id="rId290" Type="http://schemas.openxmlformats.org/officeDocument/2006/relationships/hyperlink" Target="https://advance.lexis.com/api/document?collection=cases-ca&amp;id=urn:contentItem:5F8T-N3V1-FH4C-X234-00000-00&amp;context=" TargetMode="External" /><Relationship Id="rId291" Type="http://schemas.openxmlformats.org/officeDocument/2006/relationships/hyperlink" Target="https://advance.lexis.com/api/document?collection=cases-ca&amp;id=urn:contentItem:5F8T-N3V1-JTGH-B0YP-00000-00&amp;context=" TargetMode="External" /><Relationship Id="rId292" Type="http://schemas.openxmlformats.org/officeDocument/2006/relationships/hyperlink" Target="https://advance.lexis.com/api/document?collection=cases-ca&amp;id=urn:contentItem:5F81-VJX1-JJYN-B529-00000-00&amp;context=" TargetMode="External" /><Relationship Id="rId293" Type="http://schemas.openxmlformats.org/officeDocument/2006/relationships/hyperlink" Target="https://advance.lexis.com/api/document?collection=cases-ca&amp;id=urn:contentItem:5F7T-S7N1-JWR6-S2FN-00000-00&amp;context=" TargetMode="External" /><Relationship Id="rId294" Type="http://schemas.openxmlformats.org/officeDocument/2006/relationships/hyperlink" Target="https://advance.lexis.com/api/document?collection=cases-ca&amp;id=urn:contentItem:5F7T-S7M1-JPP5-22KK-00000-00&amp;context=" TargetMode="External" /><Relationship Id="rId295" Type="http://schemas.openxmlformats.org/officeDocument/2006/relationships/hyperlink" Target="https://advance.lexis.com/api/document?collection=cases-ca&amp;id=urn:contentItem:5F7T-S7P1-JCRC-B23H-00000-00&amp;context=" TargetMode="External" /><Relationship Id="rId296" Type="http://schemas.openxmlformats.org/officeDocument/2006/relationships/header" Target="header52.xml" /><Relationship Id="rId297" Type="http://schemas.openxmlformats.org/officeDocument/2006/relationships/header" Target="header53.xml" /><Relationship Id="rId298" Type="http://schemas.openxmlformats.org/officeDocument/2006/relationships/footer" Target="footer52.xml" /><Relationship Id="rId299" Type="http://schemas.openxmlformats.org/officeDocument/2006/relationships/footer" Target="footer53.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K1-JSJC-X125-00000-00&amp;context=" TargetMode="External" /><Relationship Id="rId300" Type="http://schemas.openxmlformats.org/officeDocument/2006/relationships/header" Target="header54.xml" /><Relationship Id="rId301" Type="http://schemas.openxmlformats.org/officeDocument/2006/relationships/footer" Target="footer54.xml" /><Relationship Id="rId302" Type="http://schemas.openxmlformats.org/officeDocument/2006/relationships/hyperlink" Target="https://advance.lexis.com/api/document?collection=cases-ca&amp;id=urn:contentItem:5KTY-PGM1-JS0R-21NJ-00000-00&amp;context=" TargetMode="External" /><Relationship Id="rId303" Type="http://schemas.openxmlformats.org/officeDocument/2006/relationships/hyperlink" Target="https://advance.lexis.com/api/document?collection=legislation-ca&amp;id=urn:contentItem:5F97-RBS1-DY33-B2S2-00000-00&amp;context=" TargetMode="External" /><Relationship Id="rId304" Type="http://schemas.openxmlformats.org/officeDocument/2006/relationships/hyperlink" Target="https://advance.lexis.com/api/document?collection=legislation-ca&amp;id=urn:contentItem:5YG0-C781-JB7K-210W-00000-00&amp;context=" TargetMode="External" /><Relationship Id="rId305" Type="http://schemas.openxmlformats.org/officeDocument/2006/relationships/hyperlink" Target="https://advance.lexis.com/api/document?collection=cases-ca&amp;id=urn:contentItem:5HBF-Y861-FGRY-B2CY-00000-00&amp;context=" TargetMode="External" /><Relationship Id="rId306" Type="http://schemas.openxmlformats.org/officeDocument/2006/relationships/hyperlink" Target="https://advance.lexis.com/api/document?collection=cases-ca&amp;id=urn:contentItem:5F8T-N3T1-JFKM-653N-00000-00&amp;context=" TargetMode="External" /><Relationship Id="rId307" Type="http://schemas.openxmlformats.org/officeDocument/2006/relationships/hyperlink" Target="https://advance.lexis.com/api/document?collection=cases-ca&amp;id=urn:contentItem:5HBF-Y861-FGRY-B2CT-00000-00&amp;context=" TargetMode="External" /><Relationship Id="rId308" Type="http://schemas.openxmlformats.org/officeDocument/2006/relationships/hyperlink" Target="https://advance.lexis.com/api/document?collection=cases-ca&amp;id=urn:contentItem:5F81-VJW1-JGPY-X4G3-00000-00&amp;context=" TargetMode="External" /><Relationship Id="rId309" Type="http://schemas.openxmlformats.org/officeDocument/2006/relationships/hyperlink" Target="https://advance.lexis.com/api/document?collection=cases-ca&amp;id=urn:contentItem:5F8T-N3V1-JTGH-B13G-00000-00&amp;context=" TargetMode="External" /><Relationship Id="rId31" Type="http://schemas.openxmlformats.org/officeDocument/2006/relationships/hyperlink" Target="https://advance.lexis.com/api/document?collection=cases-ca&amp;id=urn:contentItem:5F7T-S7K1-F1H1-22BG-00000-00&amp;context=" TargetMode="External" /><Relationship Id="rId310" Type="http://schemas.openxmlformats.org/officeDocument/2006/relationships/hyperlink" Target="https://advance.lexis.com/api/document?collection=cases-ca&amp;id=urn:contentItem:5F8T-N3V1-FC1F-M406-00000-00&amp;context=" TargetMode="External" /><Relationship Id="rId311" Type="http://schemas.openxmlformats.org/officeDocument/2006/relationships/hyperlink" Target="https://advance.lexis.com/api/document?collection=cases-ca&amp;id=urn:contentItem:5F8T-N3V1-JFKM-60BB-00000-00&amp;context=" TargetMode="External" /><Relationship Id="rId312" Type="http://schemas.openxmlformats.org/officeDocument/2006/relationships/hyperlink" Target="https://advance.lexis.com/api/document?collection=cases-ca&amp;id=urn:contentItem:5F8T-N3V1-JTGH-B0YN-00000-00&amp;context=" TargetMode="External" /><Relationship Id="rId313" Type="http://schemas.openxmlformats.org/officeDocument/2006/relationships/hyperlink" Target="https://advance.lexis.com/api/document?collection=cases-ca&amp;id=urn:contentItem:5F8T-N3V1-FC1F-M441-00000-00&amp;context=" TargetMode="External" /><Relationship Id="rId314" Type="http://schemas.openxmlformats.org/officeDocument/2006/relationships/hyperlink" Target="https://advance.lexis.com/api/document?collection=cases-ca&amp;id=urn:contentItem:5F8T-N3V1-FC1F-M427-00000-00&amp;context=" TargetMode="External" /><Relationship Id="rId315" Type="http://schemas.openxmlformats.org/officeDocument/2006/relationships/hyperlink" Target="https://advance.lexis.com/api/document?collection=cases-ca&amp;id=urn:contentItem:5F7T-S741-FJM6-61NT-00000-00&amp;context=" TargetMode="External" /><Relationship Id="rId316" Type="http://schemas.openxmlformats.org/officeDocument/2006/relationships/hyperlink" Target="https://advance.lexis.com/api/document?collection=cases-ca&amp;id=urn:contentItem:5F7D-YK91-JTNR-M0VB-00000-00&amp;context=" TargetMode="External" /><Relationship Id="rId317" Type="http://schemas.openxmlformats.org/officeDocument/2006/relationships/hyperlink" Target="https://advance.lexis.com/api/document?collection=cases-ca&amp;id=urn:contentItem:5F7T-S761-FFMK-M16X-00000-00&amp;context=" TargetMode="External" /><Relationship Id="rId318" Type="http://schemas.openxmlformats.org/officeDocument/2006/relationships/hyperlink" Target="https://advance.lexis.com/api/document?collection=cases-ca&amp;id=urn:contentItem:5F8T-N3V1-FC1F-M48G-00000-00&amp;context=" TargetMode="External" /><Relationship Id="rId319" Type="http://schemas.openxmlformats.org/officeDocument/2006/relationships/hyperlink" Target="https://advance.lexis.com/api/document?collection=cases-ca&amp;id=urn:contentItem:5F7T-S6X1-FCCX-60FV-00000-00&amp;context=" TargetMode="External" /><Relationship Id="rId32" Type="http://schemas.openxmlformats.org/officeDocument/2006/relationships/hyperlink" Target="https://advance.lexis.com/api/document?collection=cases-ca&amp;id=urn:contentItem:5F7T-S7M1-JJK6-S1VD-00000-00&amp;context=" TargetMode="External" /><Relationship Id="rId320" Type="http://schemas.openxmlformats.org/officeDocument/2006/relationships/hyperlink" Target="https://advance.lexis.com/api/document?collection=cases-ca&amp;id=urn:contentItem:5F7T-S7J1-DXWW-2508-00000-00&amp;context=" TargetMode="External" /><Relationship Id="rId321" Type="http://schemas.openxmlformats.org/officeDocument/2006/relationships/hyperlink" Target="https://advance.lexis.com/api/document?collection=cases-ca&amp;id=urn:contentItem:5F7T-S7M1-DYMS-623T-00000-00&amp;context=" TargetMode="External" /><Relationship Id="rId322" Type="http://schemas.openxmlformats.org/officeDocument/2006/relationships/hyperlink" Target="https://advance.lexis.com/api/document?collection=cases-ca&amp;id=urn:contentItem:5F8T-N3V1-FC1F-M478-00000-00&amp;context=" TargetMode="External" /><Relationship Id="rId323" Type="http://schemas.openxmlformats.org/officeDocument/2006/relationships/hyperlink" Target="https://advance.lexis.com/api/document?collection=cases-ca&amp;id=urn:contentItem:5F8T-N3V1-JF75-M3SH-00000-00&amp;context=" TargetMode="External" /><Relationship Id="rId324" Type="http://schemas.openxmlformats.org/officeDocument/2006/relationships/hyperlink" Target="https://advance.lexis.com/api/document?collection=cases-ca&amp;id=urn:contentItem:5F8T-N3V1-FC1F-M45S-00000-00&amp;context=" TargetMode="External" /><Relationship Id="rId325" Type="http://schemas.openxmlformats.org/officeDocument/2006/relationships/hyperlink" Target="https://advance.lexis.com/api/document?collection=cases-ca&amp;id=urn:contentItem:5F81-VJX1-JX3N-B1RS-00000-00&amp;context=" TargetMode="External" /><Relationship Id="rId326" Type="http://schemas.openxmlformats.org/officeDocument/2006/relationships/hyperlink" Target="https://advance.lexis.com/api/document?collection=cases-ca&amp;id=urn:contentItem:5F81-VJX1-F5KY-B4FS-00000-00&amp;context=" TargetMode="External" /><Relationship Id="rId327" Type="http://schemas.openxmlformats.org/officeDocument/2006/relationships/hyperlink" Target="https://advance.lexis.com/api/document?collection=cases-ca&amp;id=urn:contentItem:5F8T-N3T1-JJSF-23M4-00000-00&amp;context=" TargetMode="External" /><Relationship Id="rId328" Type="http://schemas.openxmlformats.org/officeDocument/2006/relationships/hyperlink" Target="https://advance.lexis.com/api/document?collection=cases-ca&amp;id=urn:contentItem:5F8T-N3V1-JF75-M388-00000-00&amp;context=" TargetMode="External" /><Relationship Id="rId329" Type="http://schemas.openxmlformats.org/officeDocument/2006/relationships/hyperlink" Target="https://advance.lexis.com/api/document?collection=cases-ca&amp;id=urn:contentItem:5G7T-5TV1-K054-G002-00000-00&amp;context=" TargetMode="External" /><Relationship Id="rId33" Type="http://schemas.openxmlformats.org/officeDocument/2006/relationships/header" Target="header7.xml" /><Relationship Id="rId330" Type="http://schemas.openxmlformats.org/officeDocument/2006/relationships/hyperlink" Target="https://advance.lexis.com/api/document?collection=cases-ca&amp;id=urn:contentItem:5F7T-S7N1-JWR6-S2GV-00000-00&amp;context=" TargetMode="External" /><Relationship Id="rId331" Type="http://schemas.openxmlformats.org/officeDocument/2006/relationships/hyperlink" Target="https://advance.lexis.com/api/document?collection=cases-ca&amp;id=urn:contentItem:5F8T-N3V1-FH4C-X24S-00000-00&amp;context=" TargetMode="External" /><Relationship Id="rId332" Type="http://schemas.openxmlformats.org/officeDocument/2006/relationships/hyperlink" Target="https://advance.lexis.com/api/document?collection=cases-ca&amp;id=urn:contentItem:5HBF-Y861-FGRY-B2CX-00000-00&amp;context=" TargetMode="External" /><Relationship Id="rId333" Type="http://schemas.openxmlformats.org/officeDocument/2006/relationships/hyperlink" Target="https://advance.lexis.com/api/document?collection=cases-ca&amp;id=urn:contentItem:5F8T-N3V1-JTGH-B1GD-00000-00&amp;context=" TargetMode="External" /><Relationship Id="rId334" Type="http://schemas.openxmlformats.org/officeDocument/2006/relationships/hyperlink" Target="https://advance.lexis.com/api/document?collection=cases-ca&amp;id=urn:contentItem:5GC0-NM51-K0HK-2144-00000-00&amp;context=" TargetMode="External" /><Relationship Id="rId335" Type="http://schemas.openxmlformats.org/officeDocument/2006/relationships/hyperlink" Target="https://advance.lexis.com/api/document?collection=cases-ca&amp;id=urn:contentItem:5XR8-3W11-JPP5-24RD-00000-00&amp;context=" TargetMode="External" /><Relationship Id="rId336" Type="http://schemas.openxmlformats.org/officeDocument/2006/relationships/hyperlink" Target="https://advance.lexis.com/api/document?collection=cases-ca&amp;id=urn:contentItem:5F8T-N3V1-JTGH-B13H-00000-00&amp;context=" TargetMode="External" /><Relationship Id="rId337" Type="http://schemas.openxmlformats.org/officeDocument/2006/relationships/hyperlink" Target="https://advance.lexis.com/api/document?collection=cases-ca&amp;id=urn:contentItem:5F8P-SDM1-JBM1-M2H4-00000-00&amp;context=" TargetMode="External" /><Relationship Id="rId338" Type="http://schemas.openxmlformats.org/officeDocument/2006/relationships/hyperlink" Target="https://advance.lexis.com/api/document?collection=cases-ca&amp;id=urn:contentItem:5F8T-N3V1-JTGH-B178-00000-00&amp;context=" TargetMode="External" /><Relationship Id="rId339" Type="http://schemas.openxmlformats.org/officeDocument/2006/relationships/hyperlink" Target="https://advance.lexis.com/api/document?collection=cases-ca&amp;id=urn:contentItem:5XR8-3W21-F1P7-B3KM-00000-00&amp;context=" TargetMode="External" /><Relationship Id="rId34" Type="http://schemas.openxmlformats.org/officeDocument/2006/relationships/header" Target="header8.xml" /><Relationship Id="rId340" Type="http://schemas.openxmlformats.org/officeDocument/2006/relationships/hyperlink" Target="https://advance.lexis.com/api/document?collection=cases-ca&amp;id=urn:contentItem:5F8P-SFR1-JS5Y-B2H0-00000-00&amp;context=" TargetMode="External" /><Relationship Id="rId341" Type="http://schemas.openxmlformats.org/officeDocument/2006/relationships/hyperlink" Target="https://advance.lexis.com/api/document?collection=cases-ca&amp;id=urn:contentItem:5F8T-N3T1-JJSF-23C9-00000-00&amp;context=" TargetMode="External" /><Relationship Id="rId342" Type="http://schemas.openxmlformats.org/officeDocument/2006/relationships/hyperlink" Target="https://advance.lexis.com/api/document?collection=cases-ca&amp;id=urn:contentItem:5F8T-N3V1-JTGH-B1F1-00000-00&amp;context=" TargetMode="External" /><Relationship Id="rId343" Type="http://schemas.openxmlformats.org/officeDocument/2006/relationships/hyperlink" Target="https://advance.lexis.com/api/document?collection=cases-ca&amp;id=urn:contentItem:5F8T-N3T1-JJSF-2393-00000-00&amp;context=" TargetMode="External" /><Relationship Id="rId344" Type="http://schemas.openxmlformats.org/officeDocument/2006/relationships/hyperlink" Target="https://advance.lexis.com/api/document?collection=cases-ca&amp;id=urn:contentItem:5F8T-N3V1-FC1F-M3YM-00000-00&amp;context=" TargetMode="External" /><Relationship Id="rId345" Type="http://schemas.openxmlformats.org/officeDocument/2006/relationships/hyperlink" Target="https://advance.lexis.com/api/document?collection=cases-ca&amp;id=urn:contentItem:5F8T-N3V1-JTGH-B1G2-00000-00&amp;context=" TargetMode="External" /><Relationship Id="rId346" Type="http://schemas.openxmlformats.org/officeDocument/2006/relationships/hyperlink" Target="https://advance.lexis.com/api/document?collection=cases-ca&amp;id=urn:contentItem:5GJG-DJW1-JP4G-62HJ-00000-00&amp;context=" TargetMode="External" /><Relationship Id="rId347" Type="http://schemas.openxmlformats.org/officeDocument/2006/relationships/hyperlink" Target="https://advance.lexis.com/api/document?collection=cases-ca&amp;id=urn:contentItem:5F8T-N3T1-JJSF-23NY-00000-00&amp;context=" TargetMode="External" /><Relationship Id="rId348" Type="http://schemas.openxmlformats.org/officeDocument/2006/relationships/hyperlink" Target="https://advance.lexis.com/api/document?collection=cases-ca&amp;id=urn:contentItem:5F8T-N3V1-JTGH-B198-00000-00&amp;context=" TargetMode="External" /><Relationship Id="rId349" Type="http://schemas.openxmlformats.org/officeDocument/2006/relationships/hyperlink" Target="https://advance.lexis.com/api/document?collection=cases-ca&amp;id=urn:contentItem:5F8T-N3V1-JTGH-B12G-00000-00&amp;context=" TargetMode="External" /><Relationship Id="rId35" Type="http://schemas.openxmlformats.org/officeDocument/2006/relationships/footer" Target="footer7.xml" /><Relationship Id="rId350" Type="http://schemas.openxmlformats.org/officeDocument/2006/relationships/hyperlink" Target="https://advance.lexis.com/api/document?collection=cases-ca&amp;id=urn:contentItem:5F8T-N3V1-JTGH-B1CR-00000-00&amp;context=" TargetMode="External" /><Relationship Id="rId351" Type="http://schemas.openxmlformats.org/officeDocument/2006/relationships/hyperlink" Target="https://advance.lexis.com/api/document?collection=cases-ca&amp;id=urn:contentItem:5F8T-N3T1-JJSF-238F-00000-00&amp;context=" TargetMode="External" /><Relationship Id="rId352" Type="http://schemas.openxmlformats.org/officeDocument/2006/relationships/hyperlink" Target="https://advance.lexis.com/api/document?collection=cases-ca&amp;id=urn:contentItem:5F8T-N3V1-FC1F-M431-00000-00&amp;context=" TargetMode="External" /><Relationship Id="rId353" Type="http://schemas.openxmlformats.org/officeDocument/2006/relationships/hyperlink" Target="https://advance.lexis.com/api/document?collection=cases-ca&amp;id=urn:contentItem:5F8T-N3V1-JTGH-B18H-00000-00&amp;context=" TargetMode="External" /><Relationship Id="rId354" Type="http://schemas.openxmlformats.org/officeDocument/2006/relationships/hyperlink" Target="https://advance.lexis.com/api/document?collection=cases-ca&amp;id=urn:contentItem:5F8T-N3V1-JTGH-B195-00000-00&amp;context=" TargetMode="External" /><Relationship Id="rId355" Type="http://schemas.openxmlformats.org/officeDocument/2006/relationships/hyperlink" Target="https://advance.lexis.com/api/document?collection=cases-ca&amp;id=urn:contentItem:5F8T-N3T1-JJSF-2367-00000-00&amp;context=" TargetMode="External" /><Relationship Id="rId356" Type="http://schemas.openxmlformats.org/officeDocument/2006/relationships/hyperlink" Target="https://advance.lexis.com/api/document?collection=cases-ca&amp;id=urn:contentItem:5F8T-N3V1-JTGH-B0YC-00000-00&amp;context=" TargetMode="External" /><Relationship Id="rId357" Type="http://schemas.openxmlformats.org/officeDocument/2006/relationships/hyperlink" Target="https://advance.lexis.com/api/document?collection=cases-ca&amp;id=urn:contentItem:5F8T-N3V1-JF75-M3WK-00000-00&amp;context=" TargetMode="External" /><Relationship Id="rId358" Type="http://schemas.openxmlformats.org/officeDocument/2006/relationships/hyperlink" Target="https://advance.lexis.com/api/document?collection=cases-ca&amp;id=urn:contentItem:5F8T-N3V1-JFKM-6012-00000-00&amp;context=" TargetMode="External" /><Relationship Id="rId359" Type="http://schemas.openxmlformats.org/officeDocument/2006/relationships/hyperlink" Target="https://advance.lexis.com/api/document?collection=cases-ca&amp;id=urn:contentItem:5F8T-N3V1-JF75-M3J8-00000-00&amp;context=" TargetMode="External" /><Relationship Id="rId36" Type="http://schemas.openxmlformats.org/officeDocument/2006/relationships/footer" Target="footer8.xml" /><Relationship Id="rId360" Type="http://schemas.openxmlformats.org/officeDocument/2006/relationships/hyperlink" Target="https://advance.lexis.com/api/document?collection=cases-ca&amp;id=urn:contentItem:5F8T-N3V1-FH4C-X1YX-00000-00&amp;context=" TargetMode="External" /><Relationship Id="rId361" Type="http://schemas.openxmlformats.org/officeDocument/2006/relationships/hyperlink" Target="https://advance.lexis.com/api/document?collection=cases-ca&amp;id=urn:contentItem:5F8T-N3V1-JTGH-B1FV-00000-00&amp;context=" TargetMode="External" /><Relationship Id="rId362" Type="http://schemas.openxmlformats.org/officeDocument/2006/relationships/hyperlink" Target="https://advance.lexis.com/api/document?collection=cases-ca&amp;id=urn:contentItem:5F8T-N3V1-JF75-M3X0-00000-00&amp;context=" TargetMode="External" /><Relationship Id="rId363" Type="http://schemas.openxmlformats.org/officeDocument/2006/relationships/hyperlink" Target="https://advance.lexis.com/api/document?collection=cases-ca&amp;id=urn:contentItem:5F8T-N3V1-JTGH-B169-00000-00&amp;context=" TargetMode="External" /><Relationship Id="rId364" Type="http://schemas.openxmlformats.org/officeDocument/2006/relationships/hyperlink" Target="https://advance.lexis.com/api/document?collection=cases-ca&amp;id=urn:contentItem:5H9M-8TC1-DXPM-S1J9-00000-00&amp;context=" TargetMode="External" /><Relationship Id="rId365" Type="http://schemas.openxmlformats.org/officeDocument/2006/relationships/hyperlink" Target="https://advance.lexis.com/api/document?collection=cases-ca&amp;id=urn:contentItem:5F8T-N3T1-JJSF-23P8-00000-00&amp;context=" TargetMode="External" /><Relationship Id="rId366" Type="http://schemas.openxmlformats.org/officeDocument/2006/relationships/hyperlink" Target="https://advance.lexis.com/api/document?collection=cases-ca&amp;id=urn:contentItem:5F8T-N3T1-JJSF-23MK-00000-00&amp;context=" TargetMode="External" /><Relationship Id="rId367" Type="http://schemas.openxmlformats.org/officeDocument/2006/relationships/hyperlink" Target="https://advance.lexis.com/api/document?collection=cases-ca&amp;id=urn:contentItem:5F8T-N3V1-FC1F-M3YP-00000-00&amp;context=" TargetMode="External" /><Relationship Id="rId368" Type="http://schemas.openxmlformats.org/officeDocument/2006/relationships/hyperlink" Target="https://advance.lexis.com/api/document?collection=cases-ca&amp;id=urn:contentItem:5F8T-N3T1-JT99-2009-00000-00&amp;context=" TargetMode="External" /><Relationship Id="rId369" Type="http://schemas.openxmlformats.org/officeDocument/2006/relationships/hyperlink" Target="https://advance.lexis.com/api/document?collection=cases-ca&amp;id=urn:contentItem:5F8T-N3V1-JF75-M3SR-00000-00&amp;context=" TargetMode="External" /><Relationship Id="rId37" Type="http://schemas.openxmlformats.org/officeDocument/2006/relationships/header" Target="header9.xml" /><Relationship Id="rId370" Type="http://schemas.openxmlformats.org/officeDocument/2006/relationships/hyperlink" Target="https://advance.lexis.com/api/document?collection=cases-ca&amp;id=urn:contentItem:5F8T-N3V1-JTGH-B1BH-00000-00&amp;context=" TargetMode="External" /><Relationship Id="rId371" Type="http://schemas.openxmlformats.org/officeDocument/2006/relationships/hyperlink" Target="https://advance.lexis.com/api/document?collection=legislation-ca&amp;id=urn:contentItem:5G80-3D61-JFDC-X00Y-00000-00&amp;context=" TargetMode="External" /><Relationship Id="rId372" Type="http://schemas.openxmlformats.org/officeDocument/2006/relationships/hyperlink" Target="https://advance.lexis.com/api/document?collection=cases-ca&amp;id=urn:contentItem:5F8T-N3V1-JTGH-B119-00000-00&amp;context=" TargetMode="External" /><Relationship Id="rId373" Type="http://schemas.openxmlformats.org/officeDocument/2006/relationships/hyperlink" Target="https://advance.lexis.com/api/document?collection=cases-ca&amp;id=urn:contentItem:5F8T-N3V1-JTGH-B18M-00000-00&amp;context=" TargetMode="External" /><Relationship Id="rId374" Type="http://schemas.openxmlformats.org/officeDocument/2006/relationships/hyperlink" Target="https://advance.lexis.com/api/document?collection=cases-ca&amp;id=urn:contentItem:5F8T-N3V1-JF75-M3K5-00000-00&amp;context=" TargetMode="External" /><Relationship Id="rId375" Type="http://schemas.openxmlformats.org/officeDocument/2006/relationships/hyperlink" Target="https://advance.lexis.com/api/document?collection=cases-ca&amp;id=urn:contentItem:5N59-FCC1-F1P7-B3S3-00000-00&amp;context=" TargetMode="External" /><Relationship Id="rId376" Type="http://schemas.openxmlformats.org/officeDocument/2006/relationships/hyperlink" Target="https://advance.lexis.com/api/document?collection=cases-ca&amp;id=urn:contentItem:5F8T-N3V1-FC1F-M46H-00000-00&amp;context=" TargetMode="External" /><Relationship Id="rId377" Type="http://schemas.openxmlformats.org/officeDocument/2006/relationships/hyperlink" Target="https://advance.lexis.com/api/document?collection=cases-ca&amp;id=urn:contentItem:5F8P-JM71-JTNR-M2BF-00000-00&amp;context=" TargetMode="External" /><Relationship Id="rId378" Type="http://schemas.openxmlformats.org/officeDocument/2006/relationships/hyperlink" Target="https://advance.lexis.com/api/document?collection=cases-ca&amp;id=urn:contentItem:5F82-1SJ1-JBDT-B4FJ-00000-00&amp;context=" TargetMode="External" /><Relationship Id="rId379" Type="http://schemas.openxmlformats.org/officeDocument/2006/relationships/hyperlink" Target="https://advance.lexis.com/api/document?collection=cases-ca&amp;id=urn:contentItem:5F7T-S7P1-JP4G-624K-00000-00&amp;context=" TargetMode="External" /><Relationship Id="rId38" Type="http://schemas.openxmlformats.org/officeDocument/2006/relationships/footer" Target="footer9.xml" /><Relationship Id="rId380" Type="http://schemas.openxmlformats.org/officeDocument/2006/relationships/hyperlink" Target="https://advance.lexis.com/api/document?collection=cases-ca&amp;id=urn:contentItem:5GCC-XVC1-JSRM-60SF-00000-00&amp;context=" TargetMode="External" /><Relationship Id="rId381" Type="http://schemas.openxmlformats.org/officeDocument/2006/relationships/hyperlink" Target="https://advance.lexis.com/api/document?collection=cases-ca&amp;id=urn:contentItem:5F81-VJX1-FFTT-X1DK-00000-00&amp;context=" TargetMode="External" /><Relationship Id="rId382" Type="http://schemas.openxmlformats.org/officeDocument/2006/relationships/hyperlink" Target="https://advance.lexis.com/api/document?collection=cases-ca&amp;id=urn:contentItem:5F8T-N3V1-JTGH-B1BC-00000-00&amp;context=" TargetMode="External" /><Relationship Id="rId383" Type="http://schemas.openxmlformats.org/officeDocument/2006/relationships/hyperlink" Target="https://advance.lexis.com/api/document?collection=cases-ca&amp;id=urn:contentItem:5F8T-N3T1-JJSF-236F-00000-00&amp;context=" TargetMode="External" /><Relationship Id="rId384" Type="http://schemas.openxmlformats.org/officeDocument/2006/relationships/hyperlink" Target="https://advance.lexis.com/api/document?collection=cases-ca&amp;id=urn:contentItem:5F8T-N3V1-JF75-M3N0-00000-00&amp;context=" TargetMode="External" /><Relationship Id="rId385" Type="http://schemas.openxmlformats.org/officeDocument/2006/relationships/hyperlink" Target="https://advance.lexis.com/api/document?collection=cases-ca&amp;id=urn:contentItem:5F8T-N3V1-FC1F-M49N-00000-00&amp;context=" TargetMode="External" /><Relationship Id="rId386" Type="http://schemas.openxmlformats.org/officeDocument/2006/relationships/hyperlink" Target="https://advance.lexis.com/api/document?collection=cases-ca&amp;id=urn:contentItem:5F8T-N3V1-JTGH-B11S-00000-00&amp;context=" TargetMode="External" /><Relationship Id="rId387" Type="http://schemas.openxmlformats.org/officeDocument/2006/relationships/hyperlink" Target="https://advance.lexis.com/api/document?collection=cases-ca&amp;id=urn:contentItem:5F8T-N3V1-FH4C-X213-00000-00&amp;context=" TargetMode="External" /><Relationship Id="rId388" Type="http://schemas.openxmlformats.org/officeDocument/2006/relationships/hyperlink" Target="https://advance.lexis.com/api/document?collection=cases-ca&amp;id=urn:contentItem:5F7T-S7M1-DYMS-624M-00000-00&amp;context=" TargetMode="External" /><Relationship Id="rId389" Type="http://schemas.openxmlformats.org/officeDocument/2006/relationships/hyperlink" Target="https://advance.lexis.com/api/document?collection=cases-ca&amp;id=urn:contentItem:5F8T-N3T1-JJSF-23CD-00000-00&amp;context=" TargetMode="External" /><Relationship Id="rId39" Type="http://schemas.openxmlformats.org/officeDocument/2006/relationships/hyperlink" Target="https://advance.lexis.com/api/document?collection=cases-ca&amp;id=urn:contentItem:5F7T-S771-F81W-22N4-00000-00&amp;context=" TargetMode="External" /><Relationship Id="rId390" Type="http://schemas.openxmlformats.org/officeDocument/2006/relationships/hyperlink" Target="https://advance.lexis.com/api/document?collection=cases-ca&amp;id=urn:contentItem:5F7T-S7D1-FFFC-B146-00000-00&amp;context=" TargetMode="External" /><Relationship Id="rId391" Type="http://schemas.openxmlformats.org/officeDocument/2006/relationships/hyperlink" Target="https://advance.lexis.com/api/document?collection=cases-ca&amp;id=urn:contentItem:5F8T-N3V1-JFKM-6014-00000-00&amp;context=" TargetMode="External" /><Relationship Id="rId392" Type="http://schemas.openxmlformats.org/officeDocument/2006/relationships/hyperlink" Target="https://advance.lexis.com/api/document?collection=cases-ca&amp;id=urn:contentItem:5F8T-N3T1-JJSF-23B7-00000-00&amp;context=" TargetMode="External" /><Relationship Id="rId393" Type="http://schemas.openxmlformats.org/officeDocument/2006/relationships/hyperlink" Target="https://advance.lexis.com/api/document?collection=cases-ca&amp;id=urn:contentItem:5F8T-N3T1-JGHR-M1TV-00000-00&amp;context=" TargetMode="External" /><Relationship Id="rId394" Type="http://schemas.openxmlformats.org/officeDocument/2006/relationships/hyperlink" Target="https://advance.lexis.com/api/document?collection=cases-ca&amp;id=urn:contentItem:5F8T-N3V1-FH4C-X1XN-00000-00&amp;context=" TargetMode="External" /><Relationship Id="rId395" Type="http://schemas.openxmlformats.org/officeDocument/2006/relationships/hyperlink" Target="https://advance.lexis.com/api/document?collection=legislation-ca&amp;id=urn:contentItem:5VYK-WB01-JJSF-220V-00000-00&amp;context=" TargetMode="External" /><Relationship Id="rId396" Type="http://schemas.openxmlformats.org/officeDocument/2006/relationships/hyperlink" Target="https://advance.lexis.com/api/document?collection=cases-ca&amp;id=urn:contentItem:5F7T-S7N1-JW09-M17P-00000-00&amp;context=" TargetMode="External" /><Relationship Id="rId397" Type="http://schemas.openxmlformats.org/officeDocument/2006/relationships/hyperlink" Target="https://advance.lexis.com/api/document?collection=cases-ca&amp;id=urn:contentItem:5F7T-S7G1-JX3N-B2JF-00000-00&amp;context=" TargetMode="External" /><Relationship Id="rId398" Type="http://schemas.openxmlformats.org/officeDocument/2006/relationships/hyperlink" Target="https://advance.lexis.com/api/document?collection=cases-ca&amp;id=urn:contentItem:5F7T-S7M1-DYMS-62G2-00000-00&amp;context=" TargetMode="External" /><Relationship Id="rId399" Type="http://schemas.openxmlformats.org/officeDocument/2006/relationships/hyperlink" Target="https://advance.lexis.com/api/document?collection=cases-ca&amp;id=urn:contentItem:5F7T-XPT1-JKB3-X3B6-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legislation-ca&amp;id=urn:contentItem:5F41-1FJ1-JKPJ-G0P7-00000-00&amp;context=" TargetMode="External" /><Relationship Id="rId400" Type="http://schemas.openxmlformats.org/officeDocument/2006/relationships/hyperlink" Target="https://advance.lexis.com/api/document?collection=cases-ca&amp;id=urn:contentItem:5F7H-KW51-JX8W-M1WF-00000-00&amp;context=" TargetMode="External" /><Relationship Id="rId401" Type="http://schemas.openxmlformats.org/officeDocument/2006/relationships/hyperlink" Target="https://advance.lexis.com/api/document?collection=cases-ca&amp;id=urn:contentItem:5F7H-KW31-DY89-M115-00000-00&amp;context=" TargetMode="External" /><Relationship Id="rId402" Type="http://schemas.openxmlformats.org/officeDocument/2006/relationships/hyperlink" Target="https://advance.lexis.com/api/document?collection=cases-ca&amp;id=urn:contentItem:5F8T-N3T1-JJSF-2374-00000-00&amp;context=" TargetMode="External" /><Relationship Id="rId403" Type="http://schemas.openxmlformats.org/officeDocument/2006/relationships/hyperlink" Target="https://advance.lexis.com/api/document?collection=cases-ca&amp;id=urn:contentItem:5F8T-N3T1-JJSF-238B-00000-00&amp;context=" TargetMode="External" /><Relationship Id="rId404" Type="http://schemas.openxmlformats.org/officeDocument/2006/relationships/hyperlink" Target="https://advance.lexis.com/api/document?collection=cases-ca&amp;id=urn:contentItem:5F8T-N3V1-JFKM-603W-00000-00&amp;context=" TargetMode="External" /><Relationship Id="rId405" Type="http://schemas.openxmlformats.org/officeDocument/2006/relationships/hyperlink" Target="https://advance.lexis.com/api/document?collection=cases-ca&amp;id=urn:contentItem:5FBH-JCB1-F1WF-M1HN-00000-00&amp;context=" TargetMode="External" /><Relationship Id="rId406" Type="http://schemas.openxmlformats.org/officeDocument/2006/relationships/hyperlink" Target="https://advance.lexis.com/api/document?collection=cases-ca&amp;id=urn:contentItem:5FB5-WMB1-JJD0-G0NG-00000-00&amp;context=" TargetMode="External" /><Relationship Id="rId407" Type="http://schemas.openxmlformats.org/officeDocument/2006/relationships/hyperlink" Target="https://advance.lexis.com/api/document?collection=cases-ca&amp;id=urn:contentItem:5F7T-XPW1-F1WF-M2YJ-00000-00&amp;context=" TargetMode="External" /><Relationship Id="rId408" Type="http://schemas.openxmlformats.org/officeDocument/2006/relationships/hyperlink" Target="https://advance.lexis.com/api/document?collection=cases-ca&amp;id=urn:contentItem:5F7T-XPW1-JCJ5-22PG-00000-00&amp;context=" TargetMode="External" /><Relationship Id="rId409" Type="http://schemas.openxmlformats.org/officeDocument/2006/relationships/hyperlink" Target="https://advance.lexis.com/api/document?collection=analytical-materials-ca&amp;id=urn:contentItem:5HSF-3X01-F8KH-X2M8-00000-00&amp;context=" TargetMode="External" /><Relationship Id="rId41" Type="http://schemas.openxmlformats.org/officeDocument/2006/relationships/hyperlink" Target="https://advance.lexis.com/api/document?collection=cases-ca&amp;id=urn:contentItem:5F7T-S7G1-JBT7-X40C-00000-00&amp;context=" TargetMode="External" /><Relationship Id="rId410" Type="http://schemas.openxmlformats.org/officeDocument/2006/relationships/hyperlink" Target="https://advance.lexis.com/api/document?collection=cases-ca&amp;id=urn:contentItem:5F8T-N3V1-FC1F-M4BH-00000-00&amp;context=" TargetMode="External" /><Relationship Id="rId411" Type="http://schemas.openxmlformats.org/officeDocument/2006/relationships/hyperlink" Target="https://advance.lexis.com/api/document?collection=cases-ca&amp;id=urn:contentItem:5F7H-SCP1-F1P7-B05W-00000-00&amp;context=" TargetMode="External" /><Relationship Id="rId412" Type="http://schemas.openxmlformats.org/officeDocument/2006/relationships/hyperlink" Target="https://advance.lexis.com/api/document?collection=cases-ca&amp;id=urn:contentItem:5F8T-N3V1-JTGH-B12R-00000-00&amp;context=" TargetMode="External" /><Relationship Id="rId413" Type="http://schemas.openxmlformats.org/officeDocument/2006/relationships/image" Target="media/image1.png" /><Relationship Id="rId414" Type="http://schemas.openxmlformats.org/officeDocument/2006/relationships/image" Target="media/image2.jpeg" /><Relationship Id="rId415" Type="http://schemas.openxmlformats.org/officeDocument/2006/relationships/image" Target="media/image3.jpeg" /><Relationship Id="rId416" Type="http://schemas.openxmlformats.org/officeDocument/2006/relationships/image" Target="media/image4.jpeg" /><Relationship Id="rId417" Type="http://schemas.openxmlformats.org/officeDocument/2006/relationships/image" Target="media/image5.jpeg" /><Relationship Id="rId418" Type="http://schemas.openxmlformats.org/officeDocument/2006/relationships/image" Target="media/image6.jpeg" /><Relationship Id="rId419" Type="http://schemas.openxmlformats.org/officeDocument/2006/relationships/image" Target="media/image7.png" /><Relationship Id="rId42" Type="http://schemas.openxmlformats.org/officeDocument/2006/relationships/hyperlink" Target="https://advance.lexis.com/api/document?collection=cases-ca&amp;id=urn:contentItem:5F7T-S6Y1-JNY7-X296-00000-00&amp;context=" TargetMode="External" /><Relationship Id="rId420" Type="http://schemas.openxmlformats.org/officeDocument/2006/relationships/header" Target="header55.xml" /><Relationship Id="rId421" Type="http://schemas.openxmlformats.org/officeDocument/2006/relationships/header" Target="header56.xml" /><Relationship Id="rId422" Type="http://schemas.openxmlformats.org/officeDocument/2006/relationships/footer" Target="footer55.xml" /><Relationship Id="rId423" Type="http://schemas.openxmlformats.org/officeDocument/2006/relationships/footer" Target="footer56.xml" /><Relationship Id="rId424" Type="http://schemas.openxmlformats.org/officeDocument/2006/relationships/header" Target="header57.xml" /><Relationship Id="rId425" Type="http://schemas.openxmlformats.org/officeDocument/2006/relationships/footer" Target="footer57.xml" /><Relationship Id="rId426" Type="http://schemas.openxmlformats.org/officeDocument/2006/relationships/hyperlink" Target="https://advance.lexis.com/api/document?collection=cases-ca&amp;id=urn:contentItem:5F7T-S7P1-JCRC-B2HW-00000-00&amp;context=" TargetMode="External" /><Relationship Id="rId427" Type="http://schemas.openxmlformats.org/officeDocument/2006/relationships/hyperlink" Target="https://advance.lexis.com/api/document?collection=cases-ca&amp;id=urn:contentItem:5F7T-S7N1-JGHR-M2Y2-00000-00&amp;context=" TargetMode="External" /><Relationship Id="rId428" Type="http://schemas.openxmlformats.org/officeDocument/2006/relationships/hyperlink" Target="https://advance.lexis.com/api/document?collection=cases-ca&amp;id=urn:contentItem:5F8T-N3V1-FH4C-X20M-00000-00&amp;context=" TargetMode="External" /><Relationship Id="rId429" Type="http://schemas.openxmlformats.org/officeDocument/2006/relationships/hyperlink" Target="https://advance.lexis.com/api/document?collection=cases-ca&amp;id=urn:contentItem:5F7T-S7K1-JWXF-20X0-00000-00&amp;context=" TargetMode="External" /><Relationship Id="rId43" Type="http://schemas.openxmlformats.org/officeDocument/2006/relationships/hyperlink" Target="https://advance.lexis.com/api/document?collection=cases-ca&amp;id=urn:contentItem:5F81-WC31-F5KY-B4VS-00000-00&amp;context=" TargetMode="External" /><Relationship Id="rId430" Type="http://schemas.openxmlformats.org/officeDocument/2006/relationships/hyperlink" Target="https://advance.lexis.com/api/document?collection=cases-ca&amp;id=urn:contentItem:5F7T-S7N1-F57G-S2HF-00000-00&amp;context=" TargetMode="External" /><Relationship Id="rId431" Type="http://schemas.openxmlformats.org/officeDocument/2006/relationships/hyperlink" Target="https://advance.lexis.com/api/document?collection=cases-ca&amp;id=urn:contentItem:5F7T-S7D1-FBFS-S1M7-00000-00&amp;context=" TargetMode="External" /><Relationship Id="rId432" Type="http://schemas.openxmlformats.org/officeDocument/2006/relationships/hyperlink" Target="https://advance.lexis.com/api/document?collection=cases-ca&amp;id=urn:contentItem:5F7T-S7D1-JN6B-S131-00000-00&amp;context=" TargetMode="External" /><Relationship Id="rId433" Type="http://schemas.openxmlformats.org/officeDocument/2006/relationships/hyperlink" Target="https://advance.lexis.com/api/document?collection=cases-ca&amp;id=urn:contentItem:5F7T-S731-F016-S316-00000-00&amp;context=" TargetMode="External" /><Relationship Id="rId434" Type="http://schemas.openxmlformats.org/officeDocument/2006/relationships/hyperlink" Target="https://advance.lexis.com/api/document?collection=cases-ca&amp;id=urn:contentItem:5F7T-S7D1-FC6N-X0K0-00000-00&amp;context=" TargetMode="External" /><Relationship Id="rId435" Type="http://schemas.openxmlformats.org/officeDocument/2006/relationships/hyperlink" Target="https://advance.lexis.com/api/document?collection=cases-ca&amp;id=urn:contentItem:5F7T-S7H1-F4GK-M3BD-00000-00&amp;context=" TargetMode="External" /><Relationship Id="rId436" Type="http://schemas.openxmlformats.org/officeDocument/2006/relationships/hyperlink" Target="https://advance.lexis.com/api/document?collection=cases-ca&amp;id=urn:contentItem:5F7T-S7H1-JS5Y-B2YB-00000-00&amp;context=" TargetMode="External" /><Relationship Id="rId437" Type="http://schemas.openxmlformats.org/officeDocument/2006/relationships/hyperlink" Target="https://advance.lexis.com/api/document?collection=cases-ca&amp;id=urn:contentItem:5F7T-S7H1-F016-S3P4-00000-00&amp;context=" TargetMode="External" /><Relationship Id="rId438" Type="http://schemas.openxmlformats.org/officeDocument/2006/relationships/hyperlink" Target="https://advance.lexis.com/api/document?collection=cases-ca&amp;id=urn:contentItem:5F7T-S7N1-JJ1H-X2MB-00000-00&amp;context=" TargetMode="External" /><Relationship Id="rId439" Type="http://schemas.openxmlformats.org/officeDocument/2006/relationships/hyperlink" Target="https://advance.lexis.com/api/document?collection=cases-ca&amp;id=urn:contentItem:5F7T-S7D1-FCSB-S377-00000-00&amp;context=" TargetMode="External" /><Relationship Id="rId44" Type="http://schemas.openxmlformats.org/officeDocument/2006/relationships/header" Target="header10.xml" /><Relationship Id="rId440" Type="http://schemas.openxmlformats.org/officeDocument/2006/relationships/hyperlink" Target="https://advance.lexis.com/api/document?collection=cases-ca&amp;id=urn:contentItem:5F7T-S7F1-JK4W-M1P3-00000-00&amp;context=" TargetMode="External" /><Relationship Id="rId441" Type="http://schemas.openxmlformats.org/officeDocument/2006/relationships/hyperlink" Target="https://advance.lexis.com/api/document?collection=cases-ca&amp;id=urn:contentItem:5F7T-S7H1-FCSB-S3PB-00000-00&amp;context=" TargetMode="External" /><Relationship Id="rId442" Type="http://schemas.openxmlformats.org/officeDocument/2006/relationships/hyperlink" Target="https://advance.lexis.com/api/document?collection=cases-ca&amp;id=urn:contentItem:5F7T-S7D1-FC6N-X0N4-00000-00&amp;context=" TargetMode="External" /><Relationship Id="rId443" Type="http://schemas.openxmlformats.org/officeDocument/2006/relationships/hyperlink" Target="https://advance.lexis.com/api/document?collection=cases-ca&amp;id=urn:contentItem:5F7T-S7G1-JN6B-S1BC-00000-00&amp;context=" TargetMode="External" /><Relationship Id="rId444" Type="http://schemas.openxmlformats.org/officeDocument/2006/relationships/hyperlink" Target="https://advance.lexis.com/api/document?collection=cases-ca&amp;id=urn:contentItem:5F7T-S7H1-F016-S3P3-00000-00&amp;context=" TargetMode="External" /><Relationship Id="rId445" Type="http://schemas.openxmlformats.org/officeDocument/2006/relationships/hyperlink" Target="https://advance.lexis.com/api/document?collection=cases-ca&amp;id=urn:contentItem:5F7T-S7H1-F016-S3KK-00000-00&amp;context=" TargetMode="External" /><Relationship Id="rId446" Type="http://schemas.openxmlformats.org/officeDocument/2006/relationships/hyperlink" Target="https://advance.lexis.com/api/document?collection=cases-ca&amp;id=urn:contentItem:5F7T-S7K1-JKHB-62MJ-00000-00&amp;context=" TargetMode="External" /><Relationship Id="rId447" Type="http://schemas.openxmlformats.org/officeDocument/2006/relationships/hyperlink" Target="https://advance.lexis.com/api/document?collection=cases-ca&amp;id=urn:contentItem:5F7T-S711-JNY7-X3JD-00000-00&amp;context=" TargetMode="External" /><Relationship Id="rId448" Type="http://schemas.openxmlformats.org/officeDocument/2006/relationships/hyperlink" Target="https://advance.lexis.com/api/document?collection=cases-ca&amp;id=urn:contentItem:5F7T-S6W1-JB7K-21F4-00000-00&amp;context=" TargetMode="External" /><Relationship Id="rId449" Type="http://schemas.openxmlformats.org/officeDocument/2006/relationships/hyperlink" Target="https://advance.lexis.com/api/document?collection=cases-ca&amp;id=urn:contentItem:5F7T-S6X1-JTNR-M3X3-00000-00&amp;context=" TargetMode="External" /><Relationship Id="rId45" Type="http://schemas.openxmlformats.org/officeDocument/2006/relationships/header" Target="header11.xml" /><Relationship Id="rId450" Type="http://schemas.openxmlformats.org/officeDocument/2006/relationships/hyperlink" Target="https://advance.lexis.com/api/document?collection=cases-ca&amp;id=urn:contentItem:5F7T-S7M1-JJK6-S25C-00000-00&amp;context=" TargetMode="External" /><Relationship Id="rId451" Type="http://schemas.openxmlformats.org/officeDocument/2006/relationships/hyperlink" Target="https://advance.lexis.com/api/document?collection=cases-ca&amp;id=urn:contentItem:5F7T-S7H1-FCSB-S3RY-00000-00&amp;context=" TargetMode="External" /><Relationship Id="rId452" Type="http://schemas.openxmlformats.org/officeDocument/2006/relationships/hyperlink" Target="https://advance.lexis.com/api/document?collection=cases-ca&amp;id=urn:contentItem:5F7T-S771-JSJC-X05N-00000-00&amp;context=" TargetMode="External" /><Relationship Id="rId453" Type="http://schemas.openxmlformats.org/officeDocument/2006/relationships/hyperlink" Target="https://advance.lexis.com/api/document?collection=cases-ca&amp;id=urn:contentItem:5F81-VJY1-FBN1-22RF-00000-00&amp;context=" TargetMode="External" /><Relationship Id="rId454" Type="http://schemas.openxmlformats.org/officeDocument/2006/relationships/header" Target="header58.xml" /><Relationship Id="rId455" Type="http://schemas.openxmlformats.org/officeDocument/2006/relationships/header" Target="header59.xml" /><Relationship Id="rId456" Type="http://schemas.openxmlformats.org/officeDocument/2006/relationships/footer" Target="footer58.xml" /><Relationship Id="rId457" Type="http://schemas.openxmlformats.org/officeDocument/2006/relationships/footer" Target="footer59.xml" /><Relationship Id="rId458" Type="http://schemas.openxmlformats.org/officeDocument/2006/relationships/header" Target="header60.xml" /><Relationship Id="rId459" Type="http://schemas.openxmlformats.org/officeDocument/2006/relationships/footer" Target="footer60.xml" /><Relationship Id="rId46" Type="http://schemas.openxmlformats.org/officeDocument/2006/relationships/footer" Target="footer10.xml" /><Relationship Id="rId460" Type="http://schemas.openxmlformats.org/officeDocument/2006/relationships/hyperlink" Target="https://advance.lexis.com/api/document?collection=cases-ca&amp;id=urn:contentItem:5F7T-S7J1-JYYX-624S-00000-00&amp;context=" TargetMode="External" /><Relationship Id="rId461" Type="http://schemas.openxmlformats.org/officeDocument/2006/relationships/hyperlink" Target="https://advance.lexis.com/api/document?collection=cases-ca&amp;id=urn:contentItem:5F7T-S7F1-FBN1-21F2-00000-00&amp;context=" TargetMode="External" /><Relationship Id="rId462" Type="http://schemas.openxmlformats.org/officeDocument/2006/relationships/hyperlink" Target="https://advance.lexis.com/api/document?collection=cases-ca&amp;id=urn:contentItem:5F7T-S781-JSC5-M4D1-00000-00&amp;context=" TargetMode="External" /><Relationship Id="rId463" Type="http://schemas.openxmlformats.org/officeDocument/2006/relationships/hyperlink" Target="https://advance.lexis.com/api/document?collection=cases-ca&amp;id=urn:contentItem:5F7T-S751-JG02-S29H-00000-00&amp;context=" TargetMode="External" /><Relationship Id="rId464" Type="http://schemas.openxmlformats.org/officeDocument/2006/relationships/hyperlink" Target="https://advance.lexis.com/api/document?collection=cases-ca&amp;id=urn:contentItem:5F7T-S771-JJD0-G1FB-00000-00&amp;context=" TargetMode="External" /><Relationship Id="rId465" Type="http://schemas.openxmlformats.org/officeDocument/2006/relationships/hyperlink" Target="https://advance.lexis.com/api/document?collection=cases-ca&amp;id=urn:contentItem:5F7T-S781-F27X-6156-00000-00&amp;context=" TargetMode="External" /><Relationship Id="rId466" Type="http://schemas.openxmlformats.org/officeDocument/2006/relationships/hyperlink" Target="https://advance.lexis.com/api/document?collection=cases-ca&amp;id=urn:contentItem:5F7T-S791-FJTD-G2V5-00000-00&amp;context=" TargetMode="External" /><Relationship Id="rId467" Type="http://schemas.openxmlformats.org/officeDocument/2006/relationships/hyperlink" Target="https://advance.lexis.com/api/document?collection=cases-ca&amp;id=urn:contentItem:5F81-VJX1-F5T5-M3YH-00000-00&amp;context=" TargetMode="External" /><Relationship Id="rId468" Type="http://schemas.openxmlformats.org/officeDocument/2006/relationships/header" Target="header61.xml" /><Relationship Id="rId469" Type="http://schemas.openxmlformats.org/officeDocument/2006/relationships/header" Target="header62.xml" /><Relationship Id="rId47" Type="http://schemas.openxmlformats.org/officeDocument/2006/relationships/footer" Target="footer11.xml" /><Relationship Id="rId470" Type="http://schemas.openxmlformats.org/officeDocument/2006/relationships/footer" Target="footer61.xml" /><Relationship Id="rId471" Type="http://schemas.openxmlformats.org/officeDocument/2006/relationships/footer" Target="footer62.xml" /><Relationship Id="rId472" Type="http://schemas.openxmlformats.org/officeDocument/2006/relationships/header" Target="header63.xml" /><Relationship Id="rId473" Type="http://schemas.openxmlformats.org/officeDocument/2006/relationships/footer" Target="footer63.xml" /><Relationship Id="rId474" Type="http://schemas.openxmlformats.org/officeDocument/2006/relationships/hyperlink" Target="https://advance.lexis.com/api/document?collection=cases-ca&amp;id=urn:contentItem:5F7T-S7J1-JGBH-B2C9-00000-00&amp;context=" TargetMode="External" /><Relationship Id="rId475" Type="http://schemas.openxmlformats.org/officeDocument/2006/relationships/hyperlink" Target="https://advance.lexis.com/api/document?collection=legislation-ca&amp;id=urn:contentItem:5F41-1FP1-JXNB-60PT-00000-00&amp;context=" TargetMode="External" /><Relationship Id="rId476" Type="http://schemas.openxmlformats.org/officeDocument/2006/relationships/hyperlink" Target="https://advance.lexis.com/api/document?collection=legislation-ca&amp;id=urn:contentItem:5F41-1FJ1-F2TK-203C-00000-00&amp;context=" TargetMode="External" /><Relationship Id="rId477" Type="http://schemas.openxmlformats.org/officeDocument/2006/relationships/hyperlink" Target="https://advance.lexis.com/api/document?collection=legislation-ca&amp;id=urn:contentItem:5F41-1FJ1-F5KY-B1KS-00000-00&amp;context=" TargetMode="External" /><Relationship Id="rId478" Type="http://schemas.openxmlformats.org/officeDocument/2006/relationships/hyperlink" Target="https://advance.lexis.com/api/document?collection=cases-ca&amp;id=urn:contentItem:5F8T-N3V1-JTGH-B0YX-00000-00&amp;context=" TargetMode="External" /><Relationship Id="rId479" Type="http://schemas.openxmlformats.org/officeDocument/2006/relationships/hyperlink" Target="https://iclr.co.uk/pubrefLookup/redirectTo?ref=9+App.+Cas.+187" TargetMode="External" /><Relationship Id="rId48" Type="http://schemas.openxmlformats.org/officeDocument/2006/relationships/header" Target="header12.xml" /><Relationship Id="rId480" Type="http://schemas.openxmlformats.org/officeDocument/2006/relationships/image" Target="media/image8.png" /><Relationship Id="rId481" Type="http://schemas.openxmlformats.org/officeDocument/2006/relationships/hyperlink" Target="https://advance.lexis.com/api/document?collection=cases-ca&amp;id=urn:contentItem:5F7T-S7D1-FBFS-S1XC-00000-00&amp;context=" TargetMode="External" /><Relationship Id="rId482" Type="http://schemas.openxmlformats.org/officeDocument/2006/relationships/hyperlink" Target="https://advance.lexis.com/api/document?collection=cases-ca&amp;id=urn:contentItem:5F7T-S7H1-JFKM-6264-00000-00&amp;context=" TargetMode="External" /><Relationship Id="rId483" Type="http://schemas.openxmlformats.org/officeDocument/2006/relationships/hyperlink" Target="https://advance.lexis.com/api/document?collection=cases-ca&amp;id=urn:contentItem:5F8W-V3P1-JWXF-21B5-00000-00&amp;context=" TargetMode="External" /><Relationship Id="rId484" Type="http://schemas.openxmlformats.org/officeDocument/2006/relationships/hyperlink" Target="https://advance.lexis.com/api/document?collection=cases-ca&amp;id=urn:contentItem:5F82-TRF1-DXHD-G1YX-00000-00&amp;context=" TargetMode="External" /><Relationship Id="rId485" Type="http://schemas.openxmlformats.org/officeDocument/2006/relationships/hyperlink" Target="https://advance.lexis.com/api/document?collection=cases-ca&amp;id=urn:contentItem:5F82-TRF1-DXHD-G1XD-00000-00&amp;context=" TargetMode="External" /><Relationship Id="rId486" Type="http://schemas.openxmlformats.org/officeDocument/2006/relationships/hyperlink" Target="https://advance.lexis.com/api/document?collection=cases-ca&amp;id=urn:contentItem:5F7T-S771-JJD0-G11D-00000-00&amp;context=" TargetMode="External" /><Relationship Id="rId487" Type="http://schemas.openxmlformats.org/officeDocument/2006/relationships/hyperlink" Target="https://advance.lexis.com/api/document?collection=cases-ca&amp;id=urn:contentItem:5F8W-M4C1-JKB3-X3NP-00000-00&amp;context=" TargetMode="External" /><Relationship Id="rId488" Type="http://schemas.openxmlformats.org/officeDocument/2006/relationships/hyperlink" Target="https://advance.lexis.com/api/document?collection=legislation-ca&amp;id=urn:contentItem:5W3Y-TT01-JJK6-S2WH-00000-00&amp;context=" TargetMode="External" /><Relationship Id="rId489" Type="http://schemas.openxmlformats.org/officeDocument/2006/relationships/hyperlink" Target="https://advance.lexis.com/api/document?collection=cases-ca&amp;id=urn:contentItem:5F7T-S7G1-JN6B-S19H-00000-00&amp;context=" TargetMode="External" /><Relationship Id="rId49" Type="http://schemas.openxmlformats.org/officeDocument/2006/relationships/footer" Target="footer12.xml" /><Relationship Id="rId490" Type="http://schemas.openxmlformats.org/officeDocument/2006/relationships/hyperlink" Target="https://advance.lexis.com/api/document?collection=cases-ca&amp;id=urn:contentItem:5F8T-N3V1-JFKM-603K-00000-00&amp;context=" TargetMode="External" /><Relationship Id="rId491" Type="http://schemas.openxmlformats.org/officeDocument/2006/relationships/hyperlink" Target="https://advance.lexis.com/api/document?collection=cases-ca&amp;id=urn:contentItem:5F81-VJY1-FBN1-22NG-00000-00&amp;context=" TargetMode="External" /><Relationship Id="rId492" Type="http://schemas.openxmlformats.org/officeDocument/2006/relationships/hyperlink" Target="https://advance.lexis.com/api/document?collection=cases-ca&amp;id=urn:contentItem:5K6X-WKJ1-F22N-X09M-00000-00&amp;context=" TargetMode="External" /><Relationship Id="rId493" Type="http://schemas.openxmlformats.org/officeDocument/2006/relationships/hyperlink" Target="https://advance.lexis.com/api/document?collection=cases-ca&amp;id=urn:contentItem:5F7T-S781-F7G6-63SJ-00000-00&amp;context=" TargetMode="External" /><Relationship Id="rId494" Type="http://schemas.openxmlformats.org/officeDocument/2006/relationships/hyperlink" Target="https://advance.lexis.com/api/document?collection=cases-ca&amp;id=urn:contentItem:5F7H-SCP1-JKHB-61KG-00000-00&amp;context=" TargetMode="External" /><Relationship Id="rId495" Type="http://schemas.openxmlformats.org/officeDocument/2006/relationships/hyperlink" Target="https://advance.lexis.com/api/document?collection=cases-ca&amp;id=urn:contentItem:5F7T-S7G1-JBT7-X4CT-00000-00&amp;context=" TargetMode="External" /><Relationship Id="rId496" Type="http://schemas.openxmlformats.org/officeDocument/2006/relationships/hyperlink" Target="https://advance.lexis.com/api/document?collection=cases-ca&amp;id=urn:contentItem:5F82-1SH1-F22N-X2N5-00000-00&amp;context=" TargetMode="External" /><Relationship Id="rId497" Type="http://schemas.openxmlformats.org/officeDocument/2006/relationships/hyperlink" Target="https://advance.lexis.com/api/document?collection=cases-ca&amp;id=urn:contentItem:5F7T-S741-DXPM-S0PM-00000-00&amp;context=" TargetMode="External" /><Relationship Id="rId498" Type="http://schemas.openxmlformats.org/officeDocument/2006/relationships/hyperlink" Target="https://advance.lexis.com/api/document?collection=cases-ca&amp;id=urn:contentItem:5F8T-N3T1-JGHR-M278-00000-00&amp;context=" TargetMode="External" /><Relationship Id="rId499" Type="http://schemas.openxmlformats.org/officeDocument/2006/relationships/hyperlink" Target="https://advance.lexis.com/api/document?collection=cases-ca&amp;id=urn:contentItem:5F7T-S711-F4GK-M2K1-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P1-JP4G-6257-00000-00&amp;context=" TargetMode="External" /><Relationship Id="rId500" Type="http://schemas.openxmlformats.org/officeDocument/2006/relationships/header" Target="header64.xml" /><Relationship Id="rId501" Type="http://schemas.openxmlformats.org/officeDocument/2006/relationships/header" Target="header65.xml" /><Relationship Id="rId502" Type="http://schemas.openxmlformats.org/officeDocument/2006/relationships/footer" Target="footer64.xml" /><Relationship Id="rId503" Type="http://schemas.openxmlformats.org/officeDocument/2006/relationships/footer" Target="footer65.xml" /><Relationship Id="rId504" Type="http://schemas.openxmlformats.org/officeDocument/2006/relationships/header" Target="header66.xml" /><Relationship Id="rId505" Type="http://schemas.openxmlformats.org/officeDocument/2006/relationships/footer" Target="footer66.xml" /><Relationship Id="rId506" Type="http://schemas.openxmlformats.org/officeDocument/2006/relationships/hyperlink" Target="https://advance.lexis.com/api/document?collection=cases-ca&amp;id=urn:contentItem:5F7T-S771-JJD0-G13S-00000-00&amp;context=" TargetMode="External" /><Relationship Id="rId507" Type="http://schemas.openxmlformats.org/officeDocument/2006/relationships/hyperlink" Target="https://advance.lexis.com/api/document?collection=legislation-ca&amp;id=urn:contentItem:5F41-1FH1-F361-M0HG-00000-00&amp;context=" TargetMode="External" /><Relationship Id="rId508" Type="http://schemas.openxmlformats.org/officeDocument/2006/relationships/hyperlink" Target="https://advance.lexis.com/api/document?collection=cases-ca&amp;id=urn:contentItem:5F7T-S6X1-FCCX-60HC-00000-00&amp;context=" TargetMode="External" /><Relationship Id="rId509" Type="http://schemas.openxmlformats.org/officeDocument/2006/relationships/hyperlink" Target="https://advance.lexis.com/api/document?collection=cases-ca&amp;id=urn:contentItem:5F7T-S6Y1-F65M-604Y-00000-00&amp;context=" TargetMode="External" /><Relationship Id="rId51" Type="http://schemas.openxmlformats.org/officeDocument/2006/relationships/hyperlink" Target="https://advance.lexis.com/api/document?collection=legislation-ca&amp;id=urn:contentItem:5F41-1FH1-F361-M0FY-00000-00&amp;context=" TargetMode="External" /><Relationship Id="rId510" Type="http://schemas.openxmlformats.org/officeDocument/2006/relationships/hyperlink" Target="https://advance.lexis.com/api/document?collection=cases-ca&amp;id=urn:contentItem:5F7T-S6X1-FJDY-X1HX-00000-00&amp;context=" TargetMode="External" /><Relationship Id="rId511" Type="http://schemas.openxmlformats.org/officeDocument/2006/relationships/hyperlink" Target="https://advance.lexis.com/api/document?collection=cases-ca&amp;id=urn:contentItem:5F7T-S721-FD4T-B0MF-00000-00&amp;context=" TargetMode="External" /><Relationship Id="rId512" Type="http://schemas.openxmlformats.org/officeDocument/2006/relationships/header" Target="header67.xml" /><Relationship Id="rId513" Type="http://schemas.openxmlformats.org/officeDocument/2006/relationships/header" Target="header68.xml" /><Relationship Id="rId514" Type="http://schemas.openxmlformats.org/officeDocument/2006/relationships/footer" Target="footer67.xml" /><Relationship Id="rId515" Type="http://schemas.openxmlformats.org/officeDocument/2006/relationships/footer" Target="footer68.xml" /><Relationship Id="rId516" Type="http://schemas.openxmlformats.org/officeDocument/2006/relationships/header" Target="header69.xml" /><Relationship Id="rId517" Type="http://schemas.openxmlformats.org/officeDocument/2006/relationships/footer" Target="footer69.xml" /><Relationship Id="rId518" Type="http://schemas.openxmlformats.org/officeDocument/2006/relationships/hyperlink" Target="https://advance.lexis.com/api/document?collection=cases-ca&amp;id=urn:contentItem:5F7T-S7M1-JCRC-B1SY-00000-00&amp;context=" TargetMode="External" /><Relationship Id="rId519" Type="http://schemas.openxmlformats.org/officeDocument/2006/relationships/hyperlink" Target="https://advance.lexis.com/api/document?collection=cases-ca&amp;id=urn:contentItem:5F8T-N3V1-JTGH-B18F-00000-00&amp;context=" TargetMode="External" /><Relationship Id="rId52" Type="http://schemas.openxmlformats.org/officeDocument/2006/relationships/hyperlink" Target="https://advance.lexis.com/api/document?collection=cases-ca&amp;id=urn:contentItem:5F7T-S721-F8D9-M0NK-00000-00&amp;context=" TargetMode="External" /><Relationship Id="rId520" Type="http://schemas.openxmlformats.org/officeDocument/2006/relationships/hyperlink" Target="https://advance.lexis.com/api/document?collection=cases-ca&amp;id=urn:contentItem:5F8T-N3V1-JTGH-B153-00000-00&amp;context=" TargetMode="External" /><Relationship Id="rId521" Type="http://schemas.openxmlformats.org/officeDocument/2006/relationships/hyperlink" Target="https://advance.lexis.com/api/document?collection=cases-ca&amp;id=urn:contentItem:5F7T-S7C1-JSRM-60TP-00000-00&amp;context=" TargetMode="External" /><Relationship Id="rId522" Type="http://schemas.openxmlformats.org/officeDocument/2006/relationships/hyperlink" Target="https://advance.lexis.com/api/document?collection=cases-ca&amp;id=urn:contentItem:5F7T-S7G1-JNY7-X3K8-00000-00&amp;context=" TargetMode="External" /><Relationship Id="rId523" Type="http://schemas.openxmlformats.org/officeDocument/2006/relationships/hyperlink" Target="https://advance.lexis.com/api/document?collection=cases-ca&amp;id=urn:contentItem:5F8T-N3S1-JT99-250W-00000-00&amp;context=" TargetMode="External" /><Relationship Id="rId524" Type="http://schemas.openxmlformats.org/officeDocument/2006/relationships/hyperlink" Target="https://advance.lexis.com/api/document?collection=cases-ca&amp;id=urn:contentItem:5F7T-S7H1-JFSV-G35Y-00000-00&amp;context=" TargetMode="External" /><Relationship Id="rId525" Type="http://schemas.openxmlformats.org/officeDocument/2006/relationships/hyperlink" Target="https://advance.lexis.com/api/document?collection=cases-ca&amp;id=urn:contentItem:5F7T-S7C1-F7VM-S3T7-00000-00&amp;context=" TargetMode="External" /><Relationship Id="rId526" Type="http://schemas.openxmlformats.org/officeDocument/2006/relationships/hyperlink" Target="https://advance.lexis.com/api/document?collection=cases-ca&amp;id=urn:contentItem:5F7T-S7K1-JX3N-B2NW-00000-00&amp;context=" TargetMode="External" /><Relationship Id="rId527" Type="http://schemas.openxmlformats.org/officeDocument/2006/relationships/hyperlink" Target="https://advance.lexis.com/api/document?collection=cases-ca&amp;id=urn:contentItem:5F7T-S7J1-JGBH-B2JY-00000-00&amp;context=" TargetMode="External" /><Relationship Id="rId528" Type="http://schemas.openxmlformats.org/officeDocument/2006/relationships/hyperlink" Target="https://advance.lexis.com/api/document?collection=cases-ca&amp;id=urn:contentItem:5F7T-S7H1-JCRC-B11K-00000-00&amp;context=" TargetMode="External" /><Relationship Id="rId529" Type="http://schemas.openxmlformats.org/officeDocument/2006/relationships/hyperlink" Target="https://advance.lexis.com/api/document?collection=cases-ca&amp;id=urn:contentItem:5F7T-S7J1-JGBH-B292-00000-00&amp;context=" TargetMode="External" /><Relationship Id="rId53" Type="http://schemas.openxmlformats.org/officeDocument/2006/relationships/hyperlink" Target="https://advance.lexis.com/api/document?collection=cases-ca&amp;id=urn:contentItem:5F7T-S7N1-DXWW-20HK-00000-00&amp;context=" TargetMode="External" /><Relationship Id="rId530" Type="http://schemas.openxmlformats.org/officeDocument/2006/relationships/hyperlink" Target="https://advance.lexis.com/api/document?collection=cases-ca&amp;id=urn:contentItem:5F7T-S7J1-JGBH-B24J-00000-00&amp;context=" TargetMode="External" /><Relationship Id="rId531" Type="http://schemas.openxmlformats.org/officeDocument/2006/relationships/hyperlink" Target="https://advance.lexis.com/api/document?collection=cases-ca&amp;id=urn:contentItem:5F7T-S7J1-JGBH-B23T-00000-00&amp;context=" TargetMode="External" /><Relationship Id="rId532" Type="http://schemas.openxmlformats.org/officeDocument/2006/relationships/hyperlink" Target="https://advance.lexis.com/api/document?collection=cases-ca&amp;id=urn:contentItem:5F7T-S7J1-FGCG-S09W-00000-00&amp;context=" TargetMode="External" /><Relationship Id="rId533" Type="http://schemas.openxmlformats.org/officeDocument/2006/relationships/hyperlink" Target="https://advance.lexis.com/api/document?collection=cases-ca&amp;id=urn:contentItem:5F7T-S761-F81W-21RK-00000-00&amp;context=" TargetMode="External" /><Relationship Id="rId534" Type="http://schemas.openxmlformats.org/officeDocument/2006/relationships/hyperlink" Target="https://advance.lexis.com/api/document?collection=cases-ca&amp;id=urn:contentItem:5F7T-S701-JF75-M4N2-00000-00&amp;context=" TargetMode="External" /><Relationship Id="rId535" Type="http://schemas.openxmlformats.org/officeDocument/2006/relationships/hyperlink" Target="https://advance.lexis.com/api/document?collection=cases-ca&amp;id=urn:contentItem:5F7T-S7F1-F7VM-S475-00000-00&amp;context=" TargetMode="External" /><Relationship Id="rId536" Type="http://schemas.openxmlformats.org/officeDocument/2006/relationships/hyperlink" Target="https://advance.lexis.com/api/document?collection=cases-ca&amp;id=urn:contentItem:5F7T-S701-JBT7-X23F-00000-00&amp;context=" TargetMode="External" /><Relationship Id="rId537" Type="http://schemas.openxmlformats.org/officeDocument/2006/relationships/hyperlink" Target="https://advance.lexis.com/api/document?collection=cases-ca&amp;id=urn:contentItem:5F7T-S6W1-JYYX-61TX-00000-00&amp;context=" TargetMode="External" /><Relationship Id="rId538" Type="http://schemas.openxmlformats.org/officeDocument/2006/relationships/hyperlink" Target="https://advance.lexis.com/api/document?collection=cases-ca&amp;id=urn:contentItem:5F7T-S731-DY33-B0YN-00000-00&amp;context=" TargetMode="External" /><Relationship Id="rId539" Type="http://schemas.openxmlformats.org/officeDocument/2006/relationships/hyperlink" Target="https://advance.lexis.com/api/document?collection=cases-ca&amp;id=urn:contentItem:5F7T-S741-DY89-M3P5-00000-00&amp;context=" TargetMode="External" /><Relationship Id="rId54" Type="http://schemas.openxmlformats.org/officeDocument/2006/relationships/hyperlink" Target="https://advance.lexis.com/api/document?collection=cases-ca&amp;id=urn:contentItem:5F7T-S7P1-JNJT-B2B9-00000-00&amp;context=" TargetMode="External" /><Relationship Id="rId540" Type="http://schemas.openxmlformats.org/officeDocument/2006/relationships/hyperlink" Target="https://advance.lexis.com/api/document?collection=cases-ca&amp;id=urn:contentItem:5F7T-S7D1-F7ND-G0MH-00000-00&amp;context=" TargetMode="External" /><Relationship Id="rId541" Type="http://schemas.openxmlformats.org/officeDocument/2006/relationships/hyperlink" Target="https://advance.lexis.com/api/document?collection=cases-ca&amp;id=urn:contentItem:5F7T-S771-JSJC-X038-00000-00&amp;context=" TargetMode="External" /><Relationship Id="rId542" Type="http://schemas.openxmlformats.org/officeDocument/2006/relationships/hyperlink" Target="https://advance.lexis.com/api/document?collection=cases-ca&amp;id=urn:contentItem:5F7T-S791-JCJ5-251B-00000-00&amp;context=" TargetMode="External" /><Relationship Id="rId543" Type="http://schemas.openxmlformats.org/officeDocument/2006/relationships/hyperlink" Target="https://advance.lexis.com/api/document?collection=cases-ca&amp;id=urn:contentItem:5F7T-S7F1-JX3N-B19D-00000-00&amp;context=" TargetMode="External" /><Relationship Id="rId544" Type="http://schemas.openxmlformats.org/officeDocument/2006/relationships/hyperlink" Target="https://advance.lexis.com/api/document?collection=cases-ca&amp;id=urn:contentItem:5F7T-S7M1-DYMS-62FG-00000-00&amp;context=" TargetMode="External" /><Relationship Id="rId545" Type="http://schemas.openxmlformats.org/officeDocument/2006/relationships/hyperlink" Target="https://advance.lexis.com/api/document?collection=cases-ca&amp;id=urn:contentItem:5F7T-S751-JGHR-M273-00000-00&amp;context=" TargetMode="External" /><Relationship Id="rId546" Type="http://schemas.openxmlformats.org/officeDocument/2006/relationships/hyperlink" Target="https://advance.lexis.com/api/document?collection=cases-ca&amp;id=urn:contentItem:5F8T-N3V1-FC1F-M4BC-00000-00&amp;context=" TargetMode="External" /><Relationship Id="rId547" Type="http://schemas.openxmlformats.org/officeDocument/2006/relationships/hyperlink" Target="https://advance.lexis.com/api/document?collection=cases-ca&amp;id=urn:contentItem:5F7T-S7M1-JNCK-22MK-00000-00&amp;context=" TargetMode="External" /><Relationship Id="rId548" Type="http://schemas.openxmlformats.org/officeDocument/2006/relationships/header" Target="header70.xml" /><Relationship Id="rId549" Type="http://schemas.openxmlformats.org/officeDocument/2006/relationships/header" Target="header71.xml" /><Relationship Id="rId55" Type="http://schemas.openxmlformats.org/officeDocument/2006/relationships/hyperlink" Target="https://advance.lexis.com/api/document?collection=cases-ca&amp;id=urn:contentItem:5F7T-S7K1-JWXF-20V6-00000-00&amp;context=" TargetMode="External" /><Relationship Id="rId550" Type="http://schemas.openxmlformats.org/officeDocument/2006/relationships/footer" Target="footer70.xml" /><Relationship Id="rId551" Type="http://schemas.openxmlformats.org/officeDocument/2006/relationships/footer" Target="footer71.xml" /><Relationship Id="rId552" Type="http://schemas.openxmlformats.org/officeDocument/2006/relationships/header" Target="header72.xml" /><Relationship Id="rId553" Type="http://schemas.openxmlformats.org/officeDocument/2006/relationships/footer" Target="footer72.xml" /><Relationship Id="rId554" Type="http://schemas.openxmlformats.org/officeDocument/2006/relationships/hyperlink" Target="https://advance.lexis.com/api/document?collection=cases-ca&amp;id=urn:contentItem:5F7T-S7J1-JYYX-627P-00000-00&amp;context=" TargetMode="External" /><Relationship Id="rId555" Type="http://schemas.openxmlformats.org/officeDocument/2006/relationships/hyperlink" Target="https://advance.lexis.com/api/document?collection=cases-ca&amp;id=urn:contentItem:5K6Y-81M1-DXHD-G2R0-00000-00&amp;context=" TargetMode="External" /><Relationship Id="rId556" Type="http://schemas.openxmlformats.org/officeDocument/2006/relationships/hyperlink" Target="https://advance.lexis.com/api/document?collection=cases-ca&amp;id=urn:contentItem:5F8T-N3V1-FC1F-M461-00000-00&amp;context=" TargetMode="External" /><Relationship Id="rId557" Type="http://schemas.openxmlformats.org/officeDocument/2006/relationships/hyperlink" Target="https://advance.lexis.com/api/document?collection=cases-ca&amp;id=urn:contentItem:5F7T-S7F1-F7VM-S40D-00000-00&amp;context=" TargetMode="External" /><Relationship Id="rId558" Type="http://schemas.openxmlformats.org/officeDocument/2006/relationships/hyperlink" Target="https://advance.lexis.com/api/document?collection=cases-ca&amp;id=urn:contentItem:5F7T-S751-JBM1-M2HH-00000-00&amp;context=" TargetMode="External" /><Relationship Id="rId559" Type="http://schemas.openxmlformats.org/officeDocument/2006/relationships/hyperlink" Target="https://advance.lexis.com/api/document?collection=cases-ca&amp;id=urn:contentItem:5F81-VJX1-FFTT-X1C4-00000-00&amp;context=" TargetMode="External" /><Relationship Id="rId56" Type="http://schemas.openxmlformats.org/officeDocument/2006/relationships/hyperlink" Target="https://advance.lexis.com/api/document?collection=cases-ca&amp;id=urn:contentItem:5F7T-S7H1-JG02-S3RS-00000-00&amp;context=" TargetMode="External" /><Relationship Id="rId560" Type="http://schemas.openxmlformats.org/officeDocument/2006/relationships/hyperlink" Target="https://advance.lexis.com/api/document?collection=cases-ca&amp;id=urn:contentItem:5F8T-N3V1-FC1F-M440-00000-00&amp;context=" TargetMode="External" /><Relationship Id="rId561" Type="http://schemas.openxmlformats.org/officeDocument/2006/relationships/hyperlink" Target="https://advance.lexis.com/api/document?collection=cases-ca&amp;id=urn:contentItem:5F8T-N3T1-JJSF-2361-00000-00&amp;context=" TargetMode="External" /><Relationship Id="rId562" Type="http://schemas.openxmlformats.org/officeDocument/2006/relationships/hyperlink" Target="https://advance.lexis.com/api/document?collection=cases-ca&amp;id=urn:contentItem:5F7T-S7H1-JG02-S39S-00000-00&amp;context=" TargetMode="External" /><Relationship Id="rId563" Type="http://schemas.openxmlformats.org/officeDocument/2006/relationships/hyperlink" Target="https://advance.lexis.com/api/document?collection=cases-ca&amp;id=urn:contentItem:5F8P-T8S1-FGCG-S40J-00000-00&amp;context=" TargetMode="External" /><Relationship Id="rId564" Type="http://schemas.openxmlformats.org/officeDocument/2006/relationships/hyperlink" Target="https://advance.lexis.com/api/document?collection=cases-ca&amp;id=urn:contentItem:5F7T-S6X1-FCCX-60X3-00000-00&amp;context=" TargetMode="External" /><Relationship Id="rId565" Type="http://schemas.openxmlformats.org/officeDocument/2006/relationships/hyperlink" Target="https://advance.lexis.com/api/document?collection=cases-ca&amp;id=urn:contentItem:5F7T-S701-JBT7-X2GY-00000-00&amp;context=" TargetMode="External" /><Relationship Id="rId566" Type="http://schemas.openxmlformats.org/officeDocument/2006/relationships/hyperlink" Target="https://advance.lexis.com/api/document?collection=cases-ca&amp;id=urn:contentItem:5F7T-S711-JNS1-M0WT-00000-00&amp;context=" TargetMode="External" /><Relationship Id="rId567" Type="http://schemas.openxmlformats.org/officeDocument/2006/relationships/hyperlink" Target="https://advance.lexis.com/api/document?collection=cases-ca&amp;id=urn:contentItem:5F7T-S7F1-FFFC-B220-00000-00&amp;context=" TargetMode="External" /><Relationship Id="rId568" Type="http://schemas.openxmlformats.org/officeDocument/2006/relationships/hyperlink" Target="https://advance.lexis.com/api/document?collection=cases-ca&amp;id=urn:contentItem:5F7T-S741-F57G-S1FG-00000-00&amp;context=" TargetMode="External" /><Relationship Id="rId569" Type="http://schemas.openxmlformats.org/officeDocument/2006/relationships/header" Target="header73.xml" /><Relationship Id="rId57" Type="http://schemas.openxmlformats.org/officeDocument/2006/relationships/hyperlink" Target="https://advance.lexis.com/api/document?collection=cases-ca&amp;id=urn:contentItem:5F7T-S7N1-JWR6-S2KB-00000-00&amp;context=" TargetMode="External" /><Relationship Id="rId570" Type="http://schemas.openxmlformats.org/officeDocument/2006/relationships/header" Target="header74.xml" /><Relationship Id="rId571" Type="http://schemas.openxmlformats.org/officeDocument/2006/relationships/footer" Target="footer73.xml" /><Relationship Id="rId572" Type="http://schemas.openxmlformats.org/officeDocument/2006/relationships/footer" Target="footer74.xml" /><Relationship Id="rId573" Type="http://schemas.openxmlformats.org/officeDocument/2006/relationships/header" Target="header75.xml" /><Relationship Id="rId574" Type="http://schemas.openxmlformats.org/officeDocument/2006/relationships/footer" Target="footer75.xml" /><Relationship Id="rId575" Type="http://schemas.openxmlformats.org/officeDocument/2006/relationships/hyperlink" Target="https://advance.lexis.com/api/document?collection=cases-ca&amp;id=urn:contentItem:5F7T-S7P1-JG02-S48B-00000-00&amp;context=" TargetMode="External" /><Relationship Id="rId576" Type="http://schemas.openxmlformats.org/officeDocument/2006/relationships/hyperlink" Target="https://advance.lexis.com/api/document?collection=cases-ca&amp;id=urn:contentItem:5F7T-S7H1-JFSV-G2RD-00000-00&amp;context=" TargetMode="External" /><Relationship Id="rId577" Type="http://schemas.openxmlformats.org/officeDocument/2006/relationships/hyperlink" Target="https://advance.lexis.com/api/document?collection=cases-ca&amp;id=urn:contentItem:5F7T-S7K1-DY33-B1PT-00000-00&amp;context=" TargetMode="External" /><Relationship Id="rId578" Type="http://schemas.openxmlformats.org/officeDocument/2006/relationships/hyperlink" Target="https://advance.lexis.com/api/document?collection=cases-ca&amp;id=urn:contentItem:5F7T-S6V1-JFKM-6132-00000-00&amp;context=" TargetMode="External" /><Relationship Id="rId579" Type="http://schemas.openxmlformats.org/officeDocument/2006/relationships/hyperlink" Target="https://advance.lexis.com/api/document?collection=cases-ca&amp;id=urn:contentItem:5F7T-S761-JS5Y-B1HG-00000-00&amp;context=" TargetMode="External" /><Relationship Id="rId58" Type="http://schemas.openxmlformats.org/officeDocument/2006/relationships/hyperlink" Target="https://advance.lexis.com/api/document?collection=cases-ca&amp;id=urn:contentItem:5F7T-S731-F60C-X1CG-00000-00&amp;context=" TargetMode="External" /><Relationship Id="rId580" Type="http://schemas.openxmlformats.org/officeDocument/2006/relationships/hyperlink" Target="https://advance.lexis.com/api/document?collection=cases-ca&amp;id=urn:contentItem:5F7T-S7K1-DY33-B1FT-00000-00&amp;context=" TargetMode="External" /><Relationship Id="rId581" Type="http://schemas.openxmlformats.org/officeDocument/2006/relationships/hyperlink" Target="https://advance.lexis.com/api/document?collection=cases-ca&amp;id=urn:contentItem:5F7T-S771-F81W-22P8-00000-00&amp;context=" TargetMode="External" /><Relationship Id="rId582" Type="http://schemas.openxmlformats.org/officeDocument/2006/relationships/hyperlink" Target="https://advance.lexis.com/api/document?collection=cases-ca&amp;id=urn:contentItem:5F8W-M4C1-F361-M3XT-00000-00&amp;context=" TargetMode="External" /><Relationship Id="rId583" Type="http://schemas.openxmlformats.org/officeDocument/2006/relationships/hyperlink" Target="https://advance.lexis.com/api/document?collection=cases-ca&amp;id=urn:contentItem:5F8T-N3T1-JJSF-236M-00000-00&amp;context=" TargetMode="External" /><Relationship Id="rId584" Type="http://schemas.openxmlformats.org/officeDocument/2006/relationships/hyperlink" Target="https://advance.lexis.com/api/document?collection=cases-ca&amp;id=urn:contentItem:5F7T-S6X1-F7G6-624H-00000-00&amp;context=" TargetMode="External" /><Relationship Id="rId585" Type="http://schemas.openxmlformats.org/officeDocument/2006/relationships/hyperlink" Target="https://advance.lexis.com/api/document?collection=cases-ca&amp;id=urn:contentItem:5F7T-S7J1-FGCG-S08D-00000-00&amp;context=" TargetMode="External" /><Relationship Id="rId586" Type="http://schemas.openxmlformats.org/officeDocument/2006/relationships/hyperlink" Target="https://advance.lexis.com/api/document?collection=cases-ca&amp;id=urn:contentItem:5F7T-S6T1-JP9P-G0X4-00000-00&amp;context=" TargetMode="External" /><Relationship Id="rId587" Type="http://schemas.openxmlformats.org/officeDocument/2006/relationships/hyperlink" Target="https://advance.lexis.com/api/document?collection=cases-ca&amp;id=urn:contentItem:5F7T-S7J1-JNS1-M2HD-00000-00&amp;context=" TargetMode="External" /><Relationship Id="rId588" Type="http://schemas.openxmlformats.org/officeDocument/2006/relationships/hyperlink" Target="https://advance.lexis.com/api/document?collection=cases-ca&amp;id=urn:contentItem:5F7T-S7C1-JS0R-22HP-00000-00&amp;context=" TargetMode="External" /><Relationship Id="rId589" Type="http://schemas.openxmlformats.org/officeDocument/2006/relationships/hyperlink" Target="https://advance.lexis.com/api/document?collection=cases-ca&amp;id=urn:contentItem:5F7T-S6R1-F4GK-M0RC-00000-00&amp;context=" TargetMode="External" /><Relationship Id="rId59" Type="http://schemas.openxmlformats.org/officeDocument/2006/relationships/header" Target="header13.xml" /><Relationship Id="rId590" Type="http://schemas.openxmlformats.org/officeDocument/2006/relationships/hyperlink" Target="https://advance.lexis.com/api/document?collection=cases-ca&amp;id=urn:contentItem:5F7T-S6W1-JB7K-21HB-00000-00&amp;context=" TargetMode="External" /><Relationship Id="rId591" Type="http://schemas.openxmlformats.org/officeDocument/2006/relationships/hyperlink" Target="https://advance.lexis.com/api/document?collection=cases-ca&amp;id=urn:contentItem:5F7T-S761-F7ND-G4DM-00000-00&amp;context=" TargetMode="External" /><Relationship Id="rId592" Type="http://schemas.openxmlformats.org/officeDocument/2006/relationships/hyperlink" Target="https://advance.lexis.com/api/document?collection=cases-ca&amp;id=urn:contentItem:5F7T-S6V1-JTNR-M3F7-00000-00&amp;context=" TargetMode="External" /><Relationship Id="rId593" Type="http://schemas.openxmlformats.org/officeDocument/2006/relationships/hyperlink" Target="https://advance.lexis.com/api/document?collection=cases-ca&amp;id=urn:contentItem:5F7T-S731-F1WF-M25F-00000-00&amp;context=" TargetMode="External" /><Relationship Id="rId594" Type="http://schemas.openxmlformats.org/officeDocument/2006/relationships/hyperlink" Target="https://advance.lexis.com/api/document?collection=cases-ca&amp;id=urn:contentItem:5F7T-S7H1-F4GK-M325-00000-00&amp;context=" TargetMode="External" /><Relationship Id="rId595" Type="http://schemas.openxmlformats.org/officeDocument/2006/relationships/hyperlink" Target="https://advance.lexis.com/api/document?collection=analytical-materials-ca&amp;id=urn:contentItem:5XTK-PG51-FCYK-254M-00000-00&amp;context=" TargetMode="External" /><Relationship Id="rId596" Type="http://schemas.openxmlformats.org/officeDocument/2006/relationships/header" Target="header76.xml" /><Relationship Id="rId597" Type="http://schemas.openxmlformats.org/officeDocument/2006/relationships/header" Target="header77.xml" /><Relationship Id="rId598" Type="http://schemas.openxmlformats.org/officeDocument/2006/relationships/footer" Target="footer76.xml" /><Relationship Id="rId599" Type="http://schemas.openxmlformats.org/officeDocument/2006/relationships/footer" Target="footer77.xml" /><Relationship Id="rId6" Type="http://schemas.openxmlformats.org/officeDocument/2006/relationships/footer" Target="footer1.xml" /><Relationship Id="rId60" Type="http://schemas.openxmlformats.org/officeDocument/2006/relationships/header" Target="header14.xml" /><Relationship Id="rId600" Type="http://schemas.openxmlformats.org/officeDocument/2006/relationships/header" Target="header78.xml" /><Relationship Id="rId601" Type="http://schemas.openxmlformats.org/officeDocument/2006/relationships/footer" Target="footer78.xml" /><Relationship Id="rId602" Type="http://schemas.openxmlformats.org/officeDocument/2006/relationships/hyperlink" Target="https://advance.lexis.com/api/document?collection=cases-ca&amp;id=urn:contentItem:5JY7-RCM1-DXHD-G2SG-00000-00&amp;context=" TargetMode="External" /><Relationship Id="rId603" Type="http://schemas.openxmlformats.org/officeDocument/2006/relationships/hyperlink" Target="https://advance.lexis.com/api/document?collection=cases-ca&amp;id=urn:contentItem:5F7V-3DM1-JB7K-22FS-00000-00&amp;context=" TargetMode="External" /><Relationship Id="rId604" Type="http://schemas.openxmlformats.org/officeDocument/2006/relationships/hyperlink" Target="https://advance.lexis.com/api/document?collection=cases-ca&amp;id=urn:contentItem:5GJG-DJW1-JP4G-62HN-00000-00&amp;context=" TargetMode="External" /><Relationship Id="rId605" Type="http://schemas.openxmlformats.org/officeDocument/2006/relationships/hyperlink" Target="https://advance.lexis.com/api/document?collection=cases-ca&amp;id=urn:contentItem:5F81-VJX1-JP9P-G4MS-00000-00&amp;context=" TargetMode="External" /><Relationship Id="rId606" Type="http://schemas.openxmlformats.org/officeDocument/2006/relationships/hyperlink" Target="https://advance.lexis.com/api/document?collection=cases-ca&amp;id=urn:contentItem:5F8P-SF61-JPP5-21HC-00000-00&amp;context=" TargetMode="External" /><Relationship Id="rId607" Type="http://schemas.openxmlformats.org/officeDocument/2006/relationships/hyperlink" Target="https://advance.lexis.com/api/document?collection=cases-ca&amp;id=urn:contentItem:5F8P-SDR1-JJSF-225S-00000-00&amp;context=" TargetMode="External" /><Relationship Id="rId608" Type="http://schemas.openxmlformats.org/officeDocument/2006/relationships/hyperlink" Target="https://advance.lexis.com/api/document?collection=cases-ca&amp;id=urn:contentItem:5HHT-8531-JCRC-B111-00000-00&amp;context=" TargetMode="External" /><Relationship Id="rId609" Type="http://schemas.openxmlformats.org/officeDocument/2006/relationships/hyperlink" Target="https://advance.lexis.com/api/document?collection=cases-ca&amp;id=urn:contentItem:5F7T-S7F1-FBN1-21Y2-00000-00&amp;context=" TargetMode="External" /><Relationship Id="rId61" Type="http://schemas.openxmlformats.org/officeDocument/2006/relationships/footer" Target="footer13.xml" /><Relationship Id="rId610" Type="http://schemas.openxmlformats.org/officeDocument/2006/relationships/hyperlink" Target="https://advance.lexis.com/api/document?collection=cases-ca&amp;id=urn:contentItem:5F7T-S7M1-JNCK-22GR-00000-00&amp;context=" TargetMode="External" /><Relationship Id="rId611" Type="http://schemas.openxmlformats.org/officeDocument/2006/relationships/hyperlink" Target="https://advance.lexis.com/api/document?collection=cases-ca&amp;id=urn:contentItem:5F7T-S7M1-JFSV-G3NM-00000-00&amp;context=" TargetMode="External" /><Relationship Id="rId612" Type="http://schemas.openxmlformats.org/officeDocument/2006/relationships/hyperlink" Target="https://advance.lexis.com/api/document?collection=cases-ca&amp;id=urn:contentItem:5F7T-S7K1-F528-G2XC-00000-00&amp;context=" TargetMode="External" /><Relationship Id="rId613" Type="http://schemas.openxmlformats.org/officeDocument/2006/relationships/hyperlink" Target="https://advance.lexis.com/api/document?collection=cases-ca&amp;id=urn:contentItem:5F7T-S7M1-F4W2-626V-00000-00&amp;context=" TargetMode="External" /><Relationship Id="rId614" Type="http://schemas.openxmlformats.org/officeDocument/2006/relationships/hyperlink" Target="https://advance.lexis.com/api/document?collection=cases-ca&amp;id=urn:contentItem:5F8T-N3P1-F7ND-G14C-00000-00&amp;context=" TargetMode="External" /><Relationship Id="rId615" Type="http://schemas.openxmlformats.org/officeDocument/2006/relationships/hyperlink" Target="https://advance.lexis.com/api/document?collection=cases-ca&amp;id=urn:contentItem:5F81-YGW1-DYFH-X025-00000-00&amp;context=" TargetMode="External" /><Relationship Id="rId616" Type="http://schemas.openxmlformats.org/officeDocument/2006/relationships/hyperlink" Target="https://advance.lexis.com/api/document?collection=cases-ca&amp;id=urn:contentItem:5G6C-VP51-F7VM-S0N3-00000-00&amp;context=" TargetMode="External" /><Relationship Id="rId617" Type="http://schemas.openxmlformats.org/officeDocument/2006/relationships/hyperlink" Target="https://advance.lexis.com/api/document?collection=cases-ca&amp;id=urn:contentItem:5F7T-S7N1-F57G-S2PF-00000-00&amp;context=" TargetMode="External" /><Relationship Id="rId618" Type="http://schemas.openxmlformats.org/officeDocument/2006/relationships/hyperlink" Target="https://advance.lexis.com/api/document?collection=cases-ca&amp;id=urn:contentItem:5F7T-S7J1-JNS1-M29K-00000-00&amp;context=" TargetMode="External" /><Relationship Id="rId619" Type="http://schemas.openxmlformats.org/officeDocument/2006/relationships/hyperlink" Target="https://advance.lexis.com/api/document?collection=cases-ca&amp;id=urn:contentItem:5F7T-S7P1-JP4G-6211-00000-00&amp;context=" TargetMode="External" /><Relationship Id="rId62" Type="http://schemas.openxmlformats.org/officeDocument/2006/relationships/footer" Target="footer14.xml" /><Relationship Id="rId620" Type="http://schemas.openxmlformats.org/officeDocument/2006/relationships/hyperlink" Target="https://advance.lexis.com/api/document?collection=cases-ca&amp;id=urn:contentItem:5F7T-S7C1-FGRY-B0MN-00000-00&amp;context=" TargetMode="External" /><Relationship Id="rId621" Type="http://schemas.openxmlformats.org/officeDocument/2006/relationships/hyperlink" Target="https://advance.lexis.com/api/document?collection=cases-ca&amp;id=urn:contentItem:5F7T-S7H1-JFSV-G37B-00000-00&amp;context=" TargetMode="External" /><Relationship Id="rId622" Type="http://schemas.openxmlformats.org/officeDocument/2006/relationships/hyperlink" Target="https://advance.lexis.com/api/document?collection=cases-ca&amp;id=urn:contentItem:5F7T-S7K1-JKHB-62WP-00000-00&amp;context=" TargetMode="External" /><Relationship Id="rId623" Type="http://schemas.openxmlformats.org/officeDocument/2006/relationships/hyperlink" Target="https://advance.lexis.com/api/document?collection=cases-ca&amp;id=urn:contentItem:5F7T-S7N1-JGHR-M3GS-00000-00&amp;context=" TargetMode="External" /><Relationship Id="rId624" Type="http://schemas.openxmlformats.org/officeDocument/2006/relationships/hyperlink" Target="https://advance.lexis.com/api/document?collection=cases-ca&amp;id=urn:contentItem:5F7T-S7D1-F7ND-G08Y-00000-00&amp;context=" TargetMode="External" /><Relationship Id="rId625" Type="http://schemas.openxmlformats.org/officeDocument/2006/relationships/hyperlink" Target="https://advance.lexis.com/api/document?collection=cases-ca&amp;id=urn:contentItem:5F7T-S7F1-DXWW-24KW-00000-00&amp;context=" TargetMode="External" /><Relationship Id="rId626" Type="http://schemas.openxmlformats.org/officeDocument/2006/relationships/hyperlink" Target="https://advance.lexis.com/api/document?collection=cases-ca&amp;id=urn:contentItem:5F7T-S7M1-DYMS-6268-00000-00&amp;context=" TargetMode="External" /><Relationship Id="rId627" Type="http://schemas.openxmlformats.org/officeDocument/2006/relationships/hyperlink" Target="https://advance.lexis.com/api/document?collection=cases-ca&amp;id=urn:contentItem:5F7T-S7K1-JSJC-X168-00000-00&amp;context=" TargetMode="External" /><Relationship Id="rId628" Type="http://schemas.openxmlformats.org/officeDocument/2006/relationships/hyperlink" Target="https://advance.lexis.com/api/document?collection=cases-ca&amp;id=urn:contentItem:5F7T-S7P1-F2TK-23KN-00000-00&amp;context=" TargetMode="External" /><Relationship Id="rId629" Type="http://schemas.openxmlformats.org/officeDocument/2006/relationships/hyperlink" Target="https://advance.lexis.com/api/document?collection=cases-ca&amp;id=urn:contentItem:5F7T-S7N1-F57G-S2D4-00000-00&amp;context=" TargetMode="External" /><Relationship Id="rId63" Type="http://schemas.openxmlformats.org/officeDocument/2006/relationships/header" Target="header15.xml" /><Relationship Id="rId630" Type="http://schemas.openxmlformats.org/officeDocument/2006/relationships/hyperlink" Target="https://advance.lexis.com/api/document?collection=cases-ca&amp;id=urn:contentItem:5F7T-S7N1-F06F-24BC-00000-00&amp;context=" TargetMode="External" /><Relationship Id="rId631" Type="http://schemas.openxmlformats.org/officeDocument/2006/relationships/hyperlink" Target="https://advance.lexis.com/api/document?collection=cases-ca&amp;id=urn:contentItem:5F7T-S7M1-JCRC-B1SF-00000-00&amp;context=" TargetMode="External" /><Relationship Id="rId632" Type="http://schemas.openxmlformats.org/officeDocument/2006/relationships/hyperlink" Target="https://advance.lexis.com/api/document?collection=cases-ca&amp;id=urn:contentItem:5F7T-S7N1-JC5P-G2DS-00000-00&amp;context=" TargetMode="External" /><Relationship Id="rId633" Type="http://schemas.openxmlformats.org/officeDocument/2006/relationships/hyperlink" Target="https://advance.lexis.com/api/document?collection=cases-ca&amp;id=urn:contentItem:5F7T-S7M1-DYMS-6290-00000-00&amp;context=" TargetMode="External" /><Relationship Id="rId634" Type="http://schemas.openxmlformats.org/officeDocument/2006/relationships/hyperlink" Target="https://advance.lexis.com/api/document?collection=cases-ca&amp;id=urn:contentItem:5F8T-N3S1-JT99-250Y-00000-00&amp;context=" TargetMode="External" /><Relationship Id="rId635" Type="http://schemas.openxmlformats.org/officeDocument/2006/relationships/header" Target="header79.xml" /><Relationship Id="rId636" Type="http://schemas.openxmlformats.org/officeDocument/2006/relationships/header" Target="header80.xml" /><Relationship Id="rId637" Type="http://schemas.openxmlformats.org/officeDocument/2006/relationships/footer" Target="footer79.xml" /><Relationship Id="rId638" Type="http://schemas.openxmlformats.org/officeDocument/2006/relationships/footer" Target="footer80.xml" /><Relationship Id="rId639" Type="http://schemas.openxmlformats.org/officeDocument/2006/relationships/header" Target="header81.xml" /><Relationship Id="rId64" Type="http://schemas.openxmlformats.org/officeDocument/2006/relationships/footer" Target="footer15.xml" /><Relationship Id="rId640" Type="http://schemas.openxmlformats.org/officeDocument/2006/relationships/footer" Target="footer81.xml" /><Relationship Id="rId641" Type="http://schemas.openxmlformats.org/officeDocument/2006/relationships/hyperlink" Target="https://advance.lexis.com/api/document?collection=cases-ca&amp;id=urn:contentItem:5KXB-0V01-JGPY-X005-00000-00&amp;context=" TargetMode="External" /><Relationship Id="rId642" Type="http://schemas.openxmlformats.org/officeDocument/2006/relationships/hyperlink" Target="https://advance.lexis.com/api/document?collection=legislation-ca&amp;id=urn:contentItem:5F41-1FH1-F361-M0GM-00000-00&amp;context=" TargetMode="External" /><Relationship Id="rId643" Type="http://schemas.openxmlformats.org/officeDocument/2006/relationships/hyperlink" Target="https://advance.lexis.com/api/document?collection=cases-ca&amp;id=urn:contentItem:5F7T-S7H1-JFSV-G2X4-00000-00&amp;context=" TargetMode="External" /><Relationship Id="rId644" Type="http://schemas.openxmlformats.org/officeDocument/2006/relationships/hyperlink" Target="https://advance.lexis.com/api/document?collection=cases-ca&amp;id=urn:contentItem:5F7T-S7F1-JBT7-X2MK-00000-00&amp;context=" TargetMode="External" /><Relationship Id="rId645" Type="http://schemas.openxmlformats.org/officeDocument/2006/relationships/hyperlink" Target="https://advance.lexis.com/api/document?collection=cases-ca&amp;id=urn:contentItem:5GCC-XVC1-F900-G4XH-00000-00&amp;context=" TargetMode="External" /><Relationship Id="rId646" Type="http://schemas.openxmlformats.org/officeDocument/2006/relationships/hyperlink" Target="https://advance.lexis.com/api/document?collection=cases-ca&amp;id=urn:contentItem:5F7T-S7J1-FGCG-S05V-00000-00&amp;context=" TargetMode="External" /><Relationship Id="rId647" Type="http://schemas.openxmlformats.org/officeDocument/2006/relationships/hyperlink" Target="https://advance.lexis.com/api/document?collection=cases-ca&amp;id=urn:contentItem:5F7T-S781-FH4C-X308-00000-00&amp;context=" TargetMode="External" /><Relationship Id="rId648" Type="http://schemas.openxmlformats.org/officeDocument/2006/relationships/hyperlink" Target="https://advance.lexis.com/api/document?collection=cases-ca&amp;id=urn:contentItem:5F7T-S781-F900-G0T1-00000-00&amp;context=" TargetMode="External" /><Relationship Id="rId649" Type="http://schemas.openxmlformats.org/officeDocument/2006/relationships/hyperlink" Target="https://advance.lexis.com/api/document?collection=cases-ca&amp;id=urn:contentItem:5F7T-S7G1-JPP5-21YJ-00000-00&amp;context=" TargetMode="External" /><Relationship Id="rId65" Type="http://schemas.openxmlformats.org/officeDocument/2006/relationships/hyperlink" Target="https://advance.lexis.com/api/document?collection=cases-ca&amp;id=urn:contentItem:5F7T-S791-FJTD-G2NW-00000-00&amp;context=" TargetMode="External" /><Relationship Id="rId650" Type="http://schemas.openxmlformats.org/officeDocument/2006/relationships/hyperlink" Target="https://advance.lexis.com/api/document?collection=cases-ca&amp;id=urn:contentItem:5F7T-S7C1-F30T-B283-00000-00&amp;context=" TargetMode="External" /><Relationship Id="rId651" Type="http://schemas.openxmlformats.org/officeDocument/2006/relationships/hyperlink" Target="https://advance.lexis.com/api/document?collection=cases-ca&amp;id=urn:contentItem:5F7T-S7M1-DYMS-625V-00000-00&amp;context=" TargetMode="External" /><Relationship Id="rId652" Type="http://schemas.openxmlformats.org/officeDocument/2006/relationships/hyperlink" Target="https://advance.lexis.com/api/document?collection=cases-ca&amp;id=urn:contentItem:5F7T-S7P1-JBDT-B10C-00000-00&amp;context=" TargetMode="External" /><Relationship Id="rId653" Type="http://schemas.openxmlformats.org/officeDocument/2006/relationships/hyperlink" Target="https://advance.lexis.com/api/document?collection=cases-ca&amp;id=urn:contentItem:5HR4-FPP1-JG02-S2D4-00000-00&amp;context=" TargetMode="External" /><Relationship Id="rId654" Type="http://schemas.openxmlformats.org/officeDocument/2006/relationships/hyperlink" Target="https://advance.lexis.com/api/document?collection=cases-ca&amp;id=urn:contentItem:5F7T-S771-F2TK-22X5-00000-00&amp;context=" TargetMode="External" /><Relationship Id="rId655" Type="http://schemas.openxmlformats.org/officeDocument/2006/relationships/hyperlink" Target="https://advance.lexis.com/api/document?collection=cases-ca&amp;id=urn:contentItem:5F7T-S781-JC5P-G1D9-00000-00&amp;context=" TargetMode="External" /><Relationship Id="rId656" Type="http://schemas.openxmlformats.org/officeDocument/2006/relationships/hyperlink" Target="https://advance.lexis.com/api/document?collection=cases-ca&amp;id=urn:contentItem:5F7T-S7J1-FGCG-S0G2-00000-00&amp;context=" TargetMode="External" /><Relationship Id="rId657" Type="http://schemas.openxmlformats.org/officeDocument/2006/relationships/hyperlink" Target="https://advance.lexis.com/api/document?collection=cases-ca&amp;id=urn:contentItem:5F7T-S7C1-JCJ5-20G9-00000-00&amp;context=" TargetMode="External" /><Relationship Id="rId658" Type="http://schemas.openxmlformats.org/officeDocument/2006/relationships/hyperlink" Target="https://advance.lexis.com/api/document?collection=cases-ca&amp;id=urn:contentItem:5F7T-S781-F06F-23R8-00000-00&amp;context=" TargetMode="External" /><Relationship Id="rId659" Type="http://schemas.openxmlformats.org/officeDocument/2006/relationships/hyperlink" Target="https://advance.lexis.com/api/document?collection=cases-ca&amp;id=urn:contentItem:5F7T-S7H1-JCRC-B110-00000-00&amp;context=" TargetMode="External" /><Relationship Id="rId66" Type="http://schemas.openxmlformats.org/officeDocument/2006/relationships/hyperlink" Target="https://advance.lexis.com/api/document?collection=cases-ca&amp;id=urn:contentItem:5F7T-S6Y1-FJDY-X23K-00000-00&amp;context=" TargetMode="External" /><Relationship Id="rId660" Type="http://schemas.openxmlformats.org/officeDocument/2006/relationships/hyperlink" Target="https://advance.lexis.com/api/document?collection=cases-ca&amp;id=urn:contentItem:5F7T-S7H1-F016-S3P5-00000-00&amp;context=" TargetMode="External" /><Relationship Id="rId661" Type="http://schemas.openxmlformats.org/officeDocument/2006/relationships/hyperlink" Target="https://advance.lexis.com/api/document?collection=cases-ca&amp;id=urn:contentItem:5F7T-S7J1-JYYX-62DJ-00000-00&amp;context=" TargetMode="External" /><Relationship Id="rId662" Type="http://schemas.openxmlformats.org/officeDocument/2006/relationships/hyperlink" Target="https://advance.lexis.com/api/document?collection=cases-ca&amp;id=urn:contentItem:5F7T-S7N1-JGHR-M361-00000-00&amp;context=" TargetMode="External" /><Relationship Id="rId663" Type="http://schemas.openxmlformats.org/officeDocument/2006/relationships/hyperlink" Target="https://advance.lexis.com/api/document?collection=cases-ca&amp;id=urn:contentItem:5F7T-S7P1-JSJC-X1GW-00000-00&amp;context=" TargetMode="External" /><Relationship Id="rId664" Type="http://schemas.openxmlformats.org/officeDocument/2006/relationships/hyperlink" Target="https://advance.lexis.com/api/document?collection=cases-ca&amp;id=urn:contentItem:5F7T-S7P1-JNJT-B2PW-00000-00&amp;context=" TargetMode="External" /><Relationship Id="rId665" Type="http://schemas.openxmlformats.org/officeDocument/2006/relationships/hyperlink" Target="https://advance.lexis.com/api/document?collection=cases-ca&amp;id=urn:contentItem:5F7T-S771-JN14-G2PR-00000-00&amp;context=" TargetMode="External" /><Relationship Id="rId666" Type="http://schemas.openxmlformats.org/officeDocument/2006/relationships/hyperlink" Target="https://advance.lexis.com/api/document?collection=cases-ca&amp;id=urn:contentItem:5F7T-S7P1-JP4G-61V8-00000-00&amp;context=" TargetMode="External" /><Relationship Id="rId667" Type="http://schemas.openxmlformats.org/officeDocument/2006/relationships/hyperlink" Target="https://advance.lexis.com/api/document?collection=cases-ca&amp;id=urn:contentItem:5F7T-S7H1-F016-S3X8-00000-00&amp;context=" TargetMode="External" /><Relationship Id="rId668" Type="http://schemas.openxmlformats.org/officeDocument/2006/relationships/hyperlink" Target="https://advance.lexis.com/api/document?collection=cases-ca&amp;id=urn:contentItem:5F81-YGM1-JG02-S0MR-00000-00&amp;context=" TargetMode="External" /><Relationship Id="rId669" Type="http://schemas.openxmlformats.org/officeDocument/2006/relationships/hyperlink" Target="https://advance.lexis.com/api/document?collection=cases-ca&amp;id=urn:contentItem:5F7T-S7G1-FCYK-207V-00000-00&amp;context=" TargetMode="External" /><Relationship Id="rId67" Type="http://schemas.openxmlformats.org/officeDocument/2006/relationships/hyperlink" Target="https://advance.lexis.com/api/document?collection=cases-ca&amp;id=urn:contentItem:5F8T-N3R1-JNS1-M121-00000-00&amp;context=" TargetMode="External" /><Relationship Id="rId670" Type="http://schemas.openxmlformats.org/officeDocument/2006/relationships/hyperlink" Target="https://advance.lexis.com/api/document?collection=cases-ca&amp;id=urn:contentItem:5F7T-S7K1-JSJC-X0R5-00000-00&amp;context=" TargetMode="External" /><Relationship Id="rId671" Type="http://schemas.openxmlformats.org/officeDocument/2006/relationships/hyperlink" Target="https://advance.lexis.com/api/document?collection=cases-ca&amp;id=urn:contentItem:5F7T-S731-FFFC-B0K2-00000-00&amp;context=" TargetMode="External" /><Relationship Id="rId672" Type="http://schemas.openxmlformats.org/officeDocument/2006/relationships/header" Target="header82.xml" /><Relationship Id="rId673" Type="http://schemas.openxmlformats.org/officeDocument/2006/relationships/header" Target="header83.xml" /><Relationship Id="rId674" Type="http://schemas.openxmlformats.org/officeDocument/2006/relationships/footer" Target="footer82.xml" /><Relationship Id="rId675" Type="http://schemas.openxmlformats.org/officeDocument/2006/relationships/footer" Target="footer83.xml" /><Relationship Id="rId676" Type="http://schemas.openxmlformats.org/officeDocument/2006/relationships/header" Target="header84.xml" /><Relationship Id="rId677" Type="http://schemas.openxmlformats.org/officeDocument/2006/relationships/footer" Target="footer84.xml" /><Relationship Id="rId678" Type="http://schemas.openxmlformats.org/officeDocument/2006/relationships/hyperlink" Target="https://advance.lexis.com/api/document?collection=cases-ca&amp;id=urn:contentItem:5F7T-S7J1-JNS1-M2K4-00000-00&amp;context=" TargetMode="External" /><Relationship Id="rId679" Type="http://schemas.openxmlformats.org/officeDocument/2006/relationships/hyperlink" Target="https://advance.lexis.com/api/document?collection=cases-ca&amp;id=urn:contentItem:5F7T-S6T1-FJTD-G1NJ-00000-00&amp;context=" TargetMode="External" /><Relationship Id="rId68" Type="http://schemas.openxmlformats.org/officeDocument/2006/relationships/hyperlink" Target="https://advance.lexis.com/api/document?collection=cases-ca&amp;id=urn:contentItem:5F81-VJV1-JBM1-M49M-00000-00&amp;context=" TargetMode="External" /><Relationship Id="rId680" Type="http://schemas.openxmlformats.org/officeDocument/2006/relationships/hyperlink" Target="https://advance.lexis.com/api/document?collection=cases-ca&amp;id=urn:contentItem:5F7T-S731-F1WF-M221-00000-00&amp;context=" TargetMode="External" /><Relationship Id="rId681" Type="http://schemas.openxmlformats.org/officeDocument/2006/relationships/hyperlink" Target="https://advance.lexis.com/api/document?collection=cases-ca&amp;id=urn:contentItem:5F7T-S751-JP4G-61HS-00000-00&amp;context=" TargetMode="External" /><Relationship Id="rId682" Type="http://schemas.openxmlformats.org/officeDocument/2006/relationships/header" Target="header85.xml" /><Relationship Id="rId683" Type="http://schemas.openxmlformats.org/officeDocument/2006/relationships/header" Target="header86.xml" /><Relationship Id="rId684" Type="http://schemas.openxmlformats.org/officeDocument/2006/relationships/footer" Target="footer85.xml" /><Relationship Id="rId685" Type="http://schemas.openxmlformats.org/officeDocument/2006/relationships/footer" Target="footer86.xml" /><Relationship Id="rId686" Type="http://schemas.openxmlformats.org/officeDocument/2006/relationships/header" Target="header87.xml" /><Relationship Id="rId687" Type="http://schemas.openxmlformats.org/officeDocument/2006/relationships/footer" Target="footer87.xml" /><Relationship Id="rId688" Type="http://schemas.openxmlformats.org/officeDocument/2006/relationships/hyperlink" Target="https://advance.lexis.com/api/document?collection=cases-ca&amp;id=urn:contentItem:5F7T-S7H1-K054-G2HV-00000-00&amp;context=" TargetMode="External" /><Relationship Id="rId689" Type="http://schemas.openxmlformats.org/officeDocument/2006/relationships/hyperlink" Target="https://advance.lexis.com/api/document?collection=legislation-ca&amp;id=urn:contentItem:5F41-1FJ1-F5KY-B23G-00000-00&amp;context=" TargetMode="External" /><Relationship Id="rId69" Type="http://schemas.openxmlformats.org/officeDocument/2006/relationships/hyperlink" Target="https://advance.lexis.com/api/document?collection=cases-ca&amp;id=urn:contentItem:5F7T-S711-JG02-S19K-00000-00&amp;context=" TargetMode="External" /><Relationship Id="rId690" Type="http://schemas.openxmlformats.org/officeDocument/2006/relationships/hyperlink" Target="https://advance.lexis.com/api/document?collection=legislation-ca&amp;id=urn:contentItem:5X64-9ND1-JT42-S16G-00000-00&amp;context=" TargetMode="External" /><Relationship Id="rId691" Type="http://schemas.openxmlformats.org/officeDocument/2006/relationships/hyperlink" Target="https://advance.lexis.com/api/document?collection=legislation-ca&amp;id=urn:contentItem:5F41-1FJ1-JBDT-B069-00000-00&amp;context=" TargetMode="External" /><Relationship Id="rId692" Type="http://schemas.openxmlformats.org/officeDocument/2006/relationships/hyperlink" Target="https://advance.lexis.com/api/document?collection=legislation-ca&amp;id=urn:contentItem:5VYK-W9V1-JS0R-23WX-00000-00&amp;context=" TargetMode="External" /><Relationship Id="rId693" Type="http://schemas.openxmlformats.org/officeDocument/2006/relationships/hyperlink" Target="https://advance.lexis.com/api/document?collection=legislation-ca&amp;id=urn:contentItem:5F41-1FK1-DY33-B0JT-00000-00&amp;context=" TargetMode="External" /><Relationship Id="rId694" Type="http://schemas.openxmlformats.org/officeDocument/2006/relationships/hyperlink" Target="https://advance.lexis.com/api/document?collection=cases-ca&amp;id=urn:contentItem:5F7T-S7F1-FJTD-G3JN-00000-00&amp;context=" TargetMode="External" /><Relationship Id="rId695" Type="http://schemas.openxmlformats.org/officeDocument/2006/relationships/hyperlink" Target="https://advance.lexis.com/api/document?collection=cases-ca&amp;id=urn:contentItem:5F7T-S7F1-DXWW-247G-00000-00&amp;context=" TargetMode="External" /><Relationship Id="rId696" Type="http://schemas.openxmlformats.org/officeDocument/2006/relationships/hyperlink" Target="https://advance.lexis.com/api/document?collection=cases-ca&amp;id=urn:contentItem:5F8T-N3V1-FC1F-M40R-00000-00&amp;context=" TargetMode="External" /><Relationship Id="rId697" Type="http://schemas.openxmlformats.org/officeDocument/2006/relationships/hyperlink" Target="https://advance.lexis.com/api/document?collection=cases-ca&amp;id=urn:contentItem:5F81-VJX1-FFTT-X1KG-00000-00&amp;context=" TargetMode="External" /><Relationship Id="rId698" Type="http://schemas.openxmlformats.org/officeDocument/2006/relationships/hyperlink" Target="https://advance.lexis.com/api/document?collection=cases-ca&amp;id=urn:contentItem:5F7T-S6T1-FJTD-G1PX-00000-00&amp;context=" TargetMode="External" /><Relationship Id="rId699" Type="http://schemas.openxmlformats.org/officeDocument/2006/relationships/hyperlink" Target="https://advance.lexis.com/api/document?collection=cases-ca&amp;id=urn:contentItem:5F8T-N3V1-FC1F-M40P-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16-9351-JK4W-M3TK-00000-00&amp;context=" TargetMode="External" /><Relationship Id="rId700" Type="http://schemas.openxmlformats.org/officeDocument/2006/relationships/hyperlink" Target="https://advance.lexis.com/api/document?collection=cases-ca&amp;id=urn:contentItem:5F7T-S7C1-F4NT-X3JX-00000-00&amp;context=" TargetMode="External" /><Relationship Id="rId701" Type="http://schemas.openxmlformats.org/officeDocument/2006/relationships/hyperlink" Target="https://advance.lexis.com/api/document?collection=cases-ca&amp;id=urn:contentItem:5F8T-N3V1-JTGH-B111-00000-00&amp;context=" TargetMode="External" /><Relationship Id="rId702" Type="http://schemas.openxmlformats.org/officeDocument/2006/relationships/hyperlink" Target="https://advance.lexis.com/api/document?collection=cases-ca&amp;id=urn:contentItem:5F8T-N3V1-JFKM-6096-00000-00&amp;context=" TargetMode="External" /><Relationship Id="rId703" Type="http://schemas.openxmlformats.org/officeDocument/2006/relationships/hyperlink" Target="https://advance.lexis.com/api/document?collection=cases-ca&amp;id=urn:contentItem:5F7T-S761-FGJR-2282-00000-00&amp;context=" TargetMode="External" /><Relationship Id="rId704" Type="http://schemas.openxmlformats.org/officeDocument/2006/relationships/hyperlink" Target="https://advance.lexis.com/api/document?collection=cases-ca&amp;id=urn:contentItem:5F8P-SD51-F8KH-X4HK-00000-00&amp;context=" TargetMode="External" /><Relationship Id="rId705" Type="http://schemas.openxmlformats.org/officeDocument/2006/relationships/hyperlink" Target="https://advance.lexis.com/api/document?collection=cases-ca&amp;id=urn:contentItem:5F81-VJX1-FCK4-G1H5-00000-00&amp;context=" TargetMode="External" /><Relationship Id="rId706" Type="http://schemas.openxmlformats.org/officeDocument/2006/relationships/hyperlink" Target="https://advance.lexis.com/api/document?collection=cases-ca&amp;id=urn:contentItem:5F8P-SDK1-JGHR-M001-00000-00&amp;context=" TargetMode="External" /><Relationship Id="rId707" Type="http://schemas.openxmlformats.org/officeDocument/2006/relationships/hyperlink" Target="https://advance.lexis.com/api/document?collection=cases-ca&amp;id=urn:contentItem:5F8T-N3V1-JF75-M3VS-00000-00&amp;context=" TargetMode="External" /><Relationship Id="rId708" Type="http://schemas.openxmlformats.org/officeDocument/2006/relationships/hyperlink" Target="https://advance.lexis.com/api/document?collection=cases-ca&amp;id=urn:contentItem:5F8T-N3V1-JFKM-60BP-00000-00&amp;context=" TargetMode="External" /><Relationship Id="rId709" Type="http://schemas.openxmlformats.org/officeDocument/2006/relationships/hyperlink" Target="https://advance.lexis.com/api/document?collection=cases-ca&amp;id=urn:contentItem:5F8T-N3T1-JFKM-6519-00000-00&amp;context=" TargetMode="External" /><Relationship Id="rId71" Type="http://schemas.openxmlformats.org/officeDocument/2006/relationships/hyperlink" Target="https://advance.lexis.com/api/document?collection=cases-ca&amp;id=urn:contentItem:5F7H-KW81-JF75-M1K5-00000-00&amp;context=" TargetMode="External" /><Relationship Id="rId710" Type="http://schemas.openxmlformats.org/officeDocument/2006/relationships/hyperlink" Target="https://advance.lexis.com/api/document?collection=cases-ca&amp;id=urn:contentItem:5F8T-N3T1-JGHR-M1Y0-00000-00&amp;context=" TargetMode="External" /><Relationship Id="rId711" Type="http://schemas.openxmlformats.org/officeDocument/2006/relationships/hyperlink" Target="https://advance.lexis.com/api/document?collection=cases-ca&amp;id=urn:contentItem:5F7T-S7F1-FFFC-B23D-00000-00&amp;context=" TargetMode="External" /><Relationship Id="rId712" Type="http://schemas.openxmlformats.org/officeDocument/2006/relationships/hyperlink" Target="https://advance.lexis.com/api/document?collection=cases-ca&amp;id=urn:contentItem:5F7T-S701-JF75-M470-00000-00&amp;context=" TargetMode="External" /><Relationship Id="rId713" Type="http://schemas.openxmlformats.org/officeDocument/2006/relationships/hyperlink" Target="https://advance.lexis.com/api/document?collection=cases-ca&amp;id=urn:contentItem:5F7T-S7D1-JN6B-S0XD-00000-00&amp;context=" TargetMode="External" /><Relationship Id="rId714" Type="http://schemas.openxmlformats.org/officeDocument/2006/relationships/hyperlink" Target="https://advance.lexis.com/api/document?collection=cases-ca&amp;id=urn:contentItem:5F8P-SCT1-FCCX-64B0-00000-00&amp;context=" TargetMode="External" /><Relationship Id="rId715" Type="http://schemas.openxmlformats.org/officeDocument/2006/relationships/hyperlink" Target="https://advance.lexis.com/api/document?collection=cases-ca&amp;id=urn:contentItem:5F7T-S6Y1-FJDY-X241-00000-00&amp;context=" TargetMode="External" /><Relationship Id="rId716" Type="http://schemas.openxmlformats.org/officeDocument/2006/relationships/hyperlink" Target="https://advance.lexis.com/api/document?collection=cases-ca&amp;id=urn:contentItem:5F81-VJX1-JKPJ-G1NT-00000-00&amp;context=" TargetMode="External" /><Relationship Id="rId717" Type="http://schemas.openxmlformats.org/officeDocument/2006/relationships/hyperlink" Target="https://advance.lexis.com/api/document?collection=cases-ca&amp;id=urn:contentItem:5F8P-SG31-JCBX-S3J9-00000-00&amp;context=" TargetMode="External" /><Relationship Id="rId718" Type="http://schemas.openxmlformats.org/officeDocument/2006/relationships/hyperlink" Target="https://advance.lexis.com/api/document?collection=cases-ca&amp;id=urn:contentItem:5F81-VJX1-JX3N-B1J2-00000-00&amp;context=" TargetMode="External" /><Relationship Id="rId719" Type="http://schemas.openxmlformats.org/officeDocument/2006/relationships/hyperlink" Target="https://advance.lexis.com/api/document?collection=cases-ca&amp;id=urn:contentItem:5F8P-SD11-FJDY-X55Y-00000-00&amp;context=" TargetMode="External" /><Relationship Id="rId72" Type="http://schemas.openxmlformats.org/officeDocument/2006/relationships/hyperlink" Target="https://advance.lexis.com/api/document?collection=cases-ca&amp;id=urn:contentItem:5F7T-S781-FH4C-X2KP-00000-00&amp;context=" TargetMode="External" /><Relationship Id="rId720" Type="http://schemas.openxmlformats.org/officeDocument/2006/relationships/header" Target="header88.xml" /><Relationship Id="rId721" Type="http://schemas.openxmlformats.org/officeDocument/2006/relationships/header" Target="header89.xml" /><Relationship Id="rId722" Type="http://schemas.openxmlformats.org/officeDocument/2006/relationships/footer" Target="footer88.xml" /><Relationship Id="rId723" Type="http://schemas.openxmlformats.org/officeDocument/2006/relationships/footer" Target="footer89.xml" /><Relationship Id="rId724" Type="http://schemas.openxmlformats.org/officeDocument/2006/relationships/header" Target="header90.xml" /><Relationship Id="rId725" Type="http://schemas.openxmlformats.org/officeDocument/2006/relationships/footer" Target="footer90.xml" /><Relationship Id="rId726" Type="http://schemas.openxmlformats.org/officeDocument/2006/relationships/hyperlink" Target="https://advance.lexis.com/api/document?collection=cases-ca&amp;id=urn:contentItem:5F7T-S7K1-JKHB-62KK-00000-00&amp;context=" TargetMode="External" /><Relationship Id="rId727" Type="http://schemas.openxmlformats.org/officeDocument/2006/relationships/hyperlink" Target="https://advance.lexis.com/api/document?collection=cases-ca&amp;id=urn:contentItem:5K6Y-81M1-F81W-23VP-00000-00&amp;context=" TargetMode="External" /><Relationship Id="rId728" Type="http://schemas.openxmlformats.org/officeDocument/2006/relationships/hyperlink" Target="https://advance.lexis.com/api/document?collection=cases-ca&amp;id=urn:contentItem:5F7T-S7D1-FBFS-S1TD-00000-00&amp;context=" TargetMode="External" /><Relationship Id="rId729" Type="http://schemas.openxmlformats.org/officeDocument/2006/relationships/hyperlink" Target="https://advance.lexis.com/api/document?collection=cases-ca&amp;id=urn:contentItem:5F7T-S7H1-F4GK-M33F-00000-00&amp;context=" TargetMode="External" /><Relationship Id="rId73" Type="http://schemas.openxmlformats.org/officeDocument/2006/relationships/hyperlink" Target="https://advance.lexis.com/api/document?collection=cases-ca&amp;id=urn:contentItem:5F7T-S781-JSC5-M4C3-00000-00&amp;context=" TargetMode="External" /><Relationship Id="rId730" Type="http://schemas.openxmlformats.org/officeDocument/2006/relationships/hyperlink" Target="https://advance.lexis.com/api/document?collection=cases-ca&amp;id=urn:contentItem:5F7V-3DK1-FCYK-244P-00000-00&amp;context=" TargetMode="External" /><Relationship Id="rId731" Type="http://schemas.openxmlformats.org/officeDocument/2006/relationships/hyperlink" Target="https://advance.lexis.com/api/document?collection=cases-ca&amp;id=urn:contentItem:5F7T-S7F1-JFKM-61GW-00000-00&amp;context=" TargetMode="External" /><Relationship Id="rId732" Type="http://schemas.openxmlformats.org/officeDocument/2006/relationships/hyperlink" Target="https://advance.lexis.com/api/document?collection=cases-ca&amp;id=urn:contentItem:5F7T-S7F1-JX3N-B1CS-00000-00&amp;context=" TargetMode="External" /><Relationship Id="rId733" Type="http://schemas.openxmlformats.org/officeDocument/2006/relationships/hyperlink" Target="https://advance.lexis.com/api/document?collection=cases-ca&amp;id=urn:contentItem:5F7T-S7H1-FCSB-S3NS-00000-00&amp;context=" TargetMode="External" /><Relationship Id="rId734" Type="http://schemas.openxmlformats.org/officeDocument/2006/relationships/hyperlink" Target="https://advance.lexis.com/api/document?collection=cases-ca&amp;id=urn:contentItem:5F7T-S7D1-DY89-M463-00000-00&amp;context=" TargetMode="External" /><Relationship Id="rId735" Type="http://schemas.openxmlformats.org/officeDocument/2006/relationships/header" Target="header91.xml" /><Relationship Id="rId736" Type="http://schemas.openxmlformats.org/officeDocument/2006/relationships/header" Target="header92.xml" /><Relationship Id="rId737" Type="http://schemas.openxmlformats.org/officeDocument/2006/relationships/footer" Target="footer91.xml" /><Relationship Id="rId738" Type="http://schemas.openxmlformats.org/officeDocument/2006/relationships/footer" Target="footer92.xml" /><Relationship Id="rId739" Type="http://schemas.openxmlformats.org/officeDocument/2006/relationships/header" Target="header93.xml" /><Relationship Id="rId74" Type="http://schemas.openxmlformats.org/officeDocument/2006/relationships/hyperlink" Target="https://advance.lexis.com/api/document?collection=cases-ca&amp;id=urn:contentItem:5F7T-S6T1-JP9P-G0WS-00000-00&amp;context=" TargetMode="External" /><Relationship Id="rId740" Type="http://schemas.openxmlformats.org/officeDocument/2006/relationships/footer" Target="footer93.xml" /><Relationship Id="rId741" Type="http://schemas.openxmlformats.org/officeDocument/2006/relationships/hyperlink" Target="https://advance.lexis.com/api/document?collection=cases-ca&amp;id=urn:contentItem:5F7T-S7P1-JG02-S3X0-00000-00&amp;context=" TargetMode="External" /><Relationship Id="rId742" Type="http://schemas.openxmlformats.org/officeDocument/2006/relationships/hyperlink" Target="https://advance.lexis.com/api/document?collection=cases-ca&amp;id=urn:contentItem:5F7T-S7K1-JKHB-6329-00000-00&amp;context=" TargetMode="External" /><Relationship Id="rId743" Type="http://schemas.openxmlformats.org/officeDocument/2006/relationships/hyperlink" Target="https://advance.lexis.com/api/document?collection=cases-ca&amp;id=urn:contentItem:5F81-VJX1-JX3N-B1NX-00000-00&amp;context=" TargetMode="External" /><Relationship Id="rId744" Type="http://schemas.openxmlformats.org/officeDocument/2006/relationships/hyperlink" Target="https://advance.lexis.com/api/document?collection=cases-ca&amp;id=urn:contentItem:5F7T-S7M1-JFSV-G3FG-00000-00&amp;context=" TargetMode="External" /><Relationship Id="rId745" Type="http://schemas.openxmlformats.org/officeDocument/2006/relationships/hyperlink" Target="https://advance.lexis.com/api/document?collection=cases-ca&amp;id=urn:contentItem:5F7T-S7M1-F4W2-62F4-00000-00&amp;context=" TargetMode="External" /><Relationship Id="rId746" Type="http://schemas.openxmlformats.org/officeDocument/2006/relationships/header" Target="header94.xml" /><Relationship Id="rId747" Type="http://schemas.openxmlformats.org/officeDocument/2006/relationships/header" Target="header95.xml" /><Relationship Id="rId748" Type="http://schemas.openxmlformats.org/officeDocument/2006/relationships/footer" Target="footer94.xml" /><Relationship Id="rId749" Type="http://schemas.openxmlformats.org/officeDocument/2006/relationships/footer" Target="footer95.xml" /><Relationship Id="rId75" Type="http://schemas.openxmlformats.org/officeDocument/2006/relationships/hyperlink" Target="https://advance.lexis.com/api/document?collection=cases-ca&amp;id=urn:contentItem:5F7T-S771-F361-M1W0-00000-00&amp;context=" TargetMode="External" /><Relationship Id="rId750" Type="http://schemas.openxmlformats.org/officeDocument/2006/relationships/header" Target="header96.xml" /><Relationship Id="rId751" Type="http://schemas.openxmlformats.org/officeDocument/2006/relationships/footer" Target="footer96.xml" /><Relationship Id="rId752" Type="http://schemas.openxmlformats.org/officeDocument/2006/relationships/hyperlink" Target="https://advance.lexis.com/api/document?collection=cases-ca&amp;id=urn:contentItem:5F7T-S7M1-DYMS-62B3-00000-00&amp;context=" TargetMode="External" /><Relationship Id="rId753" Type="http://schemas.openxmlformats.org/officeDocument/2006/relationships/hyperlink" Target="https://advance.lexis.com/api/document?collection=legislation-ca&amp;id=urn:contentItem:5F3B-B7K1-DY89-M28X-00000-00&amp;context=" TargetMode="External" /><Relationship Id="rId754" Type="http://schemas.openxmlformats.org/officeDocument/2006/relationships/hyperlink" Target="https://advance.lexis.com/api/document?collection=legislation-ca&amp;id=urn:contentItem:5VYK-WB51-JW09-M4VW-00000-00&amp;context=" TargetMode="External" /><Relationship Id="rId755" Type="http://schemas.openxmlformats.org/officeDocument/2006/relationships/hyperlink" Target="https://advance.lexis.com/api/document?collection=legislation-ca&amp;id=urn:contentItem:5F3B-B911-DXWW-228R-00000-00&amp;context=" TargetMode="External" /><Relationship Id="rId756" Type="http://schemas.openxmlformats.org/officeDocument/2006/relationships/hyperlink" Target="https://advance.lexis.com/api/document?collection=legislation-ca&amp;id=urn:contentItem:5MTG-54W1-DYFH-X1ST-00000-00&amp;context=" TargetMode="External" /><Relationship Id="rId757" Type="http://schemas.openxmlformats.org/officeDocument/2006/relationships/hyperlink" Target="https://advance.lexis.com/api/document?collection=legislation-ca&amp;id=urn:contentItem:5F41-1FK1-JSJC-X1PB-00000-00&amp;context=" TargetMode="External" /><Relationship Id="rId758" Type="http://schemas.openxmlformats.org/officeDocument/2006/relationships/hyperlink" Target="https://advance.lexis.com/api/document?collection=legislation-ca&amp;id=urn:contentItem:5VYK-WB71-FJM6-620W-00000-00&amp;context=" TargetMode="External" /><Relationship Id="rId759" Type="http://schemas.openxmlformats.org/officeDocument/2006/relationships/hyperlink" Target="https://advance.lexis.com/api/document?collection=legislation-ca&amp;id=urn:contentItem:5F41-1FN1-JSXV-G1VN-00000-00&amp;context=" TargetMode="External" /><Relationship Id="rId76" Type="http://schemas.openxmlformats.org/officeDocument/2006/relationships/hyperlink" Target="https://advance.lexis.com/api/document?collection=cases-ca&amp;id=urn:contentItem:5F7T-S741-F528-G297-00000-00&amp;context=" TargetMode="External" /><Relationship Id="rId760" Type="http://schemas.openxmlformats.org/officeDocument/2006/relationships/hyperlink" Target="https://advance.lexis.com/api/document?collection=cases-ca&amp;id=urn:contentItem:5F8T-N3V1-JF75-M3K1-00000-00&amp;context=" TargetMode="External" /><Relationship Id="rId761" Type="http://schemas.openxmlformats.org/officeDocument/2006/relationships/hyperlink" Target="https://advance.lexis.com/api/document?collection=legislation-ca&amp;id=urn:contentItem:5VYK-WB61-JJD0-G4F3-00000-00&amp;context=" TargetMode="External" /><Relationship Id="rId762" Type="http://schemas.openxmlformats.org/officeDocument/2006/relationships/hyperlink" Target="https://advance.lexis.com/api/document?collection=cases-ca&amp;id=urn:contentItem:5F7D-TJY1-JGHR-M05W-00000-00&amp;context=" TargetMode="External" /><Relationship Id="rId763" Type="http://schemas.openxmlformats.org/officeDocument/2006/relationships/hyperlink" Target="https://advance.lexis.com/api/document?collection=cases-ca&amp;id=urn:contentItem:5F7T-S7H1-F016-S43C-00000-00&amp;context=" TargetMode="External" /><Relationship Id="rId764" Type="http://schemas.openxmlformats.org/officeDocument/2006/relationships/hyperlink" Target="https://advance.lexis.com/api/document?collection=cases-ca&amp;id=urn:contentItem:5F7T-S7H1-K054-G2C1-00000-00&amp;context=" TargetMode="External" /><Relationship Id="rId765" Type="http://schemas.openxmlformats.org/officeDocument/2006/relationships/hyperlink" Target="https://advance.lexis.com/api/document?collection=cases-ca&amp;id=urn:contentItem:5F8P-SF11-F8SS-634F-00000-00&amp;context=" TargetMode="External" /><Relationship Id="rId766" Type="http://schemas.openxmlformats.org/officeDocument/2006/relationships/hyperlink" Target="https://advance.lexis.com/api/document?collection=cases-ca&amp;id=urn:contentItem:5F8T-N3V1-FC1F-M4BB-00000-00&amp;context=" TargetMode="External" /><Relationship Id="rId767" Type="http://schemas.openxmlformats.org/officeDocument/2006/relationships/hyperlink" Target="https://advance.lexis.com/api/document?collection=cases-ca&amp;id=urn:contentItem:5F81-VJW1-JF75-M1S0-00000-00&amp;context=" TargetMode="External" /><Relationship Id="rId768" Type="http://schemas.openxmlformats.org/officeDocument/2006/relationships/hyperlink" Target="https://advance.lexis.com/api/document?collection=cases-ca&amp;id=urn:contentItem:5F8T-N3S1-JT99-255N-00000-00&amp;context=" TargetMode="External" /><Relationship Id="rId769" Type="http://schemas.openxmlformats.org/officeDocument/2006/relationships/hyperlink" Target="https://advance.lexis.com/api/document?collection=cases-ca&amp;id=urn:contentItem:5F7V-3DJ1-JJSF-22CT-00000-00&amp;context=" TargetMode="External" /><Relationship Id="rId77" Type="http://schemas.openxmlformats.org/officeDocument/2006/relationships/hyperlink" Target="https://advance.lexis.com/api/document?collection=cases-ca&amp;id=urn:contentItem:5F7T-S741-F57G-S1SV-00000-00&amp;context=" TargetMode="External" /><Relationship Id="rId770" Type="http://schemas.openxmlformats.org/officeDocument/2006/relationships/hyperlink" Target="https://advance.lexis.com/api/document?collection=cases-ca&amp;id=urn:contentItem:5F81-VJX1-FFTT-X1BV-00000-00&amp;context=" TargetMode="External" /><Relationship Id="rId771" Type="http://schemas.openxmlformats.org/officeDocument/2006/relationships/hyperlink" Target="https://advance.lexis.com/api/document?collection=cases-ca&amp;id=urn:contentItem:5F82-1SD1-JFKM-606R-00000-00&amp;context=" TargetMode="External" /><Relationship Id="rId772" Type="http://schemas.openxmlformats.org/officeDocument/2006/relationships/hyperlink" Target="https://advance.lexis.com/api/document?collection=cases-ca&amp;id=urn:contentItem:5F8P-SBT1-FJM6-64NH-00000-00&amp;context=" TargetMode="External" /><Relationship Id="rId773" Type="http://schemas.openxmlformats.org/officeDocument/2006/relationships/hyperlink" Target="https://advance.lexis.com/api/document?collection=cases-ca&amp;id=urn:contentItem:5F7T-S7D1-FCSB-S2M4-00000-00&amp;context=" TargetMode="External" /><Relationship Id="rId774" Type="http://schemas.openxmlformats.org/officeDocument/2006/relationships/hyperlink" Target="https://advance.lexis.com/api/document?collection=cases-ca&amp;id=urn:contentItem:5F7T-S7J1-FGCG-S0F0-00000-00&amp;context=" TargetMode="External" /><Relationship Id="rId775" Type="http://schemas.openxmlformats.org/officeDocument/2006/relationships/hyperlink" Target="https://advance.lexis.com/api/document?collection=cases-ca&amp;id=urn:contentItem:5F7T-S6T1-F528-G113-00000-00&amp;context=" TargetMode="External" /><Relationship Id="rId776" Type="http://schemas.openxmlformats.org/officeDocument/2006/relationships/hyperlink" Target="https://advance.lexis.com/api/document?collection=cases-ca&amp;id=urn:contentItem:5F7V-3DK1-FCYK-245D-00000-00&amp;context=" TargetMode="External" /><Relationship Id="rId777" Type="http://schemas.openxmlformats.org/officeDocument/2006/relationships/hyperlink" Target="https://advance.lexis.com/api/document?collection=cases-ca&amp;id=urn:contentItem:5F7T-S7H1-JFSV-G2SC-00000-00&amp;context=" TargetMode="External" /><Relationship Id="rId778" Type="http://schemas.openxmlformats.org/officeDocument/2006/relationships/hyperlink" Target="https://advance.lexis.com/api/document?collection=cases-ca&amp;id=urn:contentItem:5F7T-S6V1-JC0G-620Y-00000-00&amp;context=" TargetMode="External" /><Relationship Id="rId779" Type="http://schemas.openxmlformats.org/officeDocument/2006/relationships/hyperlink" Target="https://advance.lexis.com/api/document?collection=cases-ca&amp;id=urn:contentItem:5F7T-S6V1-JFKM-617J-00000-00&amp;context=" TargetMode="External" /><Relationship Id="rId78" Type="http://schemas.openxmlformats.org/officeDocument/2006/relationships/hyperlink" Target="https://advance.lexis.com/api/document?collection=cases-ca&amp;id=urn:contentItem:5F7T-S731-JNJT-B1X9-00000-00&amp;context=" TargetMode="External" /><Relationship Id="rId780" Type="http://schemas.openxmlformats.org/officeDocument/2006/relationships/hyperlink" Target="https://advance.lexis.com/api/document?collection=cases-ca&amp;id=urn:contentItem:5F16-9301-FCSB-S40D-00000-00&amp;context=" TargetMode="External" /><Relationship Id="rId781" Type="http://schemas.openxmlformats.org/officeDocument/2006/relationships/hyperlink" Target="https://advance.lexis.com/api/document?collection=cases-ca&amp;id=urn:contentItem:5F81-VJV1-DYFH-X4NY-00000-00&amp;context=" TargetMode="External" /><Relationship Id="rId782" Type="http://schemas.openxmlformats.org/officeDocument/2006/relationships/hyperlink" Target="https://advance.lexis.com/api/document?collection=cases-ca&amp;id=urn:contentItem:5F7T-S7H1-JFKM-62BH-00000-00&amp;context=" TargetMode="External" /><Relationship Id="rId783" Type="http://schemas.openxmlformats.org/officeDocument/2006/relationships/hyperlink" Target="https://advance.lexis.com/api/document?collection=cases-ca&amp;id=urn:contentItem:5F8P-SCP1-JN14-G30W-00000-00&amp;context=" TargetMode="External" /><Relationship Id="rId784" Type="http://schemas.openxmlformats.org/officeDocument/2006/relationships/hyperlink" Target="https://advance.lexis.com/api/document?collection=cases-ca&amp;id=urn:contentItem:5F8T-N3V1-FH4C-X1WD-00000-00&amp;context=" TargetMode="External" /><Relationship Id="rId785" Type="http://schemas.openxmlformats.org/officeDocument/2006/relationships/hyperlink" Target="https://advance.lexis.com/api/document?collection=cases-ca&amp;id=urn:contentItem:5F8T-N3P1-F81W-22CK-00000-00&amp;context=" TargetMode="External" /><Relationship Id="rId786" Type="http://schemas.openxmlformats.org/officeDocument/2006/relationships/hyperlink" Target="https://advance.lexis.com/api/document?collection=cases-ca&amp;id=urn:contentItem:5F7V-3DK1-JNY7-X271-00000-00&amp;context=" TargetMode="External" /><Relationship Id="rId787" Type="http://schemas.openxmlformats.org/officeDocument/2006/relationships/hyperlink" Target="https://advance.lexis.com/api/document?collection=cases-ca&amp;id=urn:contentItem:5F81-VJW1-K0HK-22K9-00000-00&amp;context=" TargetMode="External" /><Relationship Id="rId788" Type="http://schemas.openxmlformats.org/officeDocument/2006/relationships/hyperlink" Target="https://advance.lexis.com/api/document?collection=cases-ca&amp;id=urn:contentItem:5F7T-S751-JGHR-M1VK-00000-00&amp;context=" TargetMode="External" /><Relationship Id="rId789" Type="http://schemas.openxmlformats.org/officeDocument/2006/relationships/hyperlink" Target="https://advance.lexis.com/api/document?collection=cases-ca&amp;id=urn:contentItem:5F8T-N3R1-JNS1-M0NC-00000-00&amp;context=" TargetMode="External" /><Relationship Id="rId79" Type="http://schemas.openxmlformats.org/officeDocument/2006/relationships/hyperlink" Target="https://advance.lexis.com/api/document?collection=cases-ca&amp;id=urn:contentItem:5F7T-S771-F361-M1DX-00000-00&amp;context=" TargetMode="External" /><Relationship Id="rId790" Type="http://schemas.openxmlformats.org/officeDocument/2006/relationships/hyperlink" Target="https://advance.lexis.com/api/document?collection=cases-ca&amp;id=urn:contentItem:5F7T-S731-JNJT-B1XC-00000-00&amp;context=" TargetMode="External" /><Relationship Id="rId791" Type="http://schemas.openxmlformats.org/officeDocument/2006/relationships/hyperlink" Target="https://advance.lexis.com/api/document?collection=cases-ca&amp;id=urn:contentItem:5F8T-N3V1-JF75-M3K6-00000-00&amp;context=" TargetMode="External" /><Relationship Id="rId792" Type="http://schemas.openxmlformats.org/officeDocument/2006/relationships/hyperlink" Target="https://advance.lexis.com/api/document?collection=cases-ca&amp;id=urn:contentItem:5F7T-S7C1-F7VM-S3BT-00000-00&amp;context=" TargetMode="External" /><Relationship Id="rId793" Type="http://schemas.openxmlformats.org/officeDocument/2006/relationships/hyperlink" Target="https://advance.lexis.com/api/document?collection=cases-ca&amp;id=urn:contentItem:5F2P-NNR1-F528-G0DG-00000-00&amp;context=" TargetMode="External" /><Relationship Id="rId794" Type="http://schemas.openxmlformats.org/officeDocument/2006/relationships/hyperlink" Target="https://advance.lexis.com/api/document?collection=cases-ca&amp;id=urn:contentItem:5F7T-S711-F4W2-61KC-00000-00&amp;context=" TargetMode="External" /><Relationship Id="rId795" Type="http://schemas.openxmlformats.org/officeDocument/2006/relationships/hyperlink" Target="https://advance.lexis.com/api/document?collection=cases-ca&amp;id=urn:contentItem:5F7T-S7J1-JYYX-62DX-00000-00&amp;context=" TargetMode="External" /><Relationship Id="rId796" Type="http://schemas.openxmlformats.org/officeDocument/2006/relationships/hyperlink" Target="https://advance.lexis.com/api/document?collection=cases-ca&amp;id=urn:contentItem:5F82-1SJ1-JCRC-B073-00000-00&amp;context=" TargetMode="External" /><Relationship Id="rId797" Type="http://schemas.openxmlformats.org/officeDocument/2006/relationships/hyperlink" Target="https://advance.lexis.com/api/document?collection=cases-ca&amp;id=urn:contentItem:5F7T-S761-JX8W-M32X-00000-00&amp;context=" TargetMode="External" /><Relationship Id="rId798" Type="http://schemas.openxmlformats.org/officeDocument/2006/relationships/hyperlink" Target="https://advance.lexis.com/api/document?collection=cases-ca&amp;id=urn:contentItem:5F7F-5RG1-F4NT-X00B-00000-00&amp;context=" TargetMode="External" /><Relationship Id="rId799" Type="http://schemas.openxmlformats.org/officeDocument/2006/relationships/hyperlink" Target="https://advance.lexis.com/api/document?collection=cases-ca&amp;id=urn:contentItem:5F7D-TJY1-JGHR-M03S-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41-DXPM-S10D-00000-00&amp;context=" TargetMode="External" /><Relationship Id="rId800" Type="http://schemas.openxmlformats.org/officeDocument/2006/relationships/hyperlink" Target="https://advance.lexis.com/api/document?collection=cases-ca&amp;id=urn:contentItem:5F16-9321-JJK6-S220-00000-00&amp;context=" TargetMode="External" /><Relationship Id="rId801" Type="http://schemas.openxmlformats.org/officeDocument/2006/relationships/hyperlink" Target="https://advance.lexis.com/api/document?collection=cases-ca&amp;id=urn:contentItem:5F7D-TJY1-FJDY-X0JR-00000-00&amp;context=" TargetMode="External" /><Relationship Id="rId802" Type="http://schemas.openxmlformats.org/officeDocument/2006/relationships/hyperlink" Target="https://advance.lexis.com/api/document?collection=cases-ca&amp;id=urn:contentItem:5F7V-3DH1-FFMK-M35Y-00000-00&amp;context=" TargetMode="External" /><Relationship Id="rId803" Type="http://schemas.openxmlformats.org/officeDocument/2006/relationships/hyperlink" Target="https://advance.lexis.com/api/document?collection=cases-ca&amp;id=urn:contentItem:5F7T-S771-JSJC-X03B-00000-00&amp;context=" TargetMode="External" /><Relationship Id="rId804" Type="http://schemas.openxmlformats.org/officeDocument/2006/relationships/hyperlink" Target="https://advance.lexis.com/api/document?collection=cases-ca&amp;id=urn:contentItem:5F81-VJT1-JWJ0-G34T-00000-00&amp;context=" TargetMode="External" /><Relationship Id="rId805" Type="http://schemas.openxmlformats.org/officeDocument/2006/relationships/hyperlink" Target="https://advance.lexis.com/api/document?collection=cases-ca&amp;id=urn:contentItem:5F8T-N3R1-JJSF-22DV-00000-00&amp;context=" TargetMode="External" /><Relationship Id="rId806" Type="http://schemas.openxmlformats.org/officeDocument/2006/relationships/hyperlink" Target="https://advance.lexis.com/api/document?collection=cases-ca&amp;id=urn:contentItem:5F7T-S6T1-F2F4-G1W9-00000-00&amp;context=" TargetMode="External" /><Relationship Id="rId807" Type="http://schemas.openxmlformats.org/officeDocument/2006/relationships/hyperlink" Target="https://advance.lexis.com/api/document?collection=cases-ca&amp;id=urn:contentItem:5F8N-K701-JJ1H-X3SS-00000-00&amp;context=" TargetMode="External" /><Relationship Id="rId808" Type="http://schemas.openxmlformats.org/officeDocument/2006/relationships/hyperlink" Target="https://advance.lexis.com/api/document?collection=cases-ca&amp;id=urn:contentItem:5F16-9361-JW5H-X4B7-00000-00&amp;context=" TargetMode="External" /><Relationship Id="rId809" Type="http://schemas.openxmlformats.org/officeDocument/2006/relationships/hyperlink" Target="https://advance.lexis.com/api/document?collection=cases-ca&amp;id=urn:contentItem:5F7F-5RF1-F4W2-60B4-00000-00&amp;context=" TargetMode="External" /><Relationship Id="rId81" Type="http://schemas.openxmlformats.org/officeDocument/2006/relationships/hyperlink" Target="https://advance.lexis.com/api/document?collection=cases-ca&amp;id=urn:contentItem:5F7H-KW81-JW5H-X0PK-00000-00&amp;context=" TargetMode="External" /><Relationship Id="rId810" Type="http://schemas.openxmlformats.org/officeDocument/2006/relationships/hyperlink" Target="https://advance.lexis.com/api/document?collection=cases-ca&amp;id=urn:contentItem:5F7T-S7H1-JCRC-B17V-00000-00&amp;context=" TargetMode="External" /><Relationship Id="rId811" Type="http://schemas.openxmlformats.org/officeDocument/2006/relationships/hyperlink" Target="https://advance.lexis.com/api/document?collection=cases-ca&amp;id=urn:contentItem:5F7T-S741-F528-G26X-00000-00&amp;context=" TargetMode="External" /><Relationship Id="rId812" Type="http://schemas.openxmlformats.org/officeDocument/2006/relationships/hyperlink" Target="https://advance.lexis.com/api/document?collection=cases-ca&amp;id=urn:contentItem:5F8T-N3V1-JF75-M3C6-00000-00&amp;context=" TargetMode="External" /><Relationship Id="rId813" Type="http://schemas.openxmlformats.org/officeDocument/2006/relationships/hyperlink" Target="https://advance.lexis.com/api/document?collection=cases-ca&amp;id=urn:contentItem:5F8T-N3S1-JT99-24X4-00000-00&amp;context=" TargetMode="External" /><Relationship Id="rId814" Type="http://schemas.openxmlformats.org/officeDocument/2006/relationships/hyperlink" Target="https://advance.lexis.com/api/document?collection=cases-ca&amp;id=urn:contentItem:5F7T-S7D1-FC6N-X0KR-00000-00&amp;context=" TargetMode="External" /><Relationship Id="rId815" Type="http://schemas.openxmlformats.org/officeDocument/2006/relationships/hyperlink" Target="https://advance.lexis.com/api/document?collection=cases-ca&amp;id=urn:contentItem:5F7T-S7H1-JCRC-B17T-00000-00&amp;context=" TargetMode="External" /><Relationship Id="rId816" Type="http://schemas.openxmlformats.org/officeDocument/2006/relationships/hyperlink" Target="https://advance.lexis.com/api/document?collection=cases-ca&amp;id=urn:contentItem:5F8T-N3V1-JTGH-B0YD-00000-00&amp;context=" TargetMode="External" /><Relationship Id="rId817" Type="http://schemas.openxmlformats.org/officeDocument/2006/relationships/hyperlink" Target="https://advance.lexis.com/api/document?collection=cases-ca&amp;id=urn:contentItem:5F8T-N3V1-JTGH-B1JG-00000-00&amp;context=" TargetMode="External" /><Relationship Id="rId818" Type="http://schemas.openxmlformats.org/officeDocument/2006/relationships/hyperlink" Target="https://advance.lexis.com/api/document?collection=legislation-ca&amp;id=urn:contentItem:5F97-RBV1-JF75-M2F9-00000-00&amp;context=" TargetMode="External" /><Relationship Id="rId819" Type="http://schemas.openxmlformats.org/officeDocument/2006/relationships/hyperlink" Target="https://advance.lexis.com/api/document?collection=cases-ca&amp;id=urn:contentItem:5F8N-K711-F873-B43J-00000-00&amp;context=" TargetMode="External" /><Relationship Id="rId82" Type="http://schemas.openxmlformats.org/officeDocument/2006/relationships/hyperlink" Target="https://advance.lexis.com/api/document?collection=cases-ca&amp;id=urn:contentItem:5F7T-S741-DXPM-S0X2-00000-00&amp;context=" TargetMode="External" /><Relationship Id="rId820" Type="http://schemas.openxmlformats.org/officeDocument/2006/relationships/hyperlink" Target="https://advance.lexis.com/api/document?collection=cases-ca&amp;id=urn:contentItem:5F8T-N3V1-JF75-M3RB-00000-00&amp;context=" TargetMode="External" /><Relationship Id="rId821" Type="http://schemas.openxmlformats.org/officeDocument/2006/relationships/hyperlink" Target="https://advance.lexis.com/api/document?collection=cases-ca&amp;id=urn:contentItem:5F8T-N3V1-FC1F-M3WT-00000-00&amp;context=" TargetMode="External" /><Relationship Id="rId822" Type="http://schemas.openxmlformats.org/officeDocument/2006/relationships/hyperlink" Target="https://advance.lexis.com/api/document?collection=cases-ca&amp;id=urn:contentItem:5F8T-N3V1-FC1F-M47Y-00000-00&amp;context=" TargetMode="External" /><Relationship Id="rId823" Type="http://schemas.openxmlformats.org/officeDocument/2006/relationships/hyperlink" Target="https://advance.lexis.com/api/document?collection=cases-ca&amp;id=urn:contentItem:5F7T-S7K1-DY33-B1C4-00000-00&amp;context=" TargetMode="External" /><Relationship Id="rId824" Type="http://schemas.openxmlformats.org/officeDocument/2006/relationships/hyperlink" Target="https://advance.lexis.com/api/document?collection=cases-ca&amp;id=urn:contentItem:5F8T-N3T1-JT99-200H-00000-00&amp;context=" TargetMode="External" /><Relationship Id="rId825" Type="http://schemas.openxmlformats.org/officeDocument/2006/relationships/hyperlink" Target="https://advance.lexis.com/api/document?collection=cases-ca&amp;id=urn:contentItem:5F8T-N3S1-JBDT-B032-00000-00&amp;context=" TargetMode="External" /><Relationship Id="rId826" Type="http://schemas.openxmlformats.org/officeDocument/2006/relationships/hyperlink" Target="https://advance.lexis.com/api/document?collection=cases-ca&amp;id=urn:contentItem:5F81-VJX1-JKPJ-G1VM-00000-00&amp;context=" TargetMode="External" /><Relationship Id="rId827" Type="http://schemas.openxmlformats.org/officeDocument/2006/relationships/hyperlink" Target="https://advance.lexis.com/api/document?collection=cases-ca&amp;id=urn:contentItem:5F8N-K731-JS0R-2437-00000-00&amp;context=" TargetMode="External" /><Relationship Id="rId828" Type="http://schemas.openxmlformats.org/officeDocument/2006/relationships/hyperlink" Target="https://advance.lexis.com/api/document?collection=cases-ca&amp;id=urn:contentItem:5F7T-S781-JSC5-M49F-00000-00&amp;context=" TargetMode="External" /><Relationship Id="rId829" Type="http://schemas.openxmlformats.org/officeDocument/2006/relationships/hyperlink" Target="https://advance.lexis.com/api/document?collection=cases-ca&amp;id=urn:contentItem:5F7T-S7G1-JWR6-S1YV-00000-00&amp;context=" TargetMode="External" /><Relationship Id="rId83" Type="http://schemas.openxmlformats.org/officeDocument/2006/relationships/header" Target="header16.xml" /><Relationship Id="rId830" Type="http://schemas.openxmlformats.org/officeDocument/2006/relationships/hyperlink" Target="https://advance.lexis.com/api/document?collection=cases-ca&amp;id=urn:contentItem:5F7T-S7F1-JK4W-M1SJ-00000-00&amp;context=" TargetMode="External" /><Relationship Id="rId831" Type="http://schemas.openxmlformats.org/officeDocument/2006/relationships/hyperlink" Target="https://advance.lexis.com/api/document?collection=cases-ca&amp;id=urn:contentItem:5F8P-SDC1-F1H1-2097-00000-00&amp;context=" TargetMode="External" /><Relationship Id="rId832" Type="http://schemas.openxmlformats.org/officeDocument/2006/relationships/hyperlink" Target="https://advance.lexis.com/api/document?collection=cases-ca&amp;id=urn:contentItem:5F16-9321-JJK6-S1VN-00000-00&amp;context=" TargetMode="External" /><Relationship Id="rId833" Type="http://schemas.openxmlformats.org/officeDocument/2006/relationships/hyperlink" Target="https://advance.lexis.com/api/document?collection=cases-ca&amp;id=urn:contentItem:5F8T-N3R1-JNS1-M0VS-00000-00&amp;context=" TargetMode="External" /><Relationship Id="rId834" Type="http://schemas.openxmlformats.org/officeDocument/2006/relationships/hyperlink" Target="https://advance.lexis.com/api/document?collection=cases-ca&amp;id=urn:contentItem:5F7T-S6Y1-JNY7-X2HV-00000-00&amp;context=" TargetMode="External" /><Relationship Id="rId835" Type="http://schemas.openxmlformats.org/officeDocument/2006/relationships/hyperlink" Target="https://advance.lexis.com/api/document?collection=cases-ca&amp;id=urn:contentItem:5F7T-S7G1-JPP5-21XC-00000-00&amp;context=" TargetMode="External" /><Relationship Id="rId836" Type="http://schemas.openxmlformats.org/officeDocument/2006/relationships/hyperlink" Target="https://advance.lexis.com/api/document?collection=cases-ca&amp;id=urn:contentItem:5F7T-S7J1-JGBH-B2FV-00000-00&amp;context=" TargetMode="External" /><Relationship Id="rId837" Type="http://schemas.openxmlformats.org/officeDocument/2006/relationships/hyperlink" Target="https://advance.lexis.com/api/document?collection=cases-ca&amp;id=urn:contentItem:5F7T-S781-DYMS-61VV-00000-00&amp;context=" TargetMode="External" /><Relationship Id="rId838" Type="http://schemas.openxmlformats.org/officeDocument/2006/relationships/hyperlink" Target="https://advance.lexis.com/api/document?collection=cases-ca&amp;id=urn:contentItem:5F7T-S7C1-F7ND-G04R-00000-00&amp;context=" TargetMode="External" /><Relationship Id="rId839" Type="http://schemas.openxmlformats.org/officeDocument/2006/relationships/hyperlink" Target="https://advance.lexis.com/api/document?collection=cases-ca&amp;id=urn:contentItem:5F8T-N3V1-JTGH-B1CP-00000-00&amp;context=" TargetMode="External" /><Relationship Id="rId84" Type="http://schemas.openxmlformats.org/officeDocument/2006/relationships/header" Target="header17.xml" /><Relationship Id="rId840" Type="http://schemas.openxmlformats.org/officeDocument/2006/relationships/hyperlink" Target="https://advance.lexis.com/api/document?collection=cases-ca&amp;id=urn:contentItem:5F81-YGV1-DYFH-X4VY-00000-00&amp;context=" TargetMode="External" /><Relationship Id="rId841" Type="http://schemas.openxmlformats.org/officeDocument/2006/relationships/hyperlink" Target="https://advance.lexis.com/api/document?collection=cases-ca&amp;id=urn:contentItem:5F7T-XPS1-F016-S52X-00000-00&amp;context=" TargetMode="External" /><Relationship Id="rId842" Type="http://schemas.openxmlformats.org/officeDocument/2006/relationships/hyperlink" Target="https://advance.lexis.com/api/document?collection=cases-ca&amp;id=urn:contentItem:5F7H-KW91-F57G-S0CR-00000-00&amp;context=" TargetMode="External" /><Relationship Id="rId843" Type="http://schemas.openxmlformats.org/officeDocument/2006/relationships/hyperlink" Target="https://advance.lexis.com/api/document?collection=cases-ca&amp;id=urn:contentItem:5F7T-S751-FJDY-X3XV-00000-00&amp;context=" TargetMode="External" /><Relationship Id="rId844" Type="http://schemas.openxmlformats.org/officeDocument/2006/relationships/hyperlink" Target="https://advance.lexis.com/api/document?collection=cases-ca&amp;id=urn:contentItem:5F81-VJX1-JJYN-B4VK-00000-00&amp;context=" TargetMode="External" /><Relationship Id="rId845" Type="http://schemas.openxmlformats.org/officeDocument/2006/relationships/hyperlink" Target="https://advance.lexis.com/api/document?collection=cases-ca&amp;id=urn:contentItem:5F8T-N3R1-JJSF-22WS-00000-00&amp;context=" TargetMode="External" /><Relationship Id="rId846" Type="http://schemas.openxmlformats.org/officeDocument/2006/relationships/hyperlink" Target="https://advance.lexis.com/api/document?collection=cases-ca&amp;id=urn:contentItem:5F7T-S6R1-JSXV-G0SM-00000-00&amp;context=" TargetMode="External" /><Relationship Id="rId847" Type="http://schemas.openxmlformats.org/officeDocument/2006/relationships/hyperlink" Target="https://advance.lexis.com/api/document?collection=cases-ca&amp;id=urn:contentItem:5F7T-S7H1-JCRC-B170-00000-00&amp;context=" TargetMode="External" /><Relationship Id="rId848" Type="http://schemas.openxmlformats.org/officeDocument/2006/relationships/hyperlink" Target="https://advance.lexis.com/api/document?collection=cases-ca&amp;id=urn:contentItem:5F7T-S7C1-F4NT-X3V4-00000-00&amp;context=" TargetMode="External" /><Relationship Id="rId849" Type="http://schemas.openxmlformats.org/officeDocument/2006/relationships/hyperlink" Target="https://advance.lexis.com/api/document?collection=cases-ca&amp;id=urn:contentItem:5F8T-N3T1-JGHR-M1PM-00000-00&amp;context=" TargetMode="External" /><Relationship Id="rId85" Type="http://schemas.openxmlformats.org/officeDocument/2006/relationships/footer" Target="footer16.xml" /><Relationship Id="rId850" Type="http://schemas.openxmlformats.org/officeDocument/2006/relationships/hyperlink" Target="https://advance.lexis.com/api/document?collection=cases-ca&amp;id=urn:contentItem:5F16-9351-JN6B-S1K0-00000-00&amp;context=" TargetMode="External" /><Relationship Id="rId851" Type="http://schemas.openxmlformats.org/officeDocument/2006/relationships/hyperlink" Target="https://advance.lexis.com/api/document?collection=cases-ca&amp;id=urn:contentItem:5F8T-N3R1-JJSF-22DW-00000-00&amp;context=" TargetMode="External" /><Relationship Id="rId852" Type="http://schemas.openxmlformats.org/officeDocument/2006/relationships/image" Target="media/image9.png" /><Relationship Id="rId853" Type="http://schemas.openxmlformats.org/officeDocument/2006/relationships/hyperlink" Target="https://advance.lexis.com/api/document?collection=cases-ca&amp;id=urn:contentItem:5F7T-S761-FFMK-M0TX-00000-00&amp;context=" TargetMode="External" /><Relationship Id="rId854" Type="http://schemas.openxmlformats.org/officeDocument/2006/relationships/hyperlink" Target="https://advance.lexis.com/api/document?collection=cases-ca&amp;id=urn:contentItem:5F82-1SD1-FCK4-G2NX-00000-00&amp;context=" TargetMode="External" /><Relationship Id="rId855" Type="http://schemas.openxmlformats.org/officeDocument/2006/relationships/hyperlink" Target="https://advance.lexis.com/api/document?collection=cases-ca&amp;id=urn:contentItem:5F81-VJX1-FD4T-B2PV-00000-00&amp;context=" TargetMode="External" /><Relationship Id="rId856" Type="http://schemas.openxmlformats.org/officeDocument/2006/relationships/hyperlink" Target="https://advance.lexis.com/api/document?collection=cases-ca&amp;id=urn:contentItem:5F16-9371-FJM6-62JK-00000-00&amp;context=" TargetMode="External" /><Relationship Id="rId857" Type="http://schemas.openxmlformats.org/officeDocument/2006/relationships/hyperlink" Target="https://advance.lexis.com/api/document?collection=cases-ca&amp;id=urn:contentItem:5F8T-N3V1-FC1F-M4BS-00000-00&amp;context=" TargetMode="External" /><Relationship Id="rId858" Type="http://schemas.openxmlformats.org/officeDocument/2006/relationships/hyperlink" Target="https://advance.lexis.com/api/document?collection=cases-ca&amp;id=urn:contentItem:5F7T-S741-DXPM-S0WM-00000-00&amp;context=" TargetMode="External" /><Relationship Id="rId859" Type="http://schemas.openxmlformats.org/officeDocument/2006/relationships/hyperlink" Target="https://advance.lexis.com/api/document?collection=cases-ca&amp;id=urn:contentItem:5F81-VJX1-FD4T-B2J9-00000-00&amp;context=" TargetMode="External" /><Relationship Id="rId86" Type="http://schemas.openxmlformats.org/officeDocument/2006/relationships/footer" Target="footer17.xml" /><Relationship Id="rId860" Type="http://schemas.openxmlformats.org/officeDocument/2006/relationships/image" Target="media/image10.png" /><Relationship Id="rId861" Type="http://schemas.openxmlformats.org/officeDocument/2006/relationships/hyperlink" Target="https://advance.lexis.com/api/document?collection=cases-ca&amp;id=urn:contentItem:5F8P-SDN1-JNCK-21CJ-00000-00&amp;context=" TargetMode="External" /><Relationship Id="rId862" Type="http://schemas.openxmlformats.org/officeDocument/2006/relationships/hyperlink" Target="https://advance.lexis.com/api/document?collection=cases-ca&amp;id=urn:contentItem:5F8P-SDT1-JCJ5-24JX-00000-00&amp;context=" TargetMode="External" /><Relationship Id="rId863" Type="http://schemas.openxmlformats.org/officeDocument/2006/relationships/hyperlink" Target="https://advance.lexis.com/api/document?collection=cases-ca&amp;id=urn:contentItem:5F7T-S7C1-JS0R-222Y-00000-00&amp;context=" TargetMode="External" /><Relationship Id="rId864" Type="http://schemas.openxmlformats.org/officeDocument/2006/relationships/hyperlink" Target="https://advance.lexis.com/api/document?collection=cases-ca&amp;id=urn:contentItem:5F7T-S7D1-FCSB-S301-00000-00&amp;context=" TargetMode="External" /><Relationship Id="rId865" Type="http://schemas.openxmlformats.org/officeDocument/2006/relationships/hyperlink" Target="https://advance.lexis.com/api/document?collection=cases-ca&amp;id=urn:contentItem:5F8T-N3V1-JTGH-B16M-00000-00&amp;context=" TargetMode="External" /><Relationship Id="rId866" Type="http://schemas.openxmlformats.org/officeDocument/2006/relationships/hyperlink" Target="https://advance.lexis.com/api/document?collection=cases-ca&amp;id=urn:contentItem:5F8T-N3V1-JFKM-6092-00000-00&amp;context=" TargetMode="External" /><Relationship Id="rId867" Type="http://schemas.openxmlformats.org/officeDocument/2006/relationships/hyperlink" Target="https://advance.lexis.com/api/document?collection=cases-ca&amp;id=urn:contentItem:5F8T-N3T1-JJSF-23FR-00000-00&amp;context=" TargetMode="External" /><Relationship Id="rId868" Type="http://schemas.openxmlformats.org/officeDocument/2006/relationships/hyperlink" Target="https://advance.lexis.com/api/document?collection=cases-ca&amp;id=urn:contentItem:5F8T-N3V1-FC1F-M48C-00000-00&amp;context=" TargetMode="External" /><Relationship Id="rId869" Type="http://schemas.openxmlformats.org/officeDocument/2006/relationships/hyperlink" Target="https://advance.lexis.com/api/document?collection=cases-ca&amp;id=urn:contentItem:5F8T-N3V1-JTGH-B103-00000-00&amp;context=" TargetMode="External" /><Relationship Id="rId87" Type="http://schemas.openxmlformats.org/officeDocument/2006/relationships/header" Target="header18.xml" /><Relationship Id="rId870" Type="http://schemas.openxmlformats.org/officeDocument/2006/relationships/hyperlink" Target="https://advance.lexis.com/api/document?collection=cases-ca&amp;id=urn:contentItem:5F7T-S7D1-FBFS-S1P2-00000-00&amp;context=" TargetMode="External" /><Relationship Id="rId871" Type="http://schemas.openxmlformats.org/officeDocument/2006/relationships/hyperlink" Target="https://advance.lexis.com/api/document?collection=cases-ca&amp;id=urn:contentItem:5F7T-S7F1-F7VM-S4DP-00000-00&amp;context=" TargetMode="External" /><Relationship Id="rId872" Type="http://schemas.openxmlformats.org/officeDocument/2006/relationships/hyperlink" Target="https://advance.lexis.com/api/document?collection=cases-ca&amp;id=urn:contentItem:5F7T-S7F1-DXWW-23DP-00000-00&amp;context=" TargetMode="External" /><Relationship Id="rId873" Type="http://schemas.openxmlformats.org/officeDocument/2006/relationships/hyperlink" Target="https://advance.lexis.com/api/document?collection=cases-ca&amp;id=urn:contentItem:5F8P-SBW1-F900-G2BM-00000-00&amp;context=" TargetMode="External" /><Relationship Id="rId874" Type="http://schemas.openxmlformats.org/officeDocument/2006/relationships/hyperlink" Target="https://advance.lexis.com/api/document?collection=cases-ca&amp;id=urn:contentItem:5F7D-TJY1-FJDY-X07W-00000-00&amp;context=" TargetMode="External" /><Relationship Id="rId875" Type="http://schemas.openxmlformats.org/officeDocument/2006/relationships/hyperlink" Target="https://advance.lexis.com/api/document?collection=cases-ca&amp;id=urn:contentItem:5F7T-S6T1-F361-M09N-00000-00&amp;context=" TargetMode="External" /><Relationship Id="rId876" Type="http://schemas.openxmlformats.org/officeDocument/2006/relationships/hyperlink" Target="https://advance.lexis.com/api/document?collection=cases-ca&amp;id=urn:contentItem:5F7D-TJY1-JGHR-M047-00000-00&amp;context=" TargetMode="External" /><Relationship Id="rId877" Type="http://schemas.openxmlformats.org/officeDocument/2006/relationships/hyperlink" Target="https://advance.lexis.com/api/document?collection=cases-ca&amp;id=urn:contentItem:5F8W-M441-DXWW-248Y-00000-00&amp;context=" TargetMode="External" /><Relationship Id="rId878" Type="http://schemas.openxmlformats.org/officeDocument/2006/relationships/hyperlink" Target="https://advance.lexis.com/api/document?collection=cases-ca&amp;id=urn:contentItem:5F7F-5RG1-FCSB-S0MD-00000-00&amp;context=" TargetMode="External" /><Relationship Id="rId879" Type="http://schemas.openxmlformats.org/officeDocument/2006/relationships/hyperlink" Target="https://advance.lexis.com/api/document?collection=cases-ca&amp;id=urn:contentItem:5F7D-TJY1-FJDY-X053-00000-00&amp;context=" TargetMode="External" /><Relationship Id="rId88" Type="http://schemas.openxmlformats.org/officeDocument/2006/relationships/footer" Target="footer18.xml" /><Relationship Id="rId880" Type="http://schemas.openxmlformats.org/officeDocument/2006/relationships/image" Target="media/image11.jpeg" /><Relationship Id="rId881" Type="http://schemas.openxmlformats.org/officeDocument/2006/relationships/header" Target="header97.xml" /><Relationship Id="rId882" Type="http://schemas.openxmlformats.org/officeDocument/2006/relationships/header" Target="header98.xml" /><Relationship Id="rId883" Type="http://schemas.openxmlformats.org/officeDocument/2006/relationships/footer" Target="footer97.xml" /><Relationship Id="rId884" Type="http://schemas.openxmlformats.org/officeDocument/2006/relationships/footer" Target="footer98.xml" /><Relationship Id="rId885" Type="http://schemas.openxmlformats.org/officeDocument/2006/relationships/header" Target="header99.xml" /><Relationship Id="rId886" Type="http://schemas.openxmlformats.org/officeDocument/2006/relationships/footer" Target="footer99.xml" /><Relationship Id="rId887" Type="http://schemas.openxmlformats.org/officeDocument/2006/relationships/hyperlink" Target="https://advance.lexis.com/api/document?collection=cases-ca&amp;id=urn:contentItem:5F7T-S7D1-JN6B-S168-00000-00&amp;context=" TargetMode="External" /><Relationship Id="rId888" Type="http://schemas.openxmlformats.org/officeDocument/2006/relationships/hyperlink" Target="https://advance.lexis.com/api/document?collection=cases-ca&amp;id=urn:contentItem:5F8T-N3V1-JF75-M3KJ-00000-00&amp;context=" TargetMode="External" /><Relationship Id="rId889" Type="http://schemas.openxmlformats.org/officeDocument/2006/relationships/header" Target="header100.xml" /><Relationship Id="rId89" Type="http://schemas.openxmlformats.org/officeDocument/2006/relationships/hyperlink" Target="https://advance.lexis.com/api/document?collection=cases-ca&amp;id=urn:contentItem:5GCC-XVC1-F900-G4P8-00000-00&amp;context=" TargetMode="External" /><Relationship Id="rId890" Type="http://schemas.openxmlformats.org/officeDocument/2006/relationships/header" Target="header101.xml" /><Relationship Id="rId891" Type="http://schemas.openxmlformats.org/officeDocument/2006/relationships/footer" Target="footer100.xml" /><Relationship Id="rId892" Type="http://schemas.openxmlformats.org/officeDocument/2006/relationships/footer" Target="footer101.xml" /><Relationship Id="rId893" Type="http://schemas.openxmlformats.org/officeDocument/2006/relationships/header" Target="header102.xml" /><Relationship Id="rId894" Type="http://schemas.openxmlformats.org/officeDocument/2006/relationships/footer" Target="footer102.xml" /><Relationship Id="rId895" Type="http://schemas.openxmlformats.org/officeDocument/2006/relationships/hyperlink" Target="https://advance.lexis.com/api/document?collection=cases-ca&amp;id=urn:contentItem:5F7T-S7F1-FJTD-G3PJ-00000-00&amp;context=" TargetMode="External" /><Relationship Id="rId896" Type="http://schemas.openxmlformats.org/officeDocument/2006/relationships/hyperlink" Target="https://advance.lexis.com/api/document?collection=legislation-ca&amp;id=urn:contentItem:5F41-1FJ1-F7ND-G09V-00000-00&amp;context=" TargetMode="External" /><Relationship Id="rId897" Type="http://schemas.openxmlformats.org/officeDocument/2006/relationships/hyperlink" Target="https://advance.lexis.com/api/document?collection=cases-ca&amp;id=urn:contentItem:5F7T-S7C1-JXG3-X03T-00000-00&amp;context=" TargetMode="External" /><Relationship Id="rId898" Type="http://schemas.openxmlformats.org/officeDocument/2006/relationships/hyperlink" Target="https://advance.lexis.com/api/document?collection=cases-ca&amp;id=urn:contentItem:5F82-1SF1-F1P7-B3KT-00000-00&amp;context=" TargetMode="External" /><Relationship Id="rId899" Type="http://schemas.openxmlformats.org/officeDocument/2006/relationships/hyperlink" Target="https://advance.lexis.com/api/document?collection=cases-ca&amp;id=urn:contentItem:5F7T-S7D1-F7ND-G0KK-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GCC-XVB1-JGHR-M4GV-00000-00&amp;context=" TargetMode="External" /><Relationship Id="rId900" Type="http://schemas.openxmlformats.org/officeDocument/2006/relationships/hyperlink" Target="https://advance.lexis.com/api/document?collection=cases-ca&amp;id=urn:contentItem:5F8T-N3T1-JJSF-23BN-00000-00&amp;context=" TargetMode="External" /><Relationship Id="rId901" Type="http://schemas.openxmlformats.org/officeDocument/2006/relationships/hyperlink" Target="https://advance.lexis.com/api/document?collection=cases-ca&amp;id=urn:contentItem:5F8T-N3V1-JF75-M3WX-00000-00&amp;context=" TargetMode="External" /><Relationship Id="rId902" Type="http://schemas.openxmlformats.org/officeDocument/2006/relationships/header" Target="header103.xml" /><Relationship Id="rId903" Type="http://schemas.openxmlformats.org/officeDocument/2006/relationships/header" Target="header104.xml" /><Relationship Id="rId904" Type="http://schemas.openxmlformats.org/officeDocument/2006/relationships/footer" Target="footer103.xml" /><Relationship Id="rId905" Type="http://schemas.openxmlformats.org/officeDocument/2006/relationships/footer" Target="footer104.xml" /><Relationship Id="rId906" Type="http://schemas.openxmlformats.org/officeDocument/2006/relationships/header" Target="header105.xml" /><Relationship Id="rId907" Type="http://schemas.openxmlformats.org/officeDocument/2006/relationships/footer" Target="footer105.xml" /><Relationship Id="rId908" Type="http://schemas.openxmlformats.org/officeDocument/2006/relationships/hyperlink" Target="https://advance.lexis.com/api/document?collection=cases-ca&amp;id=urn:contentItem:5F7T-S771-F81W-2287-00000-00&amp;context=" TargetMode="External" /><Relationship Id="rId909" Type="http://schemas.openxmlformats.org/officeDocument/2006/relationships/hyperlink" Target="https://advance.lexis.com/api/document?collection=cases-ca&amp;id=urn:contentItem:5F7T-S761-FGJR-22T8-00000-00&amp;context=" TargetMode="External" /><Relationship Id="rId91" Type="http://schemas.openxmlformats.org/officeDocument/2006/relationships/hyperlink" Target="https://advance.lexis.com/api/document?collection=cases-ca&amp;id=urn:contentItem:5F8T-N3V1-FC1F-M41J-00000-00&amp;context=" TargetMode="External" /><Relationship Id="rId910" Type="http://schemas.openxmlformats.org/officeDocument/2006/relationships/hyperlink" Target="https://advance.lexis.com/api/document?collection=cases-ca&amp;id=urn:contentItem:5F7T-S761-JCBX-S0WF-00000-00&amp;context=" TargetMode="External" /><Relationship Id="rId911" Type="http://schemas.openxmlformats.org/officeDocument/2006/relationships/hyperlink" Target="https://advance.lexis.com/api/document?collection=cases-ca&amp;id=urn:contentItem:5F7T-S6Y1-JPP5-216D-00000-00&amp;context=" TargetMode="External" /><Relationship Id="rId912" Type="http://schemas.openxmlformats.org/officeDocument/2006/relationships/hyperlink" Target="https://advance.lexis.com/api/document?collection=cases-ca&amp;id=urn:contentItem:5F7T-S711-F4W2-61W5-00000-00&amp;context=" TargetMode="External" /><Relationship Id="rId913" Type="http://schemas.openxmlformats.org/officeDocument/2006/relationships/hyperlink" Target="https://advance.lexis.com/api/document?collection=cases-ca&amp;id=urn:contentItem:5F7T-S6Y1-JSC5-M348-00000-00&amp;context=" TargetMode="External" /><Relationship Id="rId914" Type="http://schemas.openxmlformats.org/officeDocument/2006/relationships/hyperlink" Target="https://advance.lexis.com/api/document?collection=cases-ca&amp;id=urn:contentItem:5F7T-S751-F361-M0V6-00000-00&amp;context=" TargetMode="External" /><Relationship Id="rId915" Type="http://schemas.openxmlformats.org/officeDocument/2006/relationships/hyperlink" Target="https://advance.lexis.com/api/document?collection=cases-ca&amp;id=urn:contentItem:5F7T-S6X1-F7G6-62FG-00000-00&amp;context=" TargetMode="External" /><Relationship Id="rId916" Type="http://schemas.openxmlformats.org/officeDocument/2006/relationships/hyperlink" Target="https://advance.lexis.com/api/document?collection=cases-ca&amp;id=urn:contentItem:5F7T-S6S1-JX8W-M2F1-00000-00&amp;context=" TargetMode="External" /><Relationship Id="rId917" Type="http://schemas.openxmlformats.org/officeDocument/2006/relationships/hyperlink" Target="https://advance.lexis.com/api/document?collection=cases-ca&amp;id=urn:contentItem:5F7T-S741-DY89-M3BM-00000-00&amp;context=" TargetMode="External" /><Relationship Id="rId918" Type="http://schemas.openxmlformats.org/officeDocument/2006/relationships/header" Target="header106.xml" /><Relationship Id="rId919" Type="http://schemas.openxmlformats.org/officeDocument/2006/relationships/header" Target="header107.xml" /><Relationship Id="rId92" Type="http://schemas.openxmlformats.org/officeDocument/2006/relationships/hyperlink" Target="https://advance.lexis.com/api/document?collection=cases-ca&amp;id=urn:contentItem:5F7T-S6Y1-JPP5-2188-00000-00&amp;context=" TargetMode="External" /><Relationship Id="rId920" Type="http://schemas.openxmlformats.org/officeDocument/2006/relationships/footer" Target="footer106.xml" /><Relationship Id="rId921" Type="http://schemas.openxmlformats.org/officeDocument/2006/relationships/footer" Target="footer107.xml" /><Relationship Id="rId922" Type="http://schemas.openxmlformats.org/officeDocument/2006/relationships/header" Target="header108.xml" /><Relationship Id="rId923" Type="http://schemas.openxmlformats.org/officeDocument/2006/relationships/footer" Target="footer108.xml" /><Relationship Id="rId924" Type="http://schemas.openxmlformats.org/officeDocument/2006/relationships/hyperlink" Target="https://advance.lexis.com/api/document?collection=cases-ca&amp;id=urn:contentItem:5VX3-4C71-DY89-M31H-00000-00&amp;context=" TargetMode="External" /><Relationship Id="rId925" Type="http://schemas.openxmlformats.org/officeDocument/2006/relationships/hyperlink" Target="https://advance.lexis.com/api/document?collection=cases-ca&amp;id=urn:contentItem:5F7T-S7K1-DY33-B1RF-00000-00&amp;context=" TargetMode="External" /><Relationship Id="rId926" Type="http://schemas.openxmlformats.org/officeDocument/2006/relationships/hyperlink" Target="https://advance.lexis.com/api/document?collection=cases-ca&amp;id=urn:contentItem:5F7T-S7K1-F1H1-22DB-00000-00&amp;context=" TargetMode="External" /><Relationship Id="rId927" Type="http://schemas.openxmlformats.org/officeDocument/2006/relationships/hyperlink" Target="https://advance.lexis.com/api/document?collection=cases-ca&amp;id=urn:contentItem:5F8P-SCW1-F22N-X0C8-00000-00&amp;context=" TargetMode="External" /><Relationship Id="rId928" Type="http://schemas.openxmlformats.org/officeDocument/2006/relationships/hyperlink" Target="https://advance.lexis.com/api/document?collection=cases-ca&amp;id=urn:contentItem:5F8P-SGB1-JBT7-X2VK-00000-00&amp;context=" TargetMode="External" /><Relationship Id="rId929" Type="http://schemas.openxmlformats.org/officeDocument/2006/relationships/hyperlink" Target="https://advance.lexis.com/api/document?collection=cases-ca&amp;id=urn:contentItem:5F16-93D1-JN6B-S1WR-00000-00&amp;context=" TargetMode="External" /><Relationship Id="rId93" Type="http://schemas.openxmlformats.org/officeDocument/2006/relationships/hyperlink" Target="https://advance.lexis.com/api/document?collection=cases-ca&amp;id=urn:contentItem:5F16-9371-F27X-6238-00000-00&amp;context=" TargetMode="External" /><Relationship Id="rId930" Type="http://schemas.openxmlformats.org/officeDocument/2006/relationships/hyperlink" Target="https://advance.lexis.com/api/document?collection=cases-ca&amp;id=urn:contentItem:5F7T-S7P1-JP4G-61WX-00000-00&amp;context=" TargetMode="External" /><Relationship Id="rId931" Type="http://schemas.openxmlformats.org/officeDocument/2006/relationships/hyperlink" Target="https://advance.lexis.com/api/document?collection=cases-ca&amp;id=urn:contentItem:5F8P-SFG1-FG12-62KT-00000-00&amp;context=" TargetMode="External" /><Relationship Id="rId932" Type="http://schemas.openxmlformats.org/officeDocument/2006/relationships/hyperlink" Target="https://advance.lexis.com/api/document?collection=cases-ca&amp;id=urn:contentItem:5F81-VJX1-FFTT-X1TV-00000-00&amp;context=" TargetMode="External" /><Relationship Id="rId933" Type="http://schemas.openxmlformats.org/officeDocument/2006/relationships/hyperlink" Target="https://advance.lexis.com/api/document?collection=cases-ca&amp;id=urn:contentItem:5F82-1SD1-FCK4-G2W7-00000-00&amp;context=" TargetMode="External" /><Relationship Id="rId934" Type="http://schemas.openxmlformats.org/officeDocument/2006/relationships/hyperlink" Target="https://advance.lexis.com/api/document?collection=cases-ca&amp;id=urn:contentItem:5F81-VJX1-JX3N-B17H-00000-00&amp;context=" TargetMode="External" /><Relationship Id="rId935" Type="http://schemas.openxmlformats.org/officeDocument/2006/relationships/hyperlink" Target="https://advance.lexis.com/api/document?collection=cases-ca&amp;id=urn:contentItem:5F82-1SD1-FC6N-X3WY-00000-00&amp;context=" TargetMode="External" /><Relationship Id="rId936" Type="http://schemas.openxmlformats.org/officeDocument/2006/relationships/hyperlink" Target="https://advance.lexis.com/api/document?collection=cases-ca&amp;id=urn:contentItem:5F81-VJX1-F5KY-B4DP-00000-00&amp;context=" TargetMode="External" /><Relationship Id="rId937" Type="http://schemas.openxmlformats.org/officeDocument/2006/relationships/hyperlink" Target="https://advance.lexis.com/api/document?collection=cases-ca&amp;id=urn:contentItem:5F7T-S7H1-JS5Y-B2M6-00000-00&amp;context=" TargetMode="External" /><Relationship Id="rId938" Type="http://schemas.openxmlformats.org/officeDocument/2006/relationships/hyperlink" Target="https://advance.lexis.com/api/document?collection=cases-ca&amp;id=urn:contentItem:5F7T-S7P1-JCRC-B23D-00000-00&amp;context=" TargetMode="External" /><Relationship Id="rId939" Type="http://schemas.openxmlformats.org/officeDocument/2006/relationships/hyperlink" Target="https://advance.lexis.com/api/document?collection=cases-ca&amp;id=urn:contentItem:5F82-1SK1-FGJR-245K-00000-00&amp;context=" TargetMode="External" /><Relationship Id="rId94" Type="http://schemas.openxmlformats.org/officeDocument/2006/relationships/hyperlink" Target="https://advance.lexis.com/api/document?collection=cases-ca&amp;id=urn:contentItem:5F7T-S7K1-JSJC-X0S8-00000-00&amp;context=" TargetMode="External" /><Relationship Id="rId940" Type="http://schemas.openxmlformats.org/officeDocument/2006/relationships/hyperlink" Target="https://advance.lexis.com/api/document?collection=cases-ca&amp;id=urn:contentItem:5F81-VJY1-JPGX-S4YD-00000-00&amp;context=" TargetMode="External" /><Relationship Id="rId941" Type="http://schemas.openxmlformats.org/officeDocument/2006/relationships/hyperlink" Target="https://advance.lexis.com/api/document?collection=cases-ca&amp;id=urn:contentItem:5F81-VJY1-JWBS-64JB-00000-00&amp;context=" TargetMode="External" /><Relationship Id="rId942" Type="http://schemas.openxmlformats.org/officeDocument/2006/relationships/hyperlink" Target="https://advance.lexis.com/api/document?collection=cases-ca&amp;id=urn:contentItem:5F8P-SDD1-JFSV-G3BT-00000-00&amp;context=" TargetMode="External" /><Relationship Id="rId943" Type="http://schemas.openxmlformats.org/officeDocument/2006/relationships/hyperlink" Target="https://advance.lexis.com/api/document?collection=cases-ca&amp;id=urn:contentItem:5F7T-S7M1-JFSV-G3T3-00000-00&amp;context=" TargetMode="External" /><Relationship Id="rId944" Type="http://schemas.openxmlformats.org/officeDocument/2006/relationships/hyperlink" Target="https://advance.lexis.com/api/document?collection=cases-ca&amp;id=urn:contentItem:5F7T-S7K1-JSJC-X13P-00000-00&amp;context=" TargetMode="External" /><Relationship Id="rId945" Type="http://schemas.openxmlformats.org/officeDocument/2006/relationships/hyperlink" Target="https://advance.lexis.com/api/document?collection=cases-ca&amp;id=urn:contentItem:5F7T-S7P1-JG02-S3YS-00000-00&amp;context=" TargetMode="External" /><Relationship Id="rId946" Type="http://schemas.openxmlformats.org/officeDocument/2006/relationships/hyperlink" Target="https://advance.lexis.com/api/document?collection=cases-ca&amp;id=urn:contentItem:5G68-9741-FCYK-21KH-00000-00&amp;context=" TargetMode="External" /><Relationship Id="rId947" Type="http://schemas.openxmlformats.org/officeDocument/2006/relationships/hyperlink" Target="https://advance.lexis.com/api/document?collection=cases-ca&amp;id=urn:contentItem:5F7T-S751-F361-M0V7-00000-00&amp;context=" TargetMode="External" /><Relationship Id="rId948" Type="http://schemas.openxmlformats.org/officeDocument/2006/relationships/hyperlink" Target="https://advance.lexis.com/api/document?collection=cases-ca&amp;id=urn:contentItem:5F7T-S7H1-JS5Y-B306-00000-00&amp;context=" TargetMode="External" /><Relationship Id="rId949" Type="http://schemas.openxmlformats.org/officeDocument/2006/relationships/hyperlink" Target="https://advance.lexis.com/api/document?collection=cases-ca&amp;id=urn:contentItem:5F8T-N3V1-FC1F-M49J-00000-00&amp;context=" TargetMode="External" /><Relationship Id="rId95" Type="http://schemas.openxmlformats.org/officeDocument/2006/relationships/hyperlink" Target="https://advance.lexis.com/api/document?collection=cases-ca&amp;id=urn:contentItem:5F8T-N3T1-JFKM-655K-00000-00&amp;context=" TargetMode="External" /><Relationship Id="rId950" Type="http://schemas.openxmlformats.org/officeDocument/2006/relationships/hyperlink" Target="https://advance.lexis.com/api/document?collection=cases-ca&amp;id=urn:contentItem:5F7T-S6Y1-JPP5-215W-00000-00&amp;context=" TargetMode="External" /><Relationship Id="rId951" Type="http://schemas.openxmlformats.org/officeDocument/2006/relationships/hyperlink" Target="https://advance.lexis.com/api/document?collection=cases-ca&amp;id=urn:contentItem:5F8N-K751-F016-S4HN-00000-00&amp;context=" TargetMode="External" /><Relationship Id="rId952" Type="http://schemas.openxmlformats.org/officeDocument/2006/relationships/hyperlink" Target="https://advance.lexis.com/api/document?collection=cases-ca&amp;id=urn:contentItem:5GB3-MY31-JX3N-B2D7-00000-00&amp;context=" TargetMode="External" /><Relationship Id="rId953" Type="http://schemas.openxmlformats.org/officeDocument/2006/relationships/hyperlink" Target="https://advance.lexis.com/api/document?collection=cases-ca&amp;id=urn:contentItem:5F8T-N3V1-JFKM-6070-00000-00&amp;context=" TargetMode="External" /><Relationship Id="rId954" Type="http://schemas.openxmlformats.org/officeDocument/2006/relationships/hyperlink" Target="https://advance.lexis.com/api/document?collection=cases-ca&amp;id=urn:contentItem:5G77-HXG1-FCK4-G3XK-00000-00&amp;context=" TargetMode="External" /><Relationship Id="rId955" Type="http://schemas.openxmlformats.org/officeDocument/2006/relationships/hyperlink" Target="https://advance.lexis.com/api/document?collection=cases-ca&amp;id=urn:contentItem:5M4Y-47R1-JC5P-G43Y-00000-00&amp;context=" TargetMode="External" /><Relationship Id="rId956" Type="http://schemas.openxmlformats.org/officeDocument/2006/relationships/hyperlink" Target="https://advance.lexis.com/api/document?collection=cases-ca&amp;id=urn:contentItem:5F8T-N3V1-JFKM-6011-00000-00&amp;context=" TargetMode="External" /><Relationship Id="rId957" Type="http://schemas.openxmlformats.org/officeDocument/2006/relationships/hyperlink" Target="https://advance.lexis.com/api/document?collection=cases-ca&amp;id=urn:contentItem:5F8P-SCN1-F8D9-M1XF-00000-00&amp;context=" TargetMode="External" /><Relationship Id="rId958" Type="http://schemas.openxmlformats.org/officeDocument/2006/relationships/hyperlink" Target="https://advance.lexis.com/api/document?collection=cases-ca&amp;id=urn:contentItem:5F8T-N3V1-JF75-M3VR-00000-00&amp;context=" TargetMode="External" /><Relationship Id="rId959" Type="http://schemas.openxmlformats.org/officeDocument/2006/relationships/header" Target="header109.xml" /><Relationship Id="rId96" Type="http://schemas.openxmlformats.org/officeDocument/2006/relationships/header" Target="header19.xml" /><Relationship Id="rId960" Type="http://schemas.openxmlformats.org/officeDocument/2006/relationships/header" Target="header110.xml" /><Relationship Id="rId961" Type="http://schemas.openxmlformats.org/officeDocument/2006/relationships/footer" Target="footer109.xml" /><Relationship Id="rId962" Type="http://schemas.openxmlformats.org/officeDocument/2006/relationships/footer" Target="footer110.xml" /><Relationship Id="rId963" Type="http://schemas.openxmlformats.org/officeDocument/2006/relationships/header" Target="header111.xml" /><Relationship Id="rId964" Type="http://schemas.openxmlformats.org/officeDocument/2006/relationships/footer" Target="footer111.xml" /><Relationship Id="rId965" Type="http://schemas.openxmlformats.org/officeDocument/2006/relationships/hyperlink" Target="https://advance.lexis.com/api/document?collection=cases-ca&amp;id=urn:contentItem:5X52-HCN1-F30T-B00C-00000-00&amp;context=" TargetMode="External" /><Relationship Id="rId966" Type="http://schemas.openxmlformats.org/officeDocument/2006/relationships/hyperlink" Target="https://advance.lexis.com/api/document?collection=cases-ca&amp;id=urn:contentItem:5PWM-06C1-JX8W-M4YJ-00000-00&amp;context=" TargetMode="External" /><Relationship Id="rId967" Type="http://schemas.openxmlformats.org/officeDocument/2006/relationships/hyperlink" Target="https://advance.lexis.com/api/document?collection=cases-ca&amp;id=urn:contentItem:5RGS-CBH1-F1WF-M4WC-00000-00&amp;context=" TargetMode="External" /><Relationship Id="rId968" Type="http://schemas.openxmlformats.org/officeDocument/2006/relationships/hyperlink" Target="https://advance.lexis.com/api/document?collection=cases-ca&amp;id=urn:contentItem:5WPG-1H51-JSJC-X3KP-00000-00&amp;context=" TargetMode="External" /><Relationship Id="rId969" Type="http://schemas.openxmlformats.org/officeDocument/2006/relationships/hyperlink" Target="https://advance.lexis.com/api/document?collection=cases-ca&amp;id=urn:contentItem:5SHB-BV91-JJD0-G3P0-00000-00&amp;context=" TargetMode="External" /><Relationship Id="rId97" Type="http://schemas.openxmlformats.org/officeDocument/2006/relationships/header" Target="header20.xml" /><Relationship Id="rId970" Type="http://schemas.openxmlformats.org/officeDocument/2006/relationships/hyperlink" Target="https://advance.lexis.com/api/document?collection=cases-ca&amp;id=urn:contentItem:5F8T-N3V1-JTGH-B1BS-00000-00&amp;context=" TargetMode="External" /><Relationship Id="rId971" Type="http://schemas.openxmlformats.org/officeDocument/2006/relationships/hyperlink" Target="https://advance.lexis.com/api/document?collection=cases-ca&amp;id=urn:contentItem:5GCC-XVC1-JSRM-60DX-00000-00&amp;context=" TargetMode="External" /><Relationship Id="rId972" Type="http://schemas.openxmlformats.org/officeDocument/2006/relationships/hyperlink" Target="https://advance.lexis.com/api/document?collection=cases-ca&amp;id=urn:contentItem:5P2P-1K41-FD4T-B4YS-00000-00&amp;context=" TargetMode="External" /><Relationship Id="rId973" Type="http://schemas.openxmlformats.org/officeDocument/2006/relationships/hyperlink" Target="https://advance.lexis.com/api/document?collection=cases-ca&amp;id=urn:contentItem:5F7T-S7F1-JBT7-X2R8-00000-00&amp;context=" TargetMode="External" /><Relationship Id="rId974" Type="http://schemas.openxmlformats.org/officeDocument/2006/relationships/hyperlink" Target="https://advance.lexis.com/api/document?collection=cases-ca&amp;id=urn:contentItem:5G44-J3J1-JT42-S3K4-00000-00&amp;context=" TargetMode="External" /><Relationship Id="rId975" Type="http://schemas.openxmlformats.org/officeDocument/2006/relationships/hyperlink" Target="https://advance.lexis.com/api/document?collection=cases-ca&amp;id=urn:contentItem:5F7T-S7P1-JG02-S3YC-00000-00&amp;context=" TargetMode="External" /><Relationship Id="rId976" Type="http://schemas.openxmlformats.org/officeDocument/2006/relationships/hyperlink" Target="https://advance.lexis.com/api/document?collection=cases-ca&amp;id=urn:contentItem:5F7T-S7F1-FFFC-B25Y-00000-00&amp;context=" TargetMode="External" /><Relationship Id="rId977" Type="http://schemas.openxmlformats.org/officeDocument/2006/relationships/hyperlink" Target="https://advance.lexis.com/api/document?collection=cases-ca&amp;id=urn:contentItem:5K2F-CNC1-JKPJ-G2WW-00000-00&amp;context=" TargetMode="External" /><Relationship Id="rId978" Type="http://schemas.openxmlformats.org/officeDocument/2006/relationships/hyperlink" Target="https://advance.lexis.com/api/document?collection=cases-ca&amp;id=urn:contentItem:5F7T-S7M1-F4W2-62JF-00000-00&amp;context=" TargetMode="External" /><Relationship Id="rId979" Type="http://schemas.openxmlformats.org/officeDocument/2006/relationships/hyperlink" Target="https://advance.lexis.com/api/document?collection=cases-ca&amp;id=urn:contentItem:5F7T-S6W1-F5T5-M1WC-00000-00&amp;context=" TargetMode="External" /><Relationship Id="rId98" Type="http://schemas.openxmlformats.org/officeDocument/2006/relationships/footer" Target="footer19.xml" /><Relationship Id="rId980" Type="http://schemas.openxmlformats.org/officeDocument/2006/relationships/hyperlink" Target="https://advance.lexis.com/api/document?collection=cases-ca&amp;id=urn:contentItem:5MF2-KC41-F60C-X1HY-00000-00&amp;context=" TargetMode="External" /><Relationship Id="rId981" Type="http://schemas.openxmlformats.org/officeDocument/2006/relationships/hyperlink" Target="https://advance.lexis.com/api/document?collection=cases-ca&amp;id=urn:contentItem:5F7T-S7N1-JGHR-M38N-00000-00&amp;context=" TargetMode="External" /><Relationship Id="rId982" Type="http://schemas.openxmlformats.org/officeDocument/2006/relationships/hyperlink" Target="https://advance.lexis.com/api/document?collection=cases-ca&amp;id=urn:contentItem:5TS9-MGX1-FC6N-X26W-00000-00&amp;context=" TargetMode="External" /><Relationship Id="rId983" Type="http://schemas.openxmlformats.org/officeDocument/2006/relationships/hyperlink" Target="https://advance.lexis.com/api/document?collection=cases-ca&amp;id=urn:contentItem:5TG0-RY01-F81W-22R7-00000-00&amp;context=" TargetMode="External" /><Relationship Id="rId984" Type="http://schemas.openxmlformats.org/officeDocument/2006/relationships/hyperlink" Target="https://advance.lexis.com/api/document?collection=cases-ca&amp;id=urn:contentItem:5W48-C7G1-JJ6S-6146-00000-00&amp;context=" TargetMode="External" /><Relationship Id="rId985" Type="http://schemas.openxmlformats.org/officeDocument/2006/relationships/hyperlink" Target="https://advance.lexis.com/api/document?collection=cases-ca&amp;id=urn:contentItem:5FX0-MRR1-JSJC-X155-00000-00&amp;context=" TargetMode="External" /><Relationship Id="rId986" Type="http://schemas.openxmlformats.org/officeDocument/2006/relationships/hyperlink" Target="https://advance.lexis.com/api/document?collection=cases-ca&amp;id=urn:contentItem:5F7T-S7M1-JNCK-22CV-00000-00&amp;context=" TargetMode="External" /><Relationship Id="rId987" Type="http://schemas.openxmlformats.org/officeDocument/2006/relationships/hyperlink" Target="https://advance.lexis.com/api/document?collection=cases-ca&amp;id=urn:contentItem:5F7T-S6X1-K0BB-S0R6-00000-00&amp;context=" TargetMode="External" /><Relationship Id="rId988" Type="http://schemas.openxmlformats.org/officeDocument/2006/relationships/hyperlink" Target="https://advance.lexis.com/api/document?collection=cases-ca&amp;id=urn:contentItem:5PVF-9W91-JP4G-63P0-00000-00&amp;context=" TargetMode="External" /><Relationship Id="rId989" Type="http://schemas.openxmlformats.org/officeDocument/2006/relationships/hyperlink" Target="https://advance.lexis.com/api/document?collection=cases-ca&amp;id=urn:contentItem:5F7T-S7N1-JC5P-G21B-00000-00&amp;context=" TargetMode="External" /><Relationship Id="rId99" Type="http://schemas.openxmlformats.org/officeDocument/2006/relationships/footer" Target="footer20.xml" /><Relationship Id="rId990" Type="http://schemas.openxmlformats.org/officeDocument/2006/relationships/hyperlink" Target="https://advance.lexis.com/api/document?collection=cases-ca&amp;id=urn:contentItem:5TGV-PHG1-JB7K-22MB-00000-00&amp;context=" TargetMode="External" /><Relationship Id="rId991" Type="http://schemas.openxmlformats.org/officeDocument/2006/relationships/hyperlink" Target="https://advance.lexis.com/api/document?collection=cases-ca&amp;id=urn:contentItem:5WC3-G9C1-K0HK-24XJ-00000-00&amp;context=" TargetMode="External" /><Relationship Id="rId992" Type="http://schemas.openxmlformats.org/officeDocument/2006/relationships/hyperlink" Target="https://advance.lexis.com/api/document?collection=cases-ca&amp;id=urn:contentItem:5F7T-S7N1-JW09-M0YW-00000-00&amp;context=" TargetMode="External" /><Relationship Id="rId993" Type="http://schemas.openxmlformats.org/officeDocument/2006/relationships/hyperlink" Target="https://advance.lexis.com/api/document?collection=cases-ca&amp;id=urn:contentItem:5G77-HXG1-FCK4-G3WX-00000-00&amp;context=" TargetMode="External" /><Relationship Id="rId994" Type="http://schemas.openxmlformats.org/officeDocument/2006/relationships/hyperlink" Target="https://advance.lexis.com/api/document?collection=cases-ca&amp;id=urn:contentItem:5F7T-S7N1-DXWW-20MK-00000-00&amp;context=" TargetMode="External" /><Relationship Id="rId995" Type="http://schemas.openxmlformats.org/officeDocument/2006/relationships/hyperlink" Target="https://advance.lexis.com/api/document?collection=cases-ca&amp;id=urn:contentItem:5F7T-S7N1-F06F-24KM-00000-00&amp;context=" TargetMode="External" /><Relationship Id="rId996" Type="http://schemas.openxmlformats.org/officeDocument/2006/relationships/hyperlink" Target="https://advance.lexis.com/api/document?collection=cases-ca&amp;id=urn:contentItem:5F7T-S7J1-JNS1-M202-00000-00&amp;context=" TargetMode="External" /><Relationship Id="rId997" Type="http://schemas.openxmlformats.org/officeDocument/2006/relationships/hyperlink" Target="https://advance.lexis.com/api/document?collection=cases-ca&amp;id=urn:contentItem:5F7T-S7H1-JFSV-G30N-00000-00&amp;context=" TargetMode="External" /><Relationship Id="rId998" Type="http://schemas.openxmlformats.org/officeDocument/2006/relationships/header" Target="header112.xml" /><Relationship Id="rId999" Type="http://schemas.openxmlformats.org/officeDocument/2006/relationships/header" Target="header113.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Bewsey v. Bewsey, [2003] B.C.J. No. 2138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115044535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