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Bell v. Thorner, [2009] B.C.J. No. 63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 Humphries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17-18,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21,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M062859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44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Harvey Bell, Plaintiff, and Geoffrey Thorner and Paul Thorner,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Equal apportionment — Motor vehicles — Pedestrians — Defendant driver and plaintiff pedestrian found to be equally liable for the accident in which the plaintiff suffered significant injuries — The defendant driver was a novice driver, and given the snowy, slippery conditions, he should have lowered his speed in order to fulfil his responsibility to take reasonable care for other users of the highway — The plaintiff was contributorily negligent in failing to take reasonable care for his safety.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plaintiff seeking damages for injuries sustained when he was struck, as a pedestrian, by a vehicle owned by the defendant Paul Thorner and driven by his son, Geoffrey, on Nov. 29, 2004. The plaintiff suffered significant injuries to his legs and a concussion and had not worked since. Only liability was presently in issue. It was agreed that the weather was bad (it was snowing), the area was dark, the plaintiff was wearing dark clothing, and the driver was travelling at the speed limit. The plaintiff argued he was well-established in the crosswalk, that he had the right of way, and was struck solely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travelling too fast for the weather conditions and in failing to keep an adequate lookout.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 w:name="Holdings of Court"/>
            <w:bookmarkEnd w:id="2"/>
            <w:r>
              <w:rPr>
                <w:rFonts w:ascii="arial" w:eastAsia="arial" w:hAnsi="arial" w:cs="arial"/>
                <w:color w:val="000000"/>
                <w:sz w:val="20"/>
                <w:lang w:val="en-US" w:eastAsia="en-US" w:bidi="ar-SA"/>
              </w:rPr>
              <w:t>HELD: Parties equally liable.</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 was a novice driver, travelling in a residential area in bad weather conditions and on slippery roads. It was very dark, the avenue was a bus route, and he was approaching an intersection. In that weather, visibility and road conditions, he should have adjusted his speed generally, and in particular as he neared a residential intersection so he could fulfil his responsibility to take reasonable care for other users of the highway, including a pedestrian crossing in the unmarked sidewalk. Although he was travelling at the prescribed speed, that speed, in those conditions, made it almost impossible to avoid an accident, should a pedestrian cross his path. He was negligent. As for the plaintiff, he had not satisfactorily explained why he did not see an approaching vehicle with its headlights illuminated that was there to be seen. He left a place of safety and stepped out into the unmarked crosswalk at the intersection, wearing dark clothing on a dark rainy night, without checking adequately or at all to see there was no oncoming traffic from his left. He was contributorily negligent in failing to take reasonable care for his safety. The court was unable to find that either should bear a greater portion of blame, and liability was divided equally between them. Each party was to bear their own costs.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 w:name="Legislation Cited"/>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11" w:history="1">
        <w:r>
          <w:rPr>
            <w:rFonts w:ascii="arial" w:eastAsia="arial" w:hAnsi="arial" w:cs="arial"/>
            <w:i/>
            <w:color w:val="0077CC"/>
            <w:sz w:val="20"/>
            <w:u w:val="single"/>
            <w:shd w:val="clear" w:color="auto" w:fill="FFFFFF"/>
            <w:lang w:val="en-US" w:eastAsia="en-US" w:bidi="ar-SA"/>
          </w:rPr>
          <w:t>RSBC 1996, CHAPTER 318, s. 179</w:t>
        </w:r>
      </w:hyperlink>
      <w:r>
        <w:rPr>
          <w:rFonts w:ascii="arial" w:eastAsia="arial" w:hAnsi="arial" w:cs="arial"/>
          <w:color w:val="000000"/>
          <w:sz w:val="20"/>
          <w:lang w:val="en-US" w:eastAsia="en-US" w:bidi="ar-SA"/>
        </w:rPr>
        <w:t>, s. 181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 w:name="Counsel"/>
      <w:bookmarkEnd w:id="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7" style="position:absolute;z-index:2517606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 ter Borg.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 Collings.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 w:name="Judgment"/>
      <w:bookmarkEnd w:id="5"/>
      <w:r>
        <w:pict>
          <v:line id="_x0000_s1028" style="position:absolute;z-index:2518118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 w:name="M.A. HUMPHRIES J."/>
            <w:bookmarkEnd w:id="6"/>
            <w:r>
              <w:rPr>
                <w:rFonts w:ascii="arial" w:eastAsia="arial" w:hAnsi="arial" w:cs="arial"/>
                <w:b/>
                <w:color w:val="000000"/>
                <w:sz w:val="30"/>
                <w:lang w:val="en-US" w:eastAsia="en-US" w:bidi="ar-SA"/>
              </w:rPr>
              <w:t>M.A. HUMPHRIES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November 29, 2004, the plaintiff, Mr. Bell, now 44 years old, took the bus home from work. After getting off the bus, he walked to his apartment. As he crossed the street at the intersection of Thrift Avenue and Blackwood Street in White Rock, B.C., he was struck by a car owned by the defendant, Paul Thorner, and driven by his son, Geoffrey Thorner. Mr. Bell suffered significant injures to his legs, as well as a concussion, and has not worked since. Liability is in issue. The court has not been asked to address 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this particular day, Mr. Bell did not take the bus he usually took because it was full. He took the next bus which stopped on Blackwood Street, a block away from his apartment building, which is located on the south east corner of the intersection of Thrift and Blackwood. The bus he would normally have taken went along Thrift Avenue, which is a through street running east/west. The bus stop on Thrift Avenue is just west of the intersection with Blackwood Street, which runs north/south. Blackwood Street has stop signs at each corner.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After getting off the bus, Mr. Bell walked south down the east side of Blackwood Street toward Thrift Avenue. He was dressed entirely in dark clothing and was carrying a black computer bag. He had been listening to a CD player, but said he took the earplugs out as he got off the bus because his father called him on his cell phone. He said the cell records show a three minute call at 5:45 p.m., although the records themselves were not introduced into evidence. Mr. Bell testified that he finished the call, put the cell back into a zippered pocket, and prepared to cross Thrift Avenue in an unmarked uncontrolled crosswalk. He watched the bus he would normally have taken go by in front of him and stop to let people out. He said he stepped out, looked right, looked left, saw it was clear and proceeded south across the intersection. He testified that it is hard to see oncoming traffic from that particular intersection, so he had to step out beyond the lamp/hydro pole to look for traffic. At that point nothing obstructed his view. He remembers nothing more until he woke up in the hospital a week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discovery, he was asked if he had a clear memory of looking left and seeing nothing. He said he could not say either way; he stepped, he looked, he walked. He agreed those answers were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Mr. Thorner, was 19 years old at the time of the accident, and a student at BCIT. He was driving a 1987 Ford Tempo. He had been driving for about two years by the time of the accident. He had two passengers, Ms. Weller, who now uses her married name of Marko, and Mr. Pisoni. Mr. Pisoni was in the front passenger seat. Ms. Weller was in the back on the driver's side. They were headed to Richmond to meet some friends for dinner. No one in the car had had anything to drink in the previous 24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Thorner testified that it had just started to sleet. He had his wipers on; his windshield was clear. He was travelling westbound at the speed limit of 50 km/h, about two or three feet from the center line. He was looking ahead. He agreed he and his passengers were probably engaged in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he approached the intersection, he saw a dark figure outlined in front of the car and immediately braked, started to skid, and collided with the figure. When he first saw the figure, the person was walking south across the intersection in the middle of the lane, looking down. He was five to ten meters away. Mr. Thorner never saw the person look up or at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car came to stop and Mr. Thorner ran to help the person who had been struck - that is, Mr. Bell.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Pisoni is an experienced professional driver of semi-trailers trucks. He was a friend of Ms. Weller's and did not know Mr. Thorner. He said it was snowing, big white flakes that were not sticking to the road. It was very dark, and Mr. Thorner was driving the speed limit. Mr. Pisoni was concerned that they would have to drive at this slow speed all the way to Richmond, and as he did not know Mr. Thorner's driving abilities, he was wondering if he should have driven.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Pisoni was not looking forward. He heard Ms. Weller scream, and looked ahead. He saw a dark figure ten to twelve feet from the front of the car, walking right in the middle of the lane, maybe a bit off to the driver's side. He does not recall where the figure was looking. He said Mr. Thorner braked, and turned at the same time. The figure hit the windshield post by the driver's window. The car came to a stop at a slight angle in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Pisoni jumped out, expecting to find the body of the person behind the vehicle, but it was near the front bumper, which was close to the yellow line on the far side of the intersection. He said the back bumper was close to the center of the intersection. He said it was very dark and he was concerned that they would be hit themselves, as they were all in dark clothing. He told Mr. Thorner to put on his four-way flashers.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Weller said she was seated behind the driver but was leaning over, looking straight ahead through the middle of the windshield. It was sleeting. She saw Mr. Bell to the middle and right side of the car, eight to ten feet away, walking south. She yelled out, and Mr. Thorner braked immediately. The car came to a stop. She got out of the car after Mr. Thorner and Mr. Pisoni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was some damage to the car as a result of the impact with Mr. Bell. The windshield was smashed on the bottom of the driver's side; there was a dent over the driver's side headlight, which was broken.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Thorner was given a ticket for failing to display an "N" or novice driver sticker on his window. His car was examined and was found to need some front end work, but there appears to be nothing significant in this for the purposes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Cst. Jarjoura, who investigated the accident, testified that he could not recall a speed limit sign in the area; therefore the speed limit on Thrift Avenue would be 50 km/hr. Both counsel advised that there is no issue that the speed limit is 50 km/hr.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was a street light mounted on a hydro pole at the intersection and another across the street and down the block. Mr. Haight, the engineer for the City of White Rock, testified that all of the street lights in White Rock are checked every month. The lights in question were working in mid November and mid December. Mr. Haight acknowledged that he is aware of the phenomenon of street lights flickering on and off for no apparent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Thorner said he remembered clearly that the street light came on as he was helping Mr. Bell. Ms. Weller said she became aware of a light source when she was out of the car, and looked up, realizing the street light had just come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Bell did not notice the street lights specifically but assumes they were on because as he stood on the curb before beginning to cross the street and his regular bus passed him, he clearly remembers seeing a poster of a recent movie on its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Sladeczec, a registered nursing assistant who lives in the same apartment building as Mr. Bell but did not know him at the time, heard a "boom" and ran to her balcony. She saw a car stopped in the intersection and a body on the road. She ran to help. She noted the pavement was wet, but did not notice snow until she looked out later to see if the police had moved the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Most of Ms. Sladeczec's evidence focussed on whether the street lights were on. She provided various answers which indicated that she assumed they were on but did not specifically notice. She gave answers such as "they were on; it's winter," and "why wouldn't they be on." As she said at one point, "I'm a nurse, why would I be checking out street lights." When describing the scene, Ms. Sladeczec referred several times to the illumination provided by the car lights, which she thought was useful. Considering all of her evidence, I am satisfied that Ms. Sladeczec did not specifically note the street 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Sladeczec drew a diagram of the scene. She indicated Mr. Bell lying close to the front of the car, where Mr. Pisoni said he found him. She drew the car coming to rest almost entirely through the intersection, but said the drawing was inaccurate in that respect - the car was farther back into the intersection, which also corresponds to Mr. Pisoni's recollection. Cst. Jarjoura said the car had almost cleared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All witnesses agree that it was dark and the weather was not good. Mr. Bell said he could recall nothing more than rain, but all other witnesses, said it had begun to sleet or snow a short time before. According to Constable Jarjoura, by the time the police arrived at about 6:00 p.m., there was a thin layer of slush on the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have gone through these nuances in the evidence, but despite the differences between various witnesses as to the type of precipitation, whether the street light was on or off, and exactly where the car came to a stop, not much turns on these factors. In argument, both counsel concentrated on the legal duties that arise from what are essentially agreed facts: the weather was bad; the area was dark; Mr. Bell was wearing dark clothing; Mr. Thorner was travelling at the speed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Counsel also agree on the measurements taken by the engineer hired by the plaintiff, which correspond to those taken by an engineer for the defendant. The distance from the edge of the sidewalk to the left headlight of a car travelling two to three feet from the center line is about 5.6 meters, or 24 feet. The hydro/power pole is .9 meters back from the edge of the sidewalk. Counsel accepted that the time required to walk 5.6 meters is 3.5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It is the plaintiff's position that he was struck when he had established a substantial position in the intersection - he was 24 feet from the curb. He refers to several cases, but in each of them, the same two quotations are contained: first, from </w:t>
      </w:r>
      <w:r>
        <w:rPr>
          <w:rFonts w:ascii="arial" w:eastAsia="arial" w:hAnsi="arial" w:cs="arial"/>
          <w:b/>
          <w:i/>
          <w:color w:val="000000"/>
          <w:sz w:val="20"/>
          <w:lang w:val="en-US" w:eastAsia="en-US" w:bidi="ar-SA"/>
        </w:rPr>
        <w:t>Miksch v. Hambelton,</w:t>
      </w:r>
      <w:r>
        <w:rPr>
          <w:rFonts w:ascii="arial" w:eastAsia="arial" w:hAnsi="arial" w:cs="arial"/>
          <w:color w:val="000000"/>
          <w:sz w:val="20"/>
          <w:lang w:val="en-US" w:eastAsia="en-US" w:bidi="ar-SA"/>
        </w:rPr>
        <w:t xml:space="preserve"> </w:t>
      </w:r>
      <w:hyperlink r:id="rId12" w:history="1">
        <w:r>
          <w:rPr>
            <w:rFonts w:ascii="arial" w:eastAsia="arial" w:hAnsi="arial" w:cs="arial"/>
            <w:i/>
            <w:color w:val="0077CC"/>
            <w:sz w:val="20"/>
            <w:u w:val="single"/>
            <w:shd w:val="clear" w:color="auto" w:fill="FFFFFF"/>
            <w:lang w:val="en-US" w:eastAsia="en-US" w:bidi="ar-SA"/>
          </w:rPr>
          <w:t>[1990] B.C.J. No. 1810</w:t>
        </w:r>
      </w:hyperlink>
      <w:r>
        <w:rPr>
          <w:rFonts w:ascii="arial" w:eastAsia="arial" w:hAnsi="arial" w:cs="arial"/>
          <w:color w:val="000000"/>
          <w:sz w:val="20"/>
          <w:lang w:val="en-US" w:eastAsia="en-US" w:bidi="ar-SA"/>
        </w:rPr>
        <w:t xml:space="preserve"> at para.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Supreme Court of Canada has held in two decisions, </w:t>
      </w:r>
      <w:r>
        <w:rPr>
          <w:rFonts w:ascii="arial" w:eastAsia="arial" w:hAnsi="arial" w:cs="arial"/>
          <w:i/>
          <w:color w:val="000000"/>
          <w:sz w:val="20"/>
          <w:lang w:val="en-US" w:eastAsia="en-US" w:bidi="ar-SA"/>
        </w:rPr>
        <w:t>Petijevich v. Law</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(1968), 1 D.L.R. (3d) 690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Coso v. Poulos</w:t>
      </w:r>
      <w:r>
        <w:rPr>
          <w:rFonts w:ascii="arial" w:eastAsia="arial" w:hAnsi="arial" w:cs="arial"/>
          <w:color w:val="000000"/>
          <w:sz w:val="20"/>
          <w:lang w:val="en-US" w:eastAsia="en-US" w:bidi="ar-SA"/>
        </w:rPr>
        <w:t xml:space="preserve"> (1969), 69 W.W.R. 38, on facts close to those in the case at bar and upon the construction of the same relevant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s-ss. 181(1) and (2), that once a pedestrian has safely entered a crosswalk, absent any overt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such as running or gesturing that could mislead motorists into thinking they may proceed safely, the pedestrian may assume that the motorists will yield the right-of-way and will share no responsibility if struck in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second often quoted passage is from </w:t>
      </w:r>
      <w:r>
        <w:rPr>
          <w:rFonts w:ascii="arial" w:eastAsia="arial" w:hAnsi="arial" w:cs="arial"/>
          <w:b/>
          <w:i/>
          <w:color w:val="000000"/>
          <w:sz w:val="20"/>
          <w:lang w:val="en-US" w:eastAsia="en-US" w:bidi="ar-SA"/>
        </w:rPr>
        <w:t>Cerra v. Bragg</w:t>
      </w:r>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[1980] B.C.J. No. 536</w:t>
        </w:r>
      </w:hyperlink>
      <w:r>
        <w:rPr>
          <w:rFonts w:ascii="arial" w:eastAsia="arial" w:hAnsi="arial" w:cs="arial"/>
          <w:color w:val="000000"/>
          <w:sz w:val="20"/>
          <w:lang w:val="en-US" w:eastAsia="en-US" w:bidi="ar-SA"/>
        </w:rPr>
        <w:t xml:space="preserve"> (22 April 1980), Vancouver No. B790322, (BCSC):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appreciate the result of those cases, it is that where, as here, a pedestrian has lawfully entered a cross-walk, giving him or her the right-of-way, then while that pedestrian is not entitled to make a sudden stop, or accelerate and run, so as to create an unexpected and unavoidable hazard, nevertheless if the pedestrian proceeds at a normal and proper pace, in circumstances where the driver has or should have ample opportunity to see him or her and avoid a collision, then the pedestrian proceeding in that manner, even although he or she may see or ought to have seen approaching traffic, is entitled to assume that such traffic will observe its duty to yield the right-of-way, and the pedestrian is not negligent in proceeding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plaintiff says that he was well-established in the cross walk, had the right of way, and was struck solely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in travelling too fast for the weather conditions and in failing to keep an adequate lookout.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 relies on the conclusions contained in the plaintiff's engineering report. Mr. Ising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actual conditions (nighttime, wet road, snowing) there was approximately a 5% probability that impact could have been avoided if travelling 50 km/h. Avoidance is reduced if the road is slippery beyond being simply wet.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Ising said that a driver who was alerted to the present of pedestrians, driving at 40 km/h, would have had a 92% chance of avoiding the accident. However, he notes in the body of his report that an alerted driver is one in an experimental situation who is expecting a pedestrian. Drivers in the real world do not have that advantage.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 says the plaintiff has not established that a reasonably careful and skilful driver in the shoes of the defendant could have avoided the impact. At the posted speed, it was not possible to avoid the impact; it was the plaintiff himself who stepped off the curb unsafely.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Sections 179 and 181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provide:</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179(1) Subject to section 180, the driver of a vehicle must yield the right of way to a pedestrian where traffic control signals are not in place or not in operation when the pedestrian is crossing the highway in a crosswalk and the pedestrian is on the half of the highway on which the vehicle is travelling, or is approaching so closely from the other half of the highway that he or she is in danger.</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must not leave a curb or other place of safety and walk or run into the path of a vehicle that is so close it is impracticable for the driver to yield the right of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 181 Despite [s. 179], a driver of a vehicle must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due care to avoid colliding with a pedestrian who is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Funk v. Carter</w:t>
      </w:r>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2004 BCSC 866</w:t>
        </w:r>
      </w:hyperlink>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32 B.C.L.R. (4th) 158</w:t>
        </w:r>
      </w:hyperlink>
      <w:r>
        <w:rPr>
          <w:rFonts w:ascii="arial" w:eastAsia="arial" w:hAnsi="arial" w:cs="arial"/>
          <w:color w:val="000000"/>
          <w:sz w:val="20"/>
          <w:lang w:val="en-US" w:eastAsia="en-US" w:bidi="ar-SA"/>
        </w:rPr>
        <w:t xml:space="preserve">, Williamson J. reviewed a number of cases which had considered these sections, including </w:t>
      </w:r>
      <w:r>
        <w:rPr>
          <w:rFonts w:ascii="arial" w:eastAsia="arial" w:hAnsi="arial" w:cs="arial"/>
          <w:b/>
          <w:i/>
          <w:color w:val="000000"/>
          <w:sz w:val="20"/>
          <w:lang w:val="en-US" w:eastAsia="en-US" w:bidi="ar-SA"/>
        </w:rPr>
        <w:t>Kuharshi v. Inder</w:t>
      </w:r>
      <w:r>
        <w:rPr>
          <w:rFonts w:ascii="arial" w:eastAsia="arial" w:hAnsi="arial" w:cs="arial"/>
          <w:color w:val="000000"/>
          <w:sz w:val="20"/>
          <w:lang w:val="en-US" w:eastAsia="en-US" w:bidi="ar-SA"/>
        </w:rPr>
        <w:t xml:space="preserve"> </w:t>
      </w:r>
      <w:hyperlink r:id="rId16" w:history="1">
        <w:r>
          <w:rPr>
            <w:rFonts w:ascii="arial" w:eastAsia="arial" w:hAnsi="arial" w:cs="arial"/>
            <w:i/>
            <w:color w:val="0077CC"/>
            <w:sz w:val="20"/>
            <w:u w:val="single"/>
            <w:shd w:val="clear" w:color="auto" w:fill="FFFFFF"/>
            <w:lang w:val="en-US" w:eastAsia="en-US" w:bidi="ar-SA"/>
          </w:rPr>
          <w:t>[1986] B.C.J. No. 2762</w:t>
        </w:r>
      </w:hyperlink>
      <w:r>
        <w:rPr>
          <w:rFonts w:ascii="arial" w:eastAsia="arial" w:hAnsi="arial" w:cs="arial"/>
          <w:color w:val="000000"/>
          <w:sz w:val="20"/>
          <w:lang w:val="en-US" w:eastAsia="en-US" w:bidi="ar-SA"/>
        </w:rPr>
        <w:t>, where the concept of "substantial entry" arose. In that case, the court held that where a pedestrian has clearly established prior entry to the intersection, he or she need not surrender it even when not crossing at a crossway. A substantial prior entry onto a highway will achieve the right-of-way. At the conclusion of his review of the cases, Williamson J. said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cases show that both parties, regardless of the precise wording of the statute, retain a common law duty of care to act in a manner promoting their own safety and the safety of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From the plaintiff's point of view as advanced during argument, it matters only that he was 24 feet out into the intersection before he was hit, and thus had established the right of way. From the defendant's point of view, it matters only that he was travelling the speed limit, and given the conditions, could not reasonably have stopped in time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seems to me that there are other factors that enter into the responsibilities of each party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 was a novice driver, travelling in a residential area in bad weather conditions and on slippery roads. It was very dark. Thrift Avenue is a bus route, which increases the possibility that pedestrians might be in the vicinity. He was approaching an intersection. Mr. Thorner was travelling at the maximum allowable speed, but in those particular weather, visibility, and road conditions, he should have adjusted his speed generally, and in particular as he neared a residential intersection so that he would be able to fulfil his responsibility to take reasonable care for other users of the highway, including a pedestrian crossing in the unmarked crosswalk. Although he was travelling at the prescribed speed, that speed, in those conditions, made it almost impossible to avoid an accident, should a pedestrian cross his path. I find that Mr. Thorner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has not satisfactorily explained why he did not see an approaching vehicle with its headlights illuminated that was there to be seen. It was a dark rainy night. He was dressed in dark clothing. He was crossing a through street at an unmarked uncontrolled intersection. A bus had just passed in front of him, indicating the presence of traffic. Mr. Bell left a place of safety and stepped out into the unmarked crosswalk at the intersection, wearing dark clothing on a dark rainy night, without checking adequately or at all to see that there was no oncoming traffic from his left. There is no other available conclusion, given that the Thorner vehicle, headlights on, was there to be seen, approaching on the roadway. Mr. Bell should have been aware that it would be difficult for a driver on such a night to see a person dressed in dark clothing. It seems obvious that he did not take reasonable care for his own safety. I find that Mr. Bell was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It is therefore necessary to apportion liability. Degrees of fault or blameworthiness are assessed by considering the nature and extent of the departure from the respective standards of care of each of the parties, that is "the amount by which each proximate and effective causative agent fell short of the standard of care required of that person in all the circumstances": </w:t>
      </w:r>
      <w:r>
        <w:rPr>
          <w:rFonts w:ascii="arial" w:eastAsia="arial" w:hAnsi="arial" w:cs="arial"/>
          <w:b/>
          <w:i/>
          <w:color w:val="000000"/>
          <w:sz w:val="20"/>
          <w:lang w:val="en-US" w:eastAsia="en-US" w:bidi="ar-SA"/>
        </w:rPr>
        <w:t>Cempel v. Harrison Hotsprings Hotel Ltd.</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(1997), 43 B.C.L.R. (3d) 219</w:t>
        </w:r>
      </w:hyperlink>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100 B.C.A.C. 212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these circumstances, it is difficult to ascribe precise amounts of liability based on the respective departures from the applicable standard of care for each of Mr. Bell and Mr. Thorner. Mr. Bell, before leaving his place of safety on the curb and stepping into the roadway in these weather and lighting conditions, while dressed in dark clothing, should have kept adequate watch for oncoming cars that were there to be seen, but Mr. Thorner also had a responsibility to drive in a manner, in these unfavourable conditions, that would allow him to take care for other reasonable users of the road, and cope with the possibility that a pedestrian might cross in an unmarked crosswalk on a bus route in a residential area. Neither showed a reckless disregard for their own safety or those of others, but their respective lapses each carried risks of foreseeable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these circumstances, I am unable to find that either should bear a greater portion of blame, and I divide liability equally between Mr. Bell and Mr. Thorner. Given the divided success, unless there is a reason to speak to costs of which I am not aware, each party should bear his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 HUMPHRIES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9" style="position:absolute;z-index:2518620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4" w:history="1">
        <w:r>
          <w:rPr>
            <w:rFonts w:ascii="arial" w:eastAsia="arial" w:hAnsi="arial" w:cs="arial"/>
            <w:b/>
            <w:bCs/>
            <w:i/>
            <w:color w:val="0077CC"/>
            <w:kern w:val="32"/>
            <w:sz w:val="28"/>
            <w:szCs w:val="32"/>
            <w:u w:val="single"/>
            <w:shd w:val="clear" w:color="auto" w:fill="FFFFFF"/>
            <w:lang w:val="en-US" w:eastAsia="en-US" w:bidi="ar-SA"/>
          </w:rPr>
          <w:t>B.I. Inc. v. Au, [2017] B.C.J. No. 2740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J.M. Gropper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6,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December 13,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S1710534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2740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2476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Re: Section 53 of the Evidence Act, R.S.B.C. 1996 c. 124, and Section 46 of the Canada Evidence Act, R.S.C. 1985, c. C-5 Re: Commission to Examine Witness Issued by the Supreme Court for the County of Onondaga, State of New York Between B.I. Incorporated, B.I. of Colorado, and The GEO Group, Inc., Petitioners, and Simon Au, Sheila K. Ben, Esq., as Court Appointed Guardian of the Property of Jane Doe, (an Infant Proceeding Under an Assumed Name), an Infant Under the Age of 14, Susan Doe (a Person Proceedings Under an Assumed Name), as Administrator and Fiduciary of the Estate of Lori A. Bresnahan, Decedent, and Sendum Wireless, Corp.,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0"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 w:name="Keywords_0"/>
      <w:bookmarkEnd w:id="7"/>
      <w:r>
        <w:rPr>
          <w:rFonts w:ascii="arial" w:eastAsia="arial" w:hAnsi="arial" w:cs="arial"/>
          <w:b/>
          <w:color w:val="000000"/>
          <w:sz w:val="20"/>
          <w:lang w:val="en-US" w:eastAsia="en-US" w:bidi="ar-SA"/>
        </w:rPr>
        <w:t xml:space="preserve">Civil litigation — Civil evidence — Letters rogatory or letters of request — Application by the petitioners, BI Incorporated, BI of Colorado, and The GEO Group, to enforce letters rogatory of the Supreme Court for the County of Onondaga, New York, allowed — The letters rogatory described that it was necessary and relevant that Au, a resident of British Columbia, be examined by deposition in BC in New York proceedings asserting product liability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claims — Au was involved in the engineering of software for the product — Au's evidence was relevant and was evidence of some value that could not otherwise be obtained — The deposition would not be unduly burdensome.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Conflict of laws — Foreign evidence — Letters rogatory or letters of request — Application by the petitioners, BI Incorporated, BI of Colorado, and The GEO Group, to enforce letters rogatory of the Supreme Court for the County of Onondaga, New York, allowed — The letters rogatory described that it was necessary and relevant that Au, a resident of British Columbia, be examined by deposition in BC in New York proceedings asserting product liability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claims — Au was involved in the engineering of software for the product — Au's evidence was relevant and was evidence of some value that could not otherwise be obtained — The deposition would not be unduly burdensome.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International law — Proceedings — Practice and procedure — Evidence — Letters rogatory or letters of request — Application by the petitioners, BI Incorporated, BI of Colorado, and The GEO Group, to enforce letters rogatory of the Supreme Court for the County of Onondaga, New York, allowed — The letters rogatory described that it was necessary and relevant that Au, a resident of British Columbia, be examined by deposition in BC in New York proceedings asserting product liability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claims — Au was involved in the engineering of software for the product — Au's evidence was relevant and was evidence of some value that could not otherwise be obtained — The deposition would not be unduly burdensome.</w:t>
      </w:r>
    </w:p>
    <w:p>
      <w:pPr>
        <w:jc w:val="both"/>
        <w:rPr>
          <w:rFonts w:ascii="arial" w:eastAsia="arial" w:hAnsi="arial" w:cs="arial"/>
          <w:sz w:val="20"/>
          <w:lang w:val="en-US" w:eastAsia="en-US" w:bidi="ar-SA"/>
        </w:rPr>
      </w:pPr>
      <w:bookmarkStart w:id="8" w:name="Legislation Cited_0"/>
      <w:bookmarkEnd w:id="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1"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Canada Evidence Act, </w:t>
      </w:r>
      <w:hyperlink r:id="rId25" w:history="1">
        <w:r>
          <w:rPr>
            <w:rFonts w:ascii="arial" w:eastAsia="arial" w:hAnsi="arial" w:cs="arial"/>
            <w:i/>
            <w:color w:val="0077CC"/>
            <w:sz w:val="20"/>
            <w:u w:val="single"/>
            <w:shd w:val="clear" w:color="auto" w:fill="FFFFFF"/>
            <w:lang w:val="en-US" w:eastAsia="en-US" w:bidi="ar-SA"/>
          </w:rPr>
          <w:t>R.S.C. 1985, c. C-5, s. 46</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Evidence Act, </w:t>
      </w:r>
      <w:hyperlink r:id="rId26" w:history="1">
        <w:r>
          <w:rPr>
            <w:rFonts w:ascii="arial" w:eastAsia="arial" w:hAnsi="arial" w:cs="arial"/>
            <w:i/>
            <w:color w:val="0077CC"/>
            <w:sz w:val="20"/>
            <w:u w:val="single"/>
            <w:shd w:val="clear" w:color="auto" w:fill="FFFFFF"/>
            <w:lang w:val="en-US" w:eastAsia="en-US" w:bidi="ar-SA"/>
          </w:rPr>
          <w:t>R.S.B.C. 1996 c. 124, s. 53</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7-5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 w:name="Counsel_0"/>
      <w:bookmarkEnd w:id="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2" style="position:absolute;z-index:2517616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Petitioners: E.A. Kirkpatrick.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Simon Au and Sendum Wireless, Corp.: H.D. Edinger, A. Morrell (A.S.).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 w:name="Judgment_0"/>
      <w:bookmarkEnd w:id="10"/>
      <w:r>
        <w:pict>
          <v:line id="_x0000_s1033" style="position:absolute;z-index:2518128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Ruling</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 w:name="J.M. GROPPER J. (orally)"/>
            <w:bookmarkEnd w:id="11"/>
            <w:r>
              <w:rPr>
                <w:rFonts w:ascii="arial" w:eastAsia="arial" w:hAnsi="arial" w:cs="arial"/>
                <w:b/>
                <w:color w:val="000000"/>
                <w:sz w:val="30"/>
                <w:lang w:val="en-US" w:eastAsia="en-US" w:bidi="ar-SA"/>
              </w:rPr>
              <w:t>J.M. GROPPER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petitioners, also referred to as the "B.I. parties", seek to enforce letters rogatory issued on October 23, 2017, by the honourable James P. Murphy, J.S.C. of the Supreme Court for the County of Onondaga, State of New York (the "New York Court") in Consolidated Proceeding No. 2014EF656 (the "New York proceedings"). The respondents Simon Au and Sendum Wireless Corp. oppose this petition. I will refer to Mr. Au and Sendum Wireless collectively as "Sendum" as their positions are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hearing of a motion by the B.I. parties in the New York Court to issue letters rogatory on September 28, 2007 in the New York proceedings, Judge Murphy gave his reasons for granting the letters rogatory after a short argument: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understand your argument, and I'm - - while I am sympathetic to the costs that may be involved, given the severity of this case and the issues that are involved, I am not finding that persuasive as far as how we should proceed here.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certainly everybody had spent enough time and effort and money in trying to proceed this forward, and at this point to me those costs seem minimal based on what everybody has gone through by way of discovery to date.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granting the Letters. I do believe - - and certainly if expense becomes an issue or timeframe, I think there is an argument to be made that it could be done electronically.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Certainly if Mr. Au shows up with an attorney and make arrangement to go there, I think that is all something that could be considered down the road.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point I am granting it, and that will be up to the Canadian Court to determine whether they want to follow my order or not. So you need to submit the proposed Letters. All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letters rogatory describe that it is necessary and relevant for the purpose of justice and for due determination of the matters in question between the parties that Simon Au, a resident of Richmond, British Columbia, be examined by deposition in British Columbia in the New York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There are two actions before the New York Court. The Ben action was commenced in the New York Court on March 12, 2014. The Doe action was commenced in the New York Court on March 13, 2014. The actions have been consolidated. In those proceedings the plaintiffs assert product liability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against the B.I. parties among others. The allegations of product defect against Sendum and B.I. are defective design of the strap tamper, defective design of the proximity tamper and its consequent disability on the ET1, and the failure of the no-motion technology to be state of the 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product that is the subject matter of the product liability claim is the ET1, an electronic monitoring device. The ET1 was developed by the petitioner B.I. Inc., as well as Sendum. Evidence in the New York proceedings indicates that while Mr. Au was an employee at Sendum, he was one of three engineers primarily responsible for the development and engineering of the software for the ET1. He was responsible for the engineering of the physical interfaces between the hardware and the software on the ET1, including functionality of the strap tamper. He was the sole Sendum engineer performing empirical experiments related to the range values for the straps. He was the primary Sendum engineer involved in the design of the Texas Instruments board for the ET1, which controls function with regard to strap tampers, the proximity tamper and the no-motion alert.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Matters to be Canvassed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letters rogatory specified those matters to be canvassed with Mr. Au during his examination:</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Au's employment with Sendum;</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scope of the relationship between Sendum and B.I. Inc.;</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scope of the relationship between Sendum and ByMethod;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communication Mr. Au has had with any party's counsel to this litigation;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scope of the work performed by Mr. Au in regard to the subject electronic monitoring bracelet, the ET1;</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Au's involvement in the development and engineering of the electronic monitoring bracelet the ET1 from the years 2008 to March 14, 2013;</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Au's involvement in the development and engineering of the Texas Instruments board for the ET1 from the years 2008 to March 14, 2013;</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Au's involvement in the development and engineering of the function of the strap tampers on the ET1 from 2008 to March 14, 2013;</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Au's involvement in the development and engineering of the function of the proximity tamper from for the ET1 from 2008 to March 14, 2013;</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Au's involvement in the development and engineering of the function of the no-motion tamper for the ET1 from 2008 to March 14, 2013;</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Au's involvement in the development and engineering of the hardware for the ET1 from 2008 to March 14, 2013;</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Au's involvement in any troubleshooting he engaged in for the engineering performance of the ET1 post-manufacture of the device from 2008 to March 14,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law in respect of the enforcement of letters rogatory received from a foreign court was canvassed in </w:t>
      </w:r>
      <w:r>
        <w:rPr>
          <w:rFonts w:ascii="arial" w:eastAsia="arial" w:hAnsi="arial" w:cs="arial"/>
          <w:i/>
          <w:color w:val="000000"/>
          <w:sz w:val="20"/>
          <w:lang w:val="en-US" w:eastAsia="en-US" w:bidi="ar-SA"/>
        </w:rPr>
        <w:t>Monster Energy Company v. Craig</w:t>
      </w:r>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2016 BCCA 290</w:t>
        </w:r>
      </w:hyperlink>
      <w:r>
        <w:rPr>
          <w:rFonts w:ascii="arial" w:eastAsia="arial" w:hAnsi="arial" w:cs="arial"/>
          <w:color w:val="000000"/>
          <w:sz w:val="20"/>
          <w:lang w:val="en-US" w:eastAsia="en-US" w:bidi="ar-SA"/>
        </w:rPr>
        <w:t>, at paras. 10 to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The authority of the Supreme Court to enforce letters rogatory received from foreign courts is found in s. 53 of the </w:t>
      </w:r>
      <w:r>
        <w:rPr>
          <w:rFonts w:ascii="arial" w:eastAsia="arial" w:hAnsi="arial" w:cs="arial"/>
          <w:i/>
          <w:color w:val="000000"/>
          <w:sz w:val="20"/>
          <w:lang w:val="en-US" w:eastAsia="en-US" w:bidi="ar-SA"/>
        </w:rPr>
        <w:t>Evidence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124</w:t>
      </w:r>
      <w:r>
        <w:rPr>
          <w:rFonts w:ascii="arial" w:eastAsia="arial" w:hAnsi="arial" w:cs="arial"/>
          <w:color w:val="000000"/>
          <w:sz w:val="20"/>
          <w:lang w:val="en-US" w:eastAsia="en-US" w:bidi="ar-SA"/>
        </w:rPr>
        <w:t xml:space="preserve"> and s. 46 of the </w:t>
      </w:r>
      <w:r>
        <w:rPr>
          <w:rFonts w:ascii="arial" w:eastAsia="arial" w:hAnsi="arial" w:cs="arial"/>
          <w:i/>
          <w:color w:val="000000"/>
          <w:sz w:val="20"/>
          <w:lang w:val="en-US" w:eastAsia="en-US" w:bidi="ar-SA"/>
        </w:rPr>
        <w:t>Canada Evidence Act</w:t>
      </w:r>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shd w:val="clear" w:color="auto" w:fill="FFFFFF"/>
            <w:lang w:val="en-US" w:eastAsia="en-US" w:bidi="ar-SA"/>
          </w:rPr>
          <w:t>R.S.C. 1985, c. C-5</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In responding to a letter of request, the starting point is the presumption that the request from the foreign court will be granted unless it would be contrary to Canadian public policy to do so or would otherwise be prejudicial to Canadian sovereignty or to Canadian citizens: </w:t>
      </w:r>
      <w:r>
        <w:rPr>
          <w:rFonts w:ascii="arial" w:eastAsia="arial" w:hAnsi="arial" w:cs="arial"/>
          <w:i/>
          <w:color w:val="000000"/>
          <w:sz w:val="20"/>
          <w:lang w:val="en-US" w:eastAsia="en-US" w:bidi="ar-SA"/>
        </w:rPr>
        <w:t>R. v. Zingre</w:t>
      </w:r>
      <w:r>
        <w:rPr>
          <w:rFonts w:ascii="arial" w:eastAsia="arial" w:hAnsi="arial" w:cs="arial"/>
          <w:color w:val="000000"/>
          <w:sz w:val="20"/>
          <w:lang w:val="en-US" w:eastAsia="en-US" w:bidi="ar-SA"/>
        </w:rPr>
        <w:t xml:space="preserve">, </w:t>
      </w:r>
      <w:hyperlink r:id="rId29" w:history="1">
        <w:r>
          <w:rPr>
            <w:rFonts w:ascii="arial" w:eastAsia="arial" w:hAnsi="arial" w:cs="arial"/>
            <w:i/>
            <w:color w:val="0077CC"/>
            <w:sz w:val="20"/>
            <w:u w:val="single"/>
            <w:shd w:val="clear" w:color="auto" w:fill="FFFFFF"/>
            <w:lang w:val="en-US" w:eastAsia="en-US" w:bidi="ar-SA"/>
          </w:rPr>
          <w:t>[1981] 2 S.C.R. 392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EchoStar Satellite Corporation v. Quinn</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2007 BCSC 1225</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w:t>
      </w:r>
      <w:r>
        <w:rPr>
          <w:rFonts w:ascii="arial" w:eastAsia="arial" w:hAnsi="arial" w:cs="arial"/>
          <w:i/>
          <w:color w:val="000000"/>
          <w:sz w:val="20"/>
          <w:lang w:val="en-US" w:eastAsia="en-US" w:bidi="ar-SA"/>
        </w:rPr>
        <w:t>Halsbury's Laws of Canada, Extradition and Mutual Legal Assistance</w:t>
      </w:r>
      <w:r>
        <w:rPr>
          <w:rFonts w:ascii="arial" w:eastAsia="arial" w:hAnsi="arial" w:cs="arial"/>
          <w:color w:val="000000"/>
          <w:sz w:val="20"/>
          <w:lang w:val="en-US" w:eastAsia="en-US" w:bidi="ar-SA"/>
        </w:rPr>
        <w:t xml:space="preserve"> (2015 Reissue) describes letters rogatory and their purpose this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Letters rogatory are letters submitted by a court seeking the assistance of a foreign court. </w:t>
      </w:r>
      <w:r>
        <w:rPr>
          <w:rFonts w:ascii="arial" w:eastAsia="arial" w:hAnsi="arial" w:cs="arial"/>
          <w:color w:val="000000"/>
          <w:sz w:val="20"/>
          <w:u w:val="single"/>
          <w:lang w:val="en-US" w:eastAsia="en-US" w:bidi="ar-SA"/>
        </w:rPr>
        <w:t>The enforcement of letters rogatory is a matter within the discretionary power of the courts and is based upon international comity or courtesy proceeding from international law</w:t>
      </w:r>
      <w:r>
        <w:rPr>
          <w:rFonts w:ascii="arial" w:eastAsia="arial" w:hAnsi="arial" w:cs="arial"/>
          <w:color w:val="000000"/>
          <w:sz w:val="20"/>
          <w:lang w:val="en-US" w:eastAsia="en-US" w:bidi="ar-SA"/>
        </w:rPr>
        <w:t xml:space="preserve">. Inherent in the idea of international comity is a mutuality of purpose and power: </w:t>
      </w:r>
      <w:r>
        <w:rPr>
          <w:rFonts w:ascii="arial" w:eastAsia="arial" w:hAnsi="arial" w:cs="arial"/>
          <w:i/>
          <w:color w:val="000000"/>
          <w:sz w:val="20"/>
          <w:lang w:val="en-US" w:eastAsia="en-US" w:bidi="ar-SA"/>
        </w:rPr>
        <w:t>Westinghouse Electric Corp. v. Duquesne Light Co.</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[1977] O.J. No. 2287</w:t>
        </w:r>
      </w:hyperlink>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16 O.R. (2d) 273</w:t>
        </w:r>
      </w:hyperlink>
      <w:r>
        <w:rPr>
          <w:rFonts w:ascii="arial" w:eastAsia="arial" w:hAnsi="arial" w:cs="arial"/>
          <w:color w:val="000000"/>
          <w:sz w:val="20"/>
          <w:lang w:val="en-US" w:eastAsia="en-US" w:bidi="ar-SA"/>
        </w:rPr>
        <w:t xml:space="preserve"> at 290 (Ont. H.C.) ("[a]s a matter of principle Courts of justice of different countries are in aid of justice under a mutual obligation consistent with their own jurisdiction to assist each other in obtaining testimony upon which the rights of a cause may depend; so generally are individuals under a duty to give their testimony to Courts of justice in all inquiries where it may be material. </w:t>
      </w:r>
      <w:r>
        <w:rPr>
          <w:rFonts w:ascii="arial" w:eastAsia="arial" w:hAnsi="arial" w:cs="arial"/>
          <w:color w:val="000000"/>
          <w:sz w:val="20"/>
          <w:u w:val="single"/>
          <w:lang w:val="en-US" w:eastAsia="en-US" w:bidi="ar-SA"/>
        </w:rPr>
        <w:t>Courts in Canada recognize, and have often said, that, in the interests of comity, judicial assistance should whenever possible be given at the request of Courts of other countries</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Gulf Oil Corp. v. Gulf Canada Ltd.</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[1980] S.C.J. No. 41</w:t>
        </w:r>
      </w:hyperlink>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[1980] S.C.J. No. 41</w:t>
        </w:r>
      </w:hyperlink>
      <w:r>
        <w:rPr>
          <w:rFonts w:ascii="arial" w:eastAsia="arial" w:hAnsi="arial" w:cs="arial"/>
          <w:color w:val="000000"/>
          <w:sz w:val="20"/>
          <w:lang w:val="en-US" w:eastAsia="en-US" w:bidi="ar-SA"/>
        </w:rPr>
        <w:t xml:space="preserve"> (S.C.C.); </w:t>
      </w:r>
      <w:r>
        <w:rPr>
          <w:rFonts w:ascii="arial" w:eastAsia="arial" w:hAnsi="arial" w:cs="arial"/>
          <w:i/>
          <w:color w:val="000000"/>
          <w:sz w:val="20"/>
          <w:lang w:val="en-US" w:eastAsia="en-US" w:bidi="ar-SA"/>
        </w:rPr>
        <w:t>National Telefilm Associates Inc. v. United Artists' Corp.</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[1958] O.J. No. 275</w:t>
        </w:r>
      </w:hyperlink>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14 D.L.R. (2d) 343</w:t>
        </w:r>
      </w:hyperlink>
      <w:r>
        <w:rPr>
          <w:rFonts w:ascii="arial" w:eastAsia="arial" w:hAnsi="arial" w:cs="arial"/>
          <w:color w:val="000000"/>
          <w:sz w:val="20"/>
          <w:lang w:val="en-US" w:eastAsia="en-US" w:bidi="ar-SA"/>
        </w:rPr>
        <w:t xml:space="preserve"> (Ont. H.C.).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[13] In </w:t>
      </w:r>
      <w:r>
        <w:rPr>
          <w:rFonts w:ascii="arial" w:eastAsia="arial" w:hAnsi="arial" w:cs="arial"/>
          <w:i/>
          <w:color w:val="000000"/>
          <w:sz w:val="20"/>
          <w:lang w:val="en-US" w:eastAsia="en-US" w:bidi="ar-SA"/>
        </w:rPr>
        <w:t>EchoStar</w:t>
      </w:r>
      <w:r>
        <w:rPr>
          <w:rFonts w:ascii="arial" w:eastAsia="arial" w:hAnsi="arial" w:cs="arial"/>
          <w:color w:val="000000"/>
          <w:sz w:val="20"/>
          <w:lang w:val="en-US" w:eastAsia="en-US" w:bidi="ar-SA"/>
        </w:rPr>
        <w:t xml:space="preserve"> at para. 38, L. Smith J. summarized the factors to be considered in determining whether to give effect to letters rogatory:</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Relevance;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evidence is necessary for trial and will be adduced at trial if admissible;</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evidence is otherwise obtainable;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order sought is contrary to public policy;</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documents sought are identified with reasonable specificity;</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order sought is unduly burdensome having in mind what the witness would be required to do and produce were the action to be tried locally.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factors in dispute here are the relevance of Mr. Au's testimony, whether the evidence is otherwise obtainable and whether the order sought is unduly burdensome.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Relevance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petitioners rely on the affidavit of Douglas FitzMorris, the attorney representing Sendum before Judge Murphy in the New York proceedings on September 28, 2017, when the matter of letters rogatory was heard. Mr. FitzMorris describes Sendum's role in the proceeding, that is, B.I. subcontracted with Sendum to design and manufacture the ET1 according to B.I.'s specifications. Mr. FitzMorris says that Sendum was added to the proceedings midway through the discovery of the plaintiffs when it became apparent that only Sendum had certain documentation that the plaintiff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Sendum was added to the proceedings on August 30, 2016, on the basis that along with B.I. they were negligent, careless and reckless in regard to the design, manufacture, sale, distribution, delivery, monitoring and otherwise in respect of the ET1.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Additional allegations by the plaintiffs against Sendum are that it was engaged in the business of manufacturing the ET1 as a white label product to be sold to B.I. for the ultimate retail sale to law enforcement, and it negligently and carelessly manufactured, designed, assembled, marketed, sold and distributed the ET1.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causes of action against Sendum and B.I. include a breach of express or implied warranty, negligent infliction of emotional distress and strict liability in court. They also include wrongful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FitzMorris describes the previous discovery of Kerry Zoehner of Sendum, who deposed in the New York proceeding on August 1,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FitzMorris says that the issues in which B.I. seeks to examine Mr. Au in the letters rogatory have been canvassed in depth in the prior depositions and document disclosures.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the basis of Mr. FitzMorris's affidavit, the petitioners argue that there cannot be a reasonable assertion that the topics are not relevant to the products liability action. Even if the evidence has already been given in respect to the matters delineated, it cannot be suggested that Mr. Au's evidence is not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respondents argue that the New York Court did not make a specific finding that the evidence sought from Mr. Au is relevant in the New York proceedings. The letters rogatory, Sendum says, list a number of very broad areas of examination, only parts of which could conceivably be relevant to the New York proceedings.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Judge Murphy considered that Mr. Au's evidence was necessary and relevant. I agree with the petitioners that it is not for this Court to decide if that conclusion was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Madam Justice Smith addressed relevance in </w:t>
      </w:r>
      <w:r>
        <w:rPr>
          <w:rFonts w:ascii="arial" w:eastAsia="arial" w:hAnsi="arial" w:cs="arial"/>
          <w:i/>
          <w:color w:val="000000"/>
          <w:sz w:val="20"/>
          <w:lang w:val="en-US" w:eastAsia="en-US" w:bidi="ar-SA"/>
        </w:rPr>
        <w:t>EchoStar Satellite Corporation v. Quinn</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2007 BCSC 1225</w:t>
        </w:r>
      </w:hyperlink>
      <w:r>
        <w:rPr>
          <w:rFonts w:ascii="arial" w:eastAsia="arial" w:hAnsi="arial" w:cs="arial"/>
          <w:color w:val="000000"/>
          <w:sz w:val="20"/>
          <w:lang w:val="en-US" w:eastAsia="en-US" w:bidi="ar-SA"/>
        </w:rPr>
        <w:t>, at para. 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[47] First, the California Court has stated that it considers the proposed evidence to be relevant, necessary for trial, and not otherwise obtainable. In addition, affidavit material to that effect has been filed. I accept the petitioners' submissions that, to the extent the evidence sought relates to the respondents' knowledge of the nature and extent of the alleged conspiracy, it is not obtainable otherwise than through the respondents. I further accept that it must be assumed that the California Court acted responsibly in issuing the Letter of Request. As well, although there may be discovery purposes served by obtaining the evidence, that does not preclude an order if the evidence is needed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agree that the proper role of this Court is to be satisfied that there is some probative value to the proposed evidence and that the areas to be canvassed during the examination are relevant to the New York proceedings. I am satisfied that the factor of relevance is amply met.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Evidence Sought is Available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petitioners say that Mr. Au, as an engineer at Sendum, played a key role in the design of the ET1. The question for this Court is not whether those areas were spoken to by others, but whether the evidence that Mr. Au may have to give is of the same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Sendum says that the petitioners have not clearly indicated that the evidence they seek from Mr. Au is not available elsewhere. Judge Murphy did not consider the issue because there is no requirement of the New York civil procedure to demonstrate that the evidence is not available elsewhere before seeking the examination of a non-party witness. Sendum says that a review of the plaintiff's claims in the New York proceeding and the deposition testimony in that proceeding reveal that the areas in which the petitioners seek to examine Mr. Au have been dealt with in other depositions and in the documents produced. Finally, Sendum says that the petitioners should have asked questions of Mr. Zoehner about the evidence they seek to obtain from Mr. Au before making this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It appears that Mr. Au is the only one who knows what steps he took in conducting the tests that he conducted. He has direct knowledge of the work that he performed on the ET1 while at Sendum.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Connecticut Retirement Plans and Trust Funds v. Buchan</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2007 ONCA 462</w:t>
        </w:r>
      </w:hyperlink>
      <w:r>
        <w:rPr>
          <w:rFonts w:ascii="arial" w:eastAsia="arial" w:hAnsi="arial" w:cs="arial"/>
          <w:color w:val="000000"/>
          <w:sz w:val="20"/>
          <w:lang w:val="en-US" w:eastAsia="en-US" w:bidi="ar-SA"/>
        </w:rPr>
        <w:t>, the court addressed this factor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would read this criterion as meaning that evidence of the same value as that sought from the person to be examined cannot otherwise be obtained.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consider that applying the proper criterion yields the conclusion that Mr. Au's evidence, even if it is obtainable elsewhere, is evidence of some value that cannot otherwise be obtained. The evidence concerning Mr. Au's involvement in the design, development and testing of the ET1 while he was employed at Sendum demonstrates that his evidence will be of some value. I find that this factor is satisfied.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Whether the Deposition Sought Is Unduly Burdensome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petitioners seek an order that Mr. Au be deposed on a date before January 1, 2018, to be agreed on by counsel, for a total duration of not more than seven hours. The deposition is to take place at the office of the petitioners before an official court reporter in British Columbia. Mr. Au's evidence will be recorded by video and be reduced to writing in a transcript. Mr. Au will have the right to review the video and the transcript and note any corrections in writing. Mr. Au's evidence shall only be used in the New York proceedings and not for any other purpose. The petitioners assert that these conditions do not place an undue burden on Mr. 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Sendum refers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of British Columbia, particularly Rule 7-5 that provides that examinations conducted on all parties of record cannot exceed three hours unless otherwise ordered. The respondents assert that a seven-hour deposition may lead to a "fishing expedition". Sendum also asserts that from a public policy point of view, this Court should consider the different rules about conducting litigation in this jurisdiction, particularly our rules regarding proportionality and specifically how we deal with this issue of the United States Courts' instinct to depose everyone who has something to say. Sendum suggests that in weighing the burden the Court ought to address that differently than was apparently addressed by Judge Murphy. The test ought to be that the petitioners show that the person to be examined has material evidence to give.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Mr. Au has not given evidence about whether such an examination would be burdensome on him and as such there is no basis to conclude that it would be unduly burdensome. I agree with the petitioners that the task before this Court is to address the notion of comity, not to engage in a comparative analysis of the rules that apply to the New York proceeding in the context of our Rules of Court. </w:t>
      </w:r>
      <w:r>
        <w:rPr>
          <w:rFonts w:ascii="arial" w:eastAsia="arial" w:hAnsi="arial" w:cs="arial"/>
          <w:i/>
          <w:color w:val="000000"/>
          <w:sz w:val="20"/>
          <w:lang w:val="en-US" w:eastAsia="en-US" w:bidi="ar-SA"/>
        </w:rPr>
        <w:t>Monster Energy</w:t>
      </w:r>
      <w:r>
        <w:rPr>
          <w:rFonts w:ascii="arial" w:eastAsia="arial" w:hAnsi="arial" w:cs="arial"/>
          <w:color w:val="000000"/>
          <w:sz w:val="20"/>
          <w:lang w:val="en-US" w:eastAsia="en-US" w:bidi="ar-SA"/>
        </w:rPr>
        <w:t xml:space="preserve"> makes this clear when it quotes </w:t>
      </w:r>
      <w:r>
        <w:rPr>
          <w:rFonts w:ascii="arial" w:eastAsia="arial" w:hAnsi="arial" w:cs="arial"/>
          <w:i/>
          <w:color w:val="000000"/>
          <w:sz w:val="20"/>
          <w:lang w:val="en-US" w:eastAsia="en-US" w:bidi="ar-SA"/>
        </w:rPr>
        <w:t>Halsbury Canada</w:t>
      </w:r>
      <w:r>
        <w:rPr>
          <w:rFonts w:ascii="arial" w:eastAsia="arial" w:hAnsi="arial" w:cs="arial"/>
          <w:color w:val="000000"/>
          <w:sz w:val="20"/>
          <w:lang w:val="en-US" w:eastAsia="en-US" w:bidi="ar-SA"/>
        </w:rPr>
        <w:t>, particularly in this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the interests of comity, judicial assistance should whenever possible be given at the request of Courts of other countries.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Based on that clarification, I am satisfied that the deposition sought of Mr. Au will not be unduly burdensome. I also note that the order sought specifies that this Court has a discretion to make further orders, and this may be addressed if the deposition does become unduly burdensome on Mr. 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find that based on international comity and courtesy proceeding from international law that this Court should recognize that in the interests of comity, judicial assistance should be provided at the request of the New York Court. I therefore grant the orders in the petition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will award the petitioners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J.M. GROPPER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4"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6"/>
          <w:headerReference w:type="default" r:id="rId37"/>
          <w:footerReference w:type="even" r:id="rId38"/>
          <w:footerReference w:type="default" r:id="rId39"/>
          <w:headerReference w:type="first" r:id="rId40"/>
          <w:footerReference w:type="first" r:id="rId4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2" w:history="1">
        <w:r>
          <w:rPr>
            <w:rFonts w:ascii="arial" w:eastAsia="arial" w:hAnsi="arial" w:cs="arial"/>
            <w:b/>
            <w:bCs/>
            <w:i/>
            <w:color w:val="0077CC"/>
            <w:kern w:val="32"/>
            <w:sz w:val="28"/>
            <w:szCs w:val="32"/>
            <w:u w:val="single"/>
            <w:shd w:val="clear" w:color="auto" w:fill="FFFFFF"/>
            <w:lang w:val="en-US" w:eastAsia="en-US" w:bidi="ar-SA"/>
          </w:rPr>
          <w:t>Blace v. Dundas, [2005] B.C.J. No. 1445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Bennett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17,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28,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M015539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1445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980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43 B.C.L.R. (4th) 322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140 A.C.W.S. (3d) 258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CarswellBC 1538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Rodney C. Blace, plaintiff, and Ronald George Dundas, defendant, and Lions Gate Hospital, John Doe, Dr. Abdurrazag Mutat, Jane Doe, Dr. John Doe, Jane Doe and John Doe,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5"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 w:name="Keywords_1"/>
      <w:bookmarkEnd w:id="12"/>
      <w:r>
        <w:rPr>
          <w:rFonts w:ascii="arial" w:eastAsia="arial" w:hAnsi="arial" w:cs="arial"/>
          <w:b/>
          <w:color w:val="000000"/>
          <w:sz w:val="20"/>
          <w:lang w:val="en-US" w:eastAsia="en-US" w:bidi="ar-SA"/>
        </w:rPr>
        <w:t xml:space="preserve">Civil procedure — Costs — Costs of interlocutory proceedings — Against solicitor personally — Solicitor and client or substantial indemnity — As damages or punishment for improper conduct — Parties — Third party procedure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Intervening causes.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 w:name="Case Summary_0"/>
            <w:bookmarkEnd w:id="1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Dundas, against the plaintiff, Blace, for special costs against counsel personally for pre-trial appearances. The plaintiff sued the defendant for injuries sustained in a motor vehicle accident. The defendant raised the possibility of an intervening act by a third party physician who subsequently treated the plaintiff but did not initially plead the intervening act. The plaintiff amended its claim against the defendant only to include any injuries which may have occurred as a result of the third party's treatment. The plaintiff subsequently filed a protected writ against the third party, but did not disclose or serve it. At the time, the plaintiff did not have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third party because the defendant had not served its expert report. Several months later, the defendant filed and served the third party notice. The plaintiff did not disclose the protective writ at either a pre-trial conference or case management conference in which the third party notice was discussed. The defendant subsequently amended its pleadings to allege the intervening act. One week later, the plaintiff disclosed the protective writ.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 w:name="Holdings of Court_0"/>
            <w:bookmarkEnd w:id="14"/>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Costs were in the cause for all parties. Special costs against the plaintiff's lawyer personally or against the plaintiff were not justified. The plaintiff's actions in filing the writ were prudent. At the time, the defendant had raised the issue of an intervening act but had not filed an amended statement of claim alleging the intervening act. If the defendant successfully raised the intervening act, the plaintiff's only recourse would be to pursue a claim against the third party. The plaintiff acted properly in not disclosing or serving the protective writ. The plaintiff's decision was prudent given the lack of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the defendant did not amend the pleadings and plead an intervening act that would successfully break the chain of causation, the plaintiff would have had no need to serve the protective writ and sue the third party. The plaintiff was not required to list the protective writ in its list of documents.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 w:name="Legislation Cited_1"/>
      <w:bookmarkEnd w:id="1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6"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22(3)(b)(ii)</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 w:name="Counsel_1"/>
      <w:bookmarkEnd w:id="1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7" style="position:absolute;z-index:2517626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J.J. Camp, Q.C. &amp; R. Watts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 Brent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Dr. Mutat: M. Thomas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 w:name="Judgment_1"/>
      <w:bookmarkEnd w:id="17"/>
      <w:r>
        <w:pict>
          <v:line id="_x0000_s1038" style="position:absolute;z-index:25181388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 w:name="BENNETT J."/>
            <w:bookmarkEnd w:id="18"/>
            <w:r>
              <w:rPr>
                <w:rFonts w:ascii="arial" w:eastAsia="arial" w:hAnsi="arial" w:cs="arial"/>
                <w:b/>
                <w:color w:val="000000"/>
                <w:sz w:val="30"/>
                <w:lang w:val="en-US" w:eastAsia="en-US" w:bidi="ar-SA"/>
              </w:rPr>
              <w:t>BENNETT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brings an application for special costs against counsel personally for appearances on January 21, 2005, January 24, 2005 and February 4,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Alternatively, the defendant seeks special costs against the plaintiff. The third party applies for special costs against the party I find responsible for the confusion that occurred on the above-noted appearance dates.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 chronology of events is useful to set the context of the discussion:</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October 5, 2000: The plaintiff was involved in a motor vehicle accident.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December 12, 2001: The writ of summons and statement of claim were filed.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February 25, 2002: A statement of defence was filed.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April 3, 2002: Dr. Mutat (now the third party) performed a medical procedure. The allegation is that this procedure worsened the plaintiff's condition.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July 9, 2002: The plaintiff filed a notice of trial and a five-day trial date commencing January 12, 2004 was set.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October 20, 2003: The plaintiff was granted leave to amend his claim to claim for injuries he alleges were caused by Dr. Mutat. The trial was adjourned.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October 21, 2003: Plaintiff's counsel called the defendant's counsel seeking dates for trial.</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October 21, 2003: Defendant's counsel left a message for plaintiff's counsel asking him not to set a trial date until either party decided whether to "bring in" Dr. Mutat into the litigation.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30, 2004: The plaintiff filed his amended statement of claim.</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February 26, 2004: The plaintiff filed a notice of trial setting a 15-day trial for March 14, 2005.</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March 25, 2004: The plaintiff filed a writ of summons against Dr. Mutat and a Dr. Phillips in the Nanaimo Registry. This is referred to as a "protected writ" and is the cause for consternation. This writ was not disclosed until February 2005.</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November 10, 2004: The defendant filed a third party notice against Dr. Mutat and sent it to the plaintiff.</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November 17, 2004: The plaintiff wrote to the defendant opining that the third party notice was untimely and he had seen no evidence to support the claim.</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November 29, 2004: Dr. Mutat was served with the third party notice. In the meantime, the plaintiff had served the defendant with several supplemental lists of documents.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13, 2005: The defendant conducted further discovery of the plaintiff.</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January 21, 2005: Pre-trial conference before Allan J. The pre-trial conference was requested by counsel for Dr. Mutat. He was considering either to apply for an adjournment of the trial or an application to strike the third party notice. The position of the third party was that the defendant left joining Dr. Mutat until the last possible moment within the time allowed by the Rules. The defendant had not filed its expert reports. The third party submitted that if the defendant was going to rely on </w:t>
      </w:r>
      <w:r>
        <w:rPr>
          <w:rFonts w:ascii="arial" w:eastAsia="arial" w:hAnsi="arial" w:cs="arial"/>
          <w:i/>
          <w:color w:val="000000"/>
          <w:sz w:val="20"/>
          <w:lang w:val="en-US" w:eastAsia="en-US" w:bidi="ar-SA"/>
        </w:rPr>
        <w:t>novus actus interveniens</w:t>
      </w:r>
      <w:r>
        <w:rPr>
          <w:rFonts w:ascii="arial" w:eastAsia="arial" w:hAnsi="arial" w:cs="arial"/>
          <w:color w:val="000000"/>
          <w:sz w:val="20"/>
          <w:lang w:val="en-US" w:eastAsia="en-US" w:bidi="ar-SA"/>
        </w:rPr>
        <w:t>, the third party would apply to strike the notice, as it was not contained within the statement of defence. The defendant advised the Court that they did not join the doctor until they were satisfied they had a meritorious claim.</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24, 2005: A case management conference was heard before Bennett J. at the direction of Allan J. The plaintiff submitted the defendant had the burden of demonstrating that the doctor was negligent, and they had been waiting for the defendant's expert reports in support of the third party claim. Counsel for the third party wished to set down a hearing to strike the third party notice and failing that, an adjournment of the trial. An application to strike the third party notice was filed, with the hearing set for February 4, 2005.</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January 26, 2005: The defendant filed an amended statement of defence pleading </w:t>
      </w:r>
      <w:r>
        <w:rPr>
          <w:rFonts w:ascii="arial" w:eastAsia="arial" w:hAnsi="arial" w:cs="arial"/>
          <w:i/>
          <w:color w:val="000000"/>
          <w:sz w:val="20"/>
          <w:lang w:val="en-US" w:eastAsia="en-US" w:bidi="ar-SA"/>
        </w:rPr>
        <w:t>novus actus interveniens</w:t>
      </w:r>
      <w:r>
        <w:rPr>
          <w:rFonts w:ascii="arial" w:eastAsia="arial" w:hAnsi="arial" w:cs="arial"/>
          <w:color w:val="000000"/>
          <w:sz w:val="20"/>
          <w:lang w:val="en-US" w:eastAsia="en-US" w:bidi="ar-SA"/>
        </w:rPr>
        <w: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28, 2005: The defendant served its expert reports supporting the claim against Dr. Mutat.</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February 1, 2005: The plaintiff disclosed the "protective writ" to counsel for Dr. Mutat.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February 2, 2005: The defendant's counsel wrote to the plaintiff expressing surprise that the plaintiff had not sued Dr. Mutat.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February 3, 2005: The plaintiff advised the defendant of the existence of the "protective writ".</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February 4, 2005: Parties appear before Bennett J. and the court is informed of the writ of summons. The trial was adjourned. The plaintiff advised that the writ would be served on Dr. Mutat.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This dispute over costs originated as a result of the plaintiff amending the pleadings on October 20, 2003 to include any injuries which may have occurred as a result of Dr. Mutat's treatment. This claim was still against the defendant only. At this point, the defendant was considering adding Dr. Mutat as a third party. Of importance, and understandably, neither the plaintiff nor the defendant wanted to add Dr. Mutat to the proceedings unless they had evidence of a claim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 filed his writ of summons suing Dr. Mutat days before the limitation period expired. At this point, the plaintiff had no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Dr. Mutat, and his claim was still against the defendant as "causing" the injuries. Filing the writ was a prudent act on the part of counsel for the plaintiff and he may have been negligent had he not done so. At this time, the defendant had not filed an amended statement of defence alleging an "intervening act" by Dr. Mutat.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defendant was permitted to add a third party up to 120 days before trial without leave of the court: see Rule 22(3)(b)(ii). The pleadings were amended 124 days prior to trial, adding Dr. Mutat as a third party. The pleadings were not amended to include the defence of intervening act until January 26, 2005. The expert reports supporting the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Dr. Mutat were not served until late in the day on Friday, January 28,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plaintiff's position is that the defendant has the onus of demonstrating that his injuries were not caused by the accident, but were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Dr. Mutat: see for example, Mercer v. Gray, </w:t>
      </w:r>
      <w:hyperlink r:id="rId43" w:history="1">
        <w:r>
          <w:rPr>
            <w:rFonts w:ascii="arial" w:eastAsia="arial" w:hAnsi="arial" w:cs="arial"/>
            <w:i/>
            <w:color w:val="0077CC"/>
            <w:sz w:val="20"/>
            <w:u w:val="single"/>
            <w:shd w:val="clear" w:color="auto" w:fill="FFFFFF"/>
            <w:lang w:val="en-US" w:eastAsia="en-US" w:bidi="ar-SA"/>
          </w:rPr>
          <w:t>[1941] 3 D.L.R. 564</w:t>
        </w:r>
      </w:hyperlink>
      <w:r>
        <w:rPr>
          <w:rFonts w:ascii="arial" w:eastAsia="arial" w:hAnsi="arial" w:cs="arial"/>
          <w:color w:val="000000"/>
          <w:sz w:val="20"/>
          <w:lang w:val="en-US" w:eastAsia="en-US" w:bidi="ar-SA"/>
        </w:rPr>
        <w:t xml:space="preserve"> (Ont. C.A.) and Papp v. Leclerc </w:t>
      </w:r>
      <w:hyperlink r:id="rId44" w:history="1">
        <w:r>
          <w:rPr>
            <w:rFonts w:ascii="arial" w:eastAsia="arial" w:hAnsi="arial" w:cs="arial"/>
            <w:i/>
            <w:color w:val="0077CC"/>
            <w:sz w:val="20"/>
            <w:u w:val="single"/>
            <w:shd w:val="clear" w:color="auto" w:fill="FFFFFF"/>
            <w:lang w:val="en-US" w:eastAsia="en-US" w:bidi="ar-SA"/>
          </w:rPr>
          <w:t>(1977), 77 D.L.R. (3d) 536</w:t>
        </w:r>
      </w:hyperlink>
      <w:r>
        <w:rPr>
          <w:rFonts w:ascii="arial" w:eastAsia="arial" w:hAnsi="arial" w:cs="arial"/>
          <w:color w:val="000000"/>
          <w:sz w:val="20"/>
          <w:lang w:val="en-US" w:eastAsia="en-US" w:bidi="ar-SA"/>
        </w:rPr>
        <w:t xml:space="preserve"> (Ont. C.A.). The defendant's position is that the plaintiff had the obligation to sue Dr. Mutat, rather than wait for the defendant to produce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defendant submits that by not disclosing the existence of the writ at either of the pre-trial conferences or in his lists of documents, his conduct is deserving of reproof or rebuke.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the pre-trial conference, counsel for the plaintiff sought to keep the trial date. However, it is also clear from the transcript that, although an adjournment of the trial was inevitable, no one wanted the fault of the adjournment to rest with their respective client.</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Costs against a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case law is clear that an order that costs be payable personally against a lawyer are to be sparingly made. The leading case is Young v. Young, </w:t>
      </w:r>
      <w:hyperlink r:id="rId45" w:history="1">
        <w:r>
          <w:rPr>
            <w:rFonts w:ascii="arial" w:eastAsia="arial" w:hAnsi="arial" w:cs="arial"/>
            <w:i/>
            <w:color w:val="0077CC"/>
            <w:sz w:val="20"/>
            <w:u w:val="single"/>
            <w:shd w:val="clear" w:color="auto" w:fill="FFFFFF"/>
            <w:lang w:val="en-US" w:eastAsia="en-US" w:bidi="ar-SA"/>
          </w:rPr>
          <w:t>[1993] 4 S.C.R. 3</w:t>
        </w:r>
      </w:hyperlink>
      <w:r>
        <w:rPr>
          <w:rFonts w:ascii="arial" w:eastAsia="arial" w:hAnsi="arial" w:cs="arial"/>
          <w:color w:val="000000"/>
          <w:sz w:val="20"/>
          <w:lang w:val="en-US" w:eastAsia="en-US" w:bidi="ar-SA"/>
        </w:rPr>
        <w:t>, where McLachlin J. (as she then was) said, at p. 135-136: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of Appeal held that no order for costs should have been made against Mr. How. There is no need to repeat that entirely satisfactory analysis. The basic principle on which costs are awarded is as </w:t>
      </w:r>
      <w:r>
        <w:rPr>
          <w:rFonts w:ascii="arial" w:eastAsia="arial" w:hAnsi="arial" w:cs="arial"/>
          <w:color w:val="000000"/>
          <w:sz w:val="20"/>
          <w:u w:val="single"/>
          <w:lang w:val="en-US" w:eastAsia="en-US" w:bidi="ar-SA"/>
        </w:rPr>
        <w:t>compensation</w:t>
      </w:r>
      <w:r>
        <w:rPr>
          <w:rFonts w:ascii="arial" w:eastAsia="arial" w:hAnsi="arial" w:cs="arial"/>
          <w:color w:val="000000"/>
          <w:sz w:val="20"/>
          <w:lang w:val="en-US" w:eastAsia="en-US" w:bidi="ar-SA"/>
        </w:rPr>
        <w:t xml:space="preserve"> for the successful party, not in order to punish a barrister. Any member of the legal profession might be subject to a compensatory order for costs if it is shown that repetitive and irrelevant material, and excessive motions and applications, characterized the proceedings in which they were involved, and that the lawyer acted in bad faith in encouraging this abuse and delay. It is clear that the courts possess jurisdiction to make such an award, often under statute and, in any event, as part of their inherent jurisdiction to control abuse of process and contempt of court. But the fault that might give rise to a costs award against Mr. How does not characterize these proceedings, despite their great length and acrimonious progress. Moreover, courts must be extremely cautious in awarding costs personally against a lawyer, given the duties upon a lawyer to guard confidentiality of instructions and to bring forward with courage even unpopular causes. A lawyer should not be placed in a situation where his or her fear of an adverse order of costs may conflict with these fundamental duties of his or her calling.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Young v. Young </w:t>
      </w:r>
      <w:hyperlink r:id="rId46" w:history="1">
        <w:r>
          <w:rPr>
            <w:rFonts w:ascii="arial" w:eastAsia="arial" w:hAnsi="arial" w:cs="arial"/>
            <w:i/>
            <w:color w:val="0077CC"/>
            <w:sz w:val="20"/>
            <w:u w:val="single"/>
            <w:shd w:val="clear" w:color="auto" w:fill="FFFFFF"/>
            <w:lang w:val="en-US" w:eastAsia="en-US" w:bidi="ar-SA"/>
          </w:rPr>
          <w:t>(1990), 50 B.C.L.R. (2d) 1</w:t>
        </w:r>
      </w:hyperlink>
      <w:r>
        <w:rPr>
          <w:rFonts w:ascii="arial" w:eastAsia="arial" w:hAnsi="arial" w:cs="arial"/>
          <w:color w:val="000000"/>
          <w:sz w:val="20"/>
          <w:lang w:val="en-US" w:eastAsia="en-US" w:bidi="ar-SA"/>
        </w:rPr>
        <w:t xml:space="preserve"> (C.A.), Cumming J.A. said, at 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Orders requiring solicitors to pay costs personally are sparingly made. The jurisdiction to make such orders must be exercised with care and discretion and only in clear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Of significance are the comments made by Cumming J.A. at p. 63-64: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Solicitors who think that they may be mulcted in costs for advancing points which they honestly believe to be fairly arguable may not act fearlessly and in the best traditions of an independent profession. If solicitors are limited in what they think they can say or do on behalf of their clients, then the rights of those clients are also necessarily limited. The potential for a chilling effect, especially if solicitors may be exposed to orders that they pay costs as between solicitor and client, the repercussions on solicitors' positions and consequently upon that of their clients, if adverse costs awards are made, underscore the need for judges to exercise caution in the making of such orders.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object of an order requiring a solicitor to pay costs personally is to reimburse a litigant for costs which he has incurred as a result of the solicitor's default. The object is to compensate the litigant, not to punish the solicitor, although the effect of such an order will necessarily be punitive insofar as the solicitor is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this case, counsel filed the writ to protect his client's interests for two reasons: the defendant was raising the issue of an intervening act, but had done nothing at that point to advance it. (This is a mere statement of fact and not a criticism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Secondly, if the defendant successfully raised the defence of intervening act, the plaintiff's only recourse would be to pursue a claim against Dr. Mutat. The limitation period to sue Dr. Mutat was about to expire. This conduct was simply acting in the best interests of his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However, counsel did not serve the writ. He did not have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Dr. Mutat, therefore he acted prudently by not serving him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If the defendant did not amend the pleadings and plead an "intervening act" that would successfully break the chain of causation, the plaintiff had no need to serve the writ and sue Dr. Mutat. It is common ground that medical malpractice litigation is expensive. Until the defendant pleaded the existence of an intervening act, the plaintiff had no need to reveal the writ against Dr. Mutat. In fact he would have acted to his client's detriment had he done so. The defendant did not plead an "intervening act" until January 26,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fact that the amended statement of defence was filed almost a year after the amended statement of claim appears to be due to a delay in obtaining evidence to support the allegation of an intervening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Counsel for the plaintiff delayed a week (between January 26, 2005 to February 3, 2005) before advising the defendant of the writ. Dr. Mutat was advised of the writ on February 1,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defendant also submitted that failing to state the existence of the writ in the lists of documents is sufficiently reprehensible such as to attract special costs. The defendant submits that the writ should have been disclosed pursuant to the test in Compagnie Financiere et Commercial du Pacifique v. Peruvian Guano Co. (1882), 11 Q.B.C. 55 (C.A.), in that it could have "led the defendant on a train of enquiry to advance his own case or destroy that of the plaintiff". However, I do not see how the protected writ would have met this test, as the defendant was aware of the intervention of Dr. Mutat </w:t>
      </w:r>
      <w:r>
        <w:rPr>
          <w:rFonts w:ascii="arial" w:eastAsia="arial" w:hAnsi="arial" w:cs="arial"/>
          <w:i/>
          <w:color w:val="000000"/>
          <w:sz w:val="20"/>
          <w:lang w:val="en-US" w:eastAsia="en-US" w:bidi="ar-SA"/>
        </w:rPr>
        <w:t>before</w:t>
      </w:r>
      <w:r>
        <w:rPr>
          <w:rFonts w:ascii="arial" w:eastAsia="arial" w:hAnsi="arial" w:cs="arial"/>
          <w:color w:val="000000"/>
          <w:sz w:val="20"/>
          <w:lang w:val="en-US" w:eastAsia="en-US" w:bidi="ar-SA"/>
        </w:rPr>
        <w:t xml:space="preserve"> the writ was issued. There is no basis in fact or law why the writ was required to be listed.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law is clear that costs against a lawyer are rare. This is not one of those rare cases where the conduct of counsel attracts such a significant order. Indeed, it is not even close. The application to have counsel pay special costs personally is dismissed.</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Garcia v. Crestbrook Forest Industries Ltd. </w:t>
      </w:r>
      <w:hyperlink r:id="rId47" w:history="1">
        <w:r>
          <w:rPr>
            <w:rFonts w:ascii="arial" w:eastAsia="arial" w:hAnsi="arial" w:cs="arial"/>
            <w:i/>
            <w:color w:val="0077CC"/>
            <w:sz w:val="20"/>
            <w:u w:val="single"/>
            <w:shd w:val="clear" w:color="auto" w:fill="FFFFFF"/>
            <w:lang w:val="en-US" w:eastAsia="en-US" w:bidi="ar-SA"/>
          </w:rPr>
          <w:t>(1994), 9 B.C.L.R. (3d) 242</w:t>
        </w:r>
      </w:hyperlink>
      <w:r>
        <w:rPr>
          <w:rFonts w:ascii="arial" w:eastAsia="arial" w:hAnsi="arial" w:cs="arial"/>
          <w:color w:val="000000"/>
          <w:sz w:val="20"/>
          <w:lang w:val="en-US" w:eastAsia="en-US" w:bidi="ar-SA"/>
        </w:rPr>
        <w:t xml:space="preserve"> (C.A.), at paras. 11-17, the Court reviewed the standard upon which special costs are ordered against a party. The Court set the standard for such an award as follows: special costs are awarded when there has been "reprehensible, scandalous or outrageous conduct on the part of one of the parties". Reprehensible also includes conduct which is "deserving of reproof or rebuke".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 submits that the plaintiff's conduct is deserving of reproof or rebuke for failing to disclose the existence of the writ. For the reasons stated above, the plaintiff acted properly in not disclosing the existence of the writ until January 26, 2005, when the issue became a live one. The subsequent week delay in advising counsel for the defendant of the existence of the writ is not conduct deserving of reproof or rebuke.</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Finally, there is an issue of costs for the three court appearances and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For the reasons stated above, the plaintiff was not obliged to disclose the writ unless the defendant pleaded the issue of "intervening act". What is outstanding is whether the delay of one week to notify the defendant of the existence of the writ once the intervening act was pleaded, should result in costs thrown away for preparing for Dr. Mutat's application to strike the third party notice. However, the plaintiff had no control over whether that application would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Mutat is seeking costs, in part, on the basis that he is not liable as a third party. I have not found either the defendant or plaintiff "at fault" for either the non-disclosure of the "protected writ" by the plaintiff or for the defendant's delay in amending the pleading to plead "intervening act". Both parties had a reasonable explanation for the manner in which they have proceeded. Dr. Mutat will receive his costs if he is eventually successful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summary on the main application, if the defendant had pleaded "intervening act" sooner, the writ would have been disclosed. However, the defendant did not have the evidence to support that allegation until late in the day and, without further information, cannot be criticized for waiting for evidence before making a serious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Dr. Mutat.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Therefore, with respect to the court appearances on January 21, 24 and February 4, the costs are in the cause for all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defendant has been unsuccessful in his application for costs. In the circumstances of this case, the plaintiff is entitled to his costs of this application against the defendant in any event of the cause, on Scale Three. Special costs are not ordered against the defendant for bringing this application as there is no conduct necessary to rebuke.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Mutat was seeking his costs if I found one of the other parties responsible. I did not, therefore any costs flowing to Dr. Mutat from this application will be in the cause, if he is successful. There is no order for costs against Dr. Mutat arising from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BENNETT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9"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8"/>
          <w:headerReference w:type="default" r:id="rId49"/>
          <w:footerReference w:type="even" r:id="rId50"/>
          <w:footerReference w:type="default" r:id="rId51"/>
          <w:headerReference w:type="first" r:id="rId52"/>
          <w:footerReference w:type="first" r:id="rId5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4" w:history="1">
        <w:r>
          <w:rPr>
            <w:rFonts w:ascii="arial" w:eastAsia="arial" w:hAnsi="arial" w:cs="arial"/>
            <w:b/>
            <w:bCs/>
            <w:i/>
            <w:color w:val="0077CC"/>
            <w:kern w:val="32"/>
            <w:sz w:val="28"/>
            <w:szCs w:val="32"/>
            <w:u w:val="single"/>
            <w:shd w:val="clear" w:color="auto" w:fill="FFFFFF"/>
            <w:lang w:val="en-US" w:eastAsia="en-US" w:bidi="ar-SA"/>
          </w:rPr>
          <w:t>Cowichan Valley School District No. 79 v. Lloyd's Underwriters, Lloyd's, London, [2003] B.C.J. No. 1964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Rogers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July 30,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03-0244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1964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1303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 C.C.L.I. (4th) 170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125 A.C.W.S. (3d) 497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Board of School Trustees of School District No. 79 (Cowichan Valley), plaintiff, and M.J. Oppenheim in his Quality as Attorney in Fact in Canada for Underwriters and Members of Lloyd's, London, England,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0"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 w:name="Keywords_2"/>
      <w:bookmarkEnd w:id="19"/>
      <w:r>
        <w:rPr>
          <w:rFonts w:ascii="arial" w:eastAsia="arial" w:hAnsi="arial" w:cs="arial"/>
          <w:b/>
          <w:color w:val="000000"/>
          <w:sz w:val="20"/>
          <w:lang w:val="en-US" w:eastAsia="en-US" w:bidi="ar-SA"/>
        </w:rPr>
        <w:t>Insurance — Liability insurance — Business, comprehensive policy — Duty to defend — Extent of coverage.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 w:name="Case Summary_1"/>
            <w:bookmarkEnd w:id="2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Cowichan Valley School District for an order to require the defendant Lloyd's of London to defend it against a lawsuit. The District owned a baseball field. It allowed a club to use it for a baseball tournament. The club had to obtain insurance to indemnify it for claims that resulted from the game. The insurance was obtained from Lloyd's. The policy applied to the tournament. The District was added as an additional insured. A participant in the game broke his ankle when he stepped on an irregularity in the field. He sued the club and the District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claimed that they failed to properly maintain the field and did not warn the players of any hazards in it. Lloyd's refused to provide coverage to the District. It claimed that the allegations against the District were made against it as the owner of the property and not as the promoter of the tournament. The claim did not arise from the operations of the club but were based on its obligations as an owner. The District would owe the same duty of care to a casual, uninvited user of the field.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 w:name="Holdings of Court_1"/>
            <w:bookmarkEnd w:id="21"/>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Lloyd's was required to defend the District. The injury was connected to the activity that Lloyd's agreed to insure. It would not have occurred if not for the club's decision to have the tournament.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resulted from the club's operation and were connected to the tournament. The claims against the District were not separate and distinct from the allegations against the club. The result would have been different if the individual was not injured while he participated in the game but had been injured in the field's parking lot from a defective tile that fell from the building.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 w:name="Counsel_2"/>
      <w:bookmarkEnd w:id="2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1"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 Carfra, for the plaintiff. S. Braun,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 w:name="Judgment_2"/>
      <w:bookmarkEnd w:id="23"/>
      <w:r>
        <w:pict>
          <v:line id="_x0000_s1042" style="position:absolute;z-index:25176371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 w:name="ROGERS J. (orally)"/>
            <w:bookmarkEnd w:id="24"/>
            <w:r>
              <w:rPr>
                <w:rFonts w:ascii="arial" w:eastAsia="arial" w:hAnsi="arial" w:cs="arial"/>
                <w:b/>
                <w:color w:val="000000"/>
                <w:sz w:val="30"/>
                <w:lang w:val="en-US" w:eastAsia="en-US" w:bidi="ar-SA"/>
              </w:rPr>
              <w:t>ROGERS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Cowichan School District has petitioned the court for an order that Lloyd's of London be required to defend it for claims brought against it by Mr. Mayo, and I will just say, counsel, before you break your wrists making notes, I will order a transcript of these reasons so that they be placed in the file, because I imagine the thing is going to go up.</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In any event, Lloyd's resists the petition, saying that it has no obligation to protect the School District from the jeopardy it faces.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issue in the case is whether the injury about which Mr. Mayo complains arises out of the "operation" of his alleged tort-feasor, the Appollo's Hockey Club. If yes, then Lloyd's must indemnify; if no, the District is on its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events leading up to the District's petition are not complicated. The District owns a baseball field. It agreed to let the Appollo's Hockey Club use the field for a baseball tournament. The District stipulated that Appollo obtain third party liability insurance as a pre-condition to its use of the ball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Although the use agreement does not specify it, I infer that the District further required that the insurance indemnify the District for claims arising out of Appollo's tournament.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Appollo obtained that insurance from Lloyd's. The relevant portions of the certificate of insurance between Lloyd's and Appollo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Locations and operations to which this certificate applies: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Solely with respect to a baseball tournament, including beer gardens and dances, held at several locations throughout the Cowichan Valley, 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Other insureds: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understood and agreed that the following are added as additional insureds, but only with respect to liability arising out of the operations of the named insured for the coverage term indicated.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Cowichan Valley School District No.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policy contemplates coverage for the ball tournament between certain dates in September of 1999. During the tournament Mr. Mayo managed a base hit and says that he stepped in an irregularity on the field while rounding the diamond and heading into second base. He says that his ankle was broken as a consequence of that mishap.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Mr. Mayo alleges that his injury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Appollo and the District. The statement of claim filed by Mr. Mayo identifies Appollo as the host of the tournament and the District as the owner of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statement of claim at para. 7 expresses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injury to the plaintiff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properly maintain the Lake Cowichan Senior Secondary School ball diamond and thereby creating an unusual danger and latent trap;</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take reasonable care to ensure that the plaintiff would be reasonably safe in using the ball diamond;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take reasonable steps to prevent injury or damage to the plaintiff when the defendants knew or ought to have known that the ball diamond was in a dangerous condition;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give the plaintiff any, or any adequate warning of the dangerous condition of the ball diamond.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a case such as this, the procedure for the court to follow is to determine first on a reading of the pleadings the nature of the plaintiff's claims against the defendant. Then when those claims are known, the court must look to the policy to determine whether the plaintiff's claims are of a sort that the insurer agreed to defend.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first task is to assess the pleadings. Mr. Mayo's statement of claim couches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two broad categories. Paragraph 7(a) alleges that the defendants failed to maintain the field. Paragraphs 7(b), (c) and (d) collectively allege that the defendants had an obligation to inspect the field to assess whether it was safe to use, and if it was not safe, then to warn the players of the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 liberal but not fanciful reading of paragraph 7(a) would include an obligation to maintain the field during the tournament such that hazards that develop as play progressed needed to be fixed.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allegations are, therefore, that the field was not maintained properly (without alleging when the field came into disrepair), and that the defendants did not inspect the field and warn the players, specifically Mr. Mayo, of the hazard at second base.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second task for the court on this matter is to examine the insurance policy and to determine whether the allegations against the District are such as could come within the policy. The policy, the parties agree, include the certificate of insurance from which I extracted the earlier quote.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question is then whether the allegations against the District comprise part of the "operation" of Appollo, and if in the latter's effort to host the baseball tournament.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Lloyd's says not. Lloyd's says that the allegations against the District are made against it as owner of the property, not as promoter of the tournament. It says that the allegations do not arise out of the operations of Appollo, but are founded instead on the District's obligations as an owner. Lloyd's says that the District would owe the same duty of care equally to a casual, uninvited user of the field when there was no tournament on, as to a player in the Appollo tournament.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That being so, Lloyd's says that the District's liability does not depend on or arise out of Appollo's operation of hosting the tournament, but rather as a result of the District's obligation as owner to keep its property in a safe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is some logic in Lloyd's position, and it might have carried the day if Mr. Mayo's claim were not so clearly associated with the very activity Lloyd's agreed to insure, vis playing baseball. Had Mr. Mayo's head been injured in the field's parking lot when a tile fell off the roof and struck him, then it would be no great feat to locate a distinction between Appollo's operation of hosting the tournament and the District's obligation to keep the grandstand roof in good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However the pleadings in this case clearly connect Mr. Mayo's injury closely to the very activity that Lloyd's agreed to insure. Mr. Mayo would not have injured his ankle but for Appollo's decision to put on the tournament.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have no difficulty concluding that part of Appollo's operation of the tournament was to provide a reasonably safe environment for the ball games. The pleadings clearly allege that Appollo failed in that aspect of the operation. That is to say, the pleadings allege that Appollo failed to inspect and warn users of the field of hazards.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pleadings also allege that Appollo failed to maintain the field and, to the extent that that duty was to repair damage to the field caused by the tournament itself, I have no difficulty concluding that it was part of Appollo's operation to maintain the field, at least to the extent of making such ad hoc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Mr. Mayo's injuries are alleged to have arisen out of those failings. They are connected to the ball tournament. There is a clear nexus on the pleadings between the tournament,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alleged injury. Mr. Mayo's claims arise, therefore, out of the operations of Apollo as host of the tournament.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Mr. Mayo's pleadings have been drafted, the allegations against the District are inseparable from the allegations against Appollo. With respect to failure to inspect and warn, those allegations are obviously associated with Appollo's operation of the tournament. With respect to failure to maintain, a liberal reading of the pleadings allows for the possibility that the putative hole at the second base developed during play and that it was not repaired by proper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Both theories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arise out of the operations of Appollo, and are connected to the ball tournament. The allegations against the District are not separate and distinct from the allegations against Appollo. The allegations against the District depend on Appollo having hosted the tournament and on Mr. Mayo's game having taken place at the District's field. Those were the very operations that Lloyd's agreed to insure.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is, therefore, incumbent on Lloyd's to defend the District with respect to Mr. Mayo's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have concluded, therefore, that the District is entitled to a defence from Lloyd's with respect to Mr. Mayo's tort action. The District is entitled to indemnity on a solicitor and on a client basis for its costs to date of defending Mr. Mayo's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Lloyd's is entitled to challenge the reasonableness of those costs as if the accounts had been presented to it under the Legal Professions Act. To the extent that it may be necessary, there will be an order waiving any limitation due to passage of time on Lloyd's right to challenge those accounts which may have been presented and paid by the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District will have its costs of the petition on a party and party basis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Braun asked for an order ancillary to these reasons that the District be compelled to comply with para. 9 of the text of the Lloyd's policy. That request was not presented by way of a notice of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the event that there is any difficulty with the District complying with its obligations as an insured under the policy, of course Lloyd's will be back before the court on an appropriate motion, but at this stage I do not have any evidence that the District is inclined to be difficult or obstreperous in that regard, and therefore I am not going to make an order that on the evidence does not appear to be necessary, at least at this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think that concludes everything that I have been asked to decide, unless counsel have any concerns, any dangling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Carfra: Nothing further, My Lord.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COURT: Ms. Braun.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BRAUN: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COURT: All right. Good, I will return the records to you. I appreciate, by the way, counsel, the clear and concise manner in which you presented your arguments. You are both to be 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ROGERS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3" style="position:absolute;z-index:251814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
          <w:headerReference w:type="default" r:id="rId56"/>
          <w:footerReference w:type="even" r:id="rId57"/>
          <w:footerReference w:type="default" r:id="rId58"/>
          <w:headerReference w:type="first" r:id="rId59"/>
          <w:footerReference w:type="first" r:id="rId6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1" w:history="1">
        <w:r>
          <w:rPr>
            <w:rFonts w:ascii="arial" w:eastAsia="arial" w:hAnsi="arial" w:cs="arial"/>
            <w:b/>
            <w:bCs/>
            <w:i/>
            <w:color w:val="0077CC"/>
            <w:kern w:val="32"/>
            <w:sz w:val="28"/>
            <w:szCs w:val="32"/>
            <w:u w:val="single"/>
            <w:shd w:val="clear" w:color="auto" w:fill="FFFFFF"/>
            <w:lang w:val="en-US" w:eastAsia="en-US" w:bidi="ar-SA"/>
          </w:rPr>
          <w:t>Bracken v. Vancouver (City), [2006] B.C.J. No. 165</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Martinson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January 12, 13 and 16, 2006.</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January 26, 2006.</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L051678</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[2006] B.C.J. No. 165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2006 BCSC 136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19 M.P.L.R. (4th) 288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146 A.C.W.S. (3d) 162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2006 CarswellBC 177</w:t>
      </w:r>
    </w:p>
    <w:p>
      <w:pPr>
        <w:spacing w:before="120" w:line="260" w:lineRule="atLeast"/>
        <w:rPr>
          <w:lang w:val="en-US" w:eastAsia="en-US" w:bidi="ar-SA"/>
        </w:rPr>
      </w:pPr>
      <w:r>
        <w:rPr>
          <w:rFonts w:ascii="arial" w:eastAsia="arial" w:hAnsi="arial" w:cs="arial"/>
          <w:color w:val="000000"/>
          <w:sz w:val="20"/>
          <w:lang w:val="en-US" w:eastAsia="en-US" w:bidi="ar-SA"/>
        </w:rPr>
        <w:t>Between Alexis Bracken, plaintiff, and City of Vancouver and Vancouver Parks Board,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044" style="position:absolute;z-index:25166233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5" w:name="Keywords_3"/>
      <w:bookmarkEnd w:id="25"/>
      <w:r>
        <w:rPr>
          <w:rFonts w:ascii="arial" w:eastAsia="arial" w:hAnsi="arial" w:cs="arial"/>
          <w:b/>
          <w:color w:val="000000"/>
          <w:sz w:val="20"/>
          <w:lang w:val="en-US" w:eastAsia="en-US" w:bidi="ar-SA"/>
        </w:rPr>
        <w:t xml:space="preserve">Municipal law — Actions by or against municipalities — Types of actions against municipalities — Action by Bracken against the City of Vancouver for damages resulting from personal injury caused by the City's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in maintaining the sidewalk dismissed — There was no evidence of any bad faith by the City in determining its sidewalk maintenance policy, it is not an irrational policy and it had been found by the Supreme Court of British Columbia to be reasonable.</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6" w:name="Case Summary_2"/>
            <w:bookmarkEnd w:id="26"/>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Bracken against the City of Vancouver for damages resulting from personal injury caused by the City's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maintaining the sidewalk -- Bracken fell on a Vancouver sidewalk and injured her right knee -- There was a 20 to 25 foot tall Linden tree near the location of the fall -- Bracken believed that the tree's roots pushed up the cobblestones of the sidewalk, causing a four to six inch mound upon which was an additional one quarter to one half inch rise in the stones -- She argued that the City and the Parks Board were negligent in the way they inspected and maintained the sidewalk -- Bracken put to issue the City's Engineering Technician's Manual setting out its visual inspection process -- HELD: Action dismissed -- The City was not an insurer for members of the public using sidewalks and could not be held to a standard of perfection -- There was no evidence of any bad faith by the City in determining its sidewalk maintenance policy, it is not an irrational policy and it had been found by the Supreme Court of British Columbia to be reasonable -- Bracken did not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a balance of probabilities as all of the evidence showed that the inspection procedures were followed appropriately. </w:t>
            </w:r>
            <w:r>
              <w:rPr>
                <w:lang w:val="en-US" w:eastAsia="en-US" w:bidi="ar-SA"/>
              </w:rPr>
              <w:cr/>
            </w:r>
          </w:p>
          <w:p>
            <w:pPr>
              <w:rPr>
                <w:lang w:val="en-US" w:eastAsia="en-US" w:bidi="ar-SA"/>
              </w:rPr>
            </w:pPr>
          </w:p>
        </w:tc>
      </w:tr>
    </w:tbl>
    <w:p>
      <w:pPr>
        <w:jc w:val="both"/>
        <w:rPr>
          <w:lang w:val="en-US" w:eastAsia="en-US" w:bidi="ar-SA"/>
        </w:rPr>
      </w:pPr>
      <w:bookmarkStart w:id="27" w:name="Legislation Cited_2"/>
      <w:bookmarkEnd w:id="27"/>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045" style="position:absolute;z-index:25171353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Vancouver Charter, </w:t>
      </w:r>
      <w:r>
        <w:rPr>
          <w:rFonts w:ascii="arial" w:eastAsia="arial" w:hAnsi="arial" w:cs="arial"/>
          <w:i/>
          <w:color w:val="000000"/>
          <w:sz w:val="20"/>
          <w:lang w:val="en-US" w:eastAsia="en-US" w:bidi="ar-SA"/>
        </w:rPr>
        <w:t>S.B.C. 1953, c. 55</w:t>
      </w:r>
      <w:r>
        <w:rPr>
          <w:rFonts w:ascii="arial" w:eastAsia="arial" w:hAnsi="arial" w:cs="arial"/>
          <w:color w:val="000000"/>
          <w:sz w:val="20"/>
          <w:lang w:val="en-US" w:eastAsia="en-US" w:bidi="ar-SA"/>
        </w:rPr>
        <w:t>,</w:t>
      </w:r>
      <w:r>
        <w:rPr>
          <w:lang w:val="en-US" w:eastAsia="en-US" w:bidi="ar-SA"/>
        </w:rPr>
        <w:cr/>
      </w:r>
    </w:p>
    <w:p>
      <w:pPr>
        <w:keepNext/>
        <w:spacing w:before="240" w:line="340" w:lineRule="atLeast"/>
        <w:rPr>
          <w:lang w:val="en-US" w:eastAsia="en-US" w:bidi="ar-SA"/>
        </w:rPr>
      </w:pPr>
      <w:bookmarkStart w:id="28" w:name="Counsel_3"/>
      <w:bookmarkEnd w:id="28"/>
      <w:r>
        <w:rPr>
          <w:rFonts w:ascii="arial" w:eastAsia="arial" w:hAnsi="arial" w:cs="arial"/>
          <w:b/>
          <w:color w:val="000000"/>
          <w:sz w:val="28"/>
          <w:lang w:val="en-US" w:eastAsia="en-US" w:bidi="ar-SA"/>
        </w:rPr>
        <w:t>Counsel</w:t>
      </w:r>
    </w:p>
    <w:p>
      <w:pPr>
        <w:spacing w:line="60" w:lineRule="exact"/>
        <w:rPr>
          <w:lang w:val="en-US" w:eastAsia="en-US" w:bidi="ar-SA"/>
        </w:rPr>
      </w:pPr>
      <w:r>
        <w:pict>
          <v:line id="_x0000_s1046" style="position:absolute;z-index:25176473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Appearing on her own behalf</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B.D. Jordan</w:t>
      </w:r>
      <w:r>
        <w:rPr>
          <w:lang w:val="en-US" w:eastAsia="en-US" w:bidi="ar-SA"/>
        </w:rPr>
        <w:cr/>
      </w:r>
    </w:p>
    <w:p>
      <w:pPr>
        <w:spacing w:after="240"/>
        <w:rPr>
          <w:lang w:val="en-US" w:eastAsia="en-US" w:bidi="ar-SA"/>
        </w:rPr>
      </w:pPr>
      <w:bookmarkStart w:id="29" w:name="Judgment_3"/>
      <w:bookmarkEnd w:id="29"/>
      <w:r>
        <w:pict>
          <v:line id="_x0000_s1047" style="position:absolute;z-index:251815936"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0" w:name="MARTINSON J."/>
            <w:bookmarkEnd w:id="30"/>
            <w:r>
              <w:rPr>
                <w:rFonts w:ascii="arial" w:eastAsia="arial" w:hAnsi="arial" w:cs="arial"/>
                <w:b/>
                <w:color w:val="000000"/>
                <w:sz w:val="30"/>
                <w:lang w:val="en-US" w:eastAsia="en-US" w:bidi="ar-SA"/>
              </w:rPr>
              <w:t>MARTINSON J.</w:t>
            </w:r>
          </w:p>
        </w:tc>
      </w:tr>
    </w:tbl>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OVERVIEW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Alexis Bracken fell on a Vancouver sidewalk and injured her right knee. There was a 20 to 25 feet tall Crimean Linden tree near the location of the fall. She believes that the tree's roots pushed up the cobblestones of the sidewalk, causing a four to six inch mound upon which was an additional one quarter to one half inch rise in the stones. She has sued the City of Vancouver (the "City") and the Vancouver Parks Board (the "Parks Board")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claiming damages for personal injury, punitive damages and out of pocket expenses.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City acknowledges that Mrs. Bracken fell and was injured and says the fall and injury were unfortunate. However, it says that it is not legally responsible and Mrs. Bracken has not proven, on the civil law standard of "balance of probabilities", that the City is liable.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Mrs. Bracken testified on her own behalf. In addition, she provided medical reports, an article on Linden trees, and photographs of the location of her fall and of her knee injury. In its defence the City called the City engineer responsible for the implementation of its sidewalk maintenance policy and inspection process, the City inspector who inspected the location in question both before and after Mrs. Bracken's fall, another inspector, and the City arbourist.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During the course of Mrs. Bracken's case, the City's counsel told the Court that he and Mrs. Bracken had reached an agreement as to what the amount of damages would be if the Court found the City liable. Mrs. Bracken confirmed that she had made such an agreement.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BASIS FOR MRS. BRACKEN'S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Mrs. Bracken testified that on July 8, 2003 she had disembarked a city bus and was walking past Andale's Mexican Restaurant on the north side of the 3200 block of West Broadway. The sidewalk was dry and the weather conditions were good. She was wearing sneakers (and, unfortunately, a white outfit). She noticed nothing wrong with the cobblestones and suddenly her foot caught on something and she came "crashing down." She reached for a nearby railing but missed. She landed on her right knee, aggravating a previous knee injury.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She noticed the problem with the cobblestones right after she fell, and realized that the end of her toe had caught on the half inch rise in the stones. She reported her injury to the City in a timely manner.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She argues that the City and the Parks Board were negligent in the way they inspected and maintained the sidewalk. She says that the City's Engineering Technician's Manual (the "Manual"), setting out its visual inspection process, is faulty and outdated and the policy upon which the Manual is based is faulty and outdated.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She submits that not enough time or money is used for sidewalk repair and that more than a visual inspection is appropriate. She says the use of trees, especially this type, is dangerous. She says the City knew of the problem and did not deal with it. She says that in her case the City could have done much more after her fall to inspect the area. The City employees were, she suggests, sloppy. She questions why the second inspector did not take photographs of the area in question while he took photographs of areas that had nothing to do with her case. She says they did not even bother to question the people who assisted her after her fall.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She agrees that other judges of the Supreme Court of British Columbia have found that the City's sidewalk maintenance policy is legally justified. She suggests that they are in collusion with the City:</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There appears to be a most unusual relationship between the politically appointed courts and the City of Vancouver as to carté blanche accept[ance] of their sloppy repair/inspection reports on an outdated (20 year old process) inspection procedure and further it would appear that people are being inured, expert witnesses appear for plaintiffs and still [the] Supreme Court supports their masters City of Vancouver et al. This must change. I have not only named the City of Vancouver, the additional TORTFEASOR Vancouver Parks Board (Trees) was also named and no [one] else has ever done that.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She also questions the truthfulness of the City's witnesses and the professional conduct of the City's counsel. She says that counsel inappropriately raised the issue of settlement discussions with the Court during her evidence. She suggests that a mistrial might be appropriate.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She described how her injuries, in particular her knee injury, significantly affected her life for about two years.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CITY'S DEFENCE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City says that the Vancouver Charter, </w:t>
      </w:r>
      <w:r>
        <w:rPr>
          <w:rFonts w:ascii="arial" w:eastAsia="arial" w:hAnsi="arial" w:cs="arial"/>
          <w:i/>
          <w:color w:val="000000"/>
          <w:sz w:val="20"/>
          <w:lang w:val="en-US" w:eastAsia="en-US" w:bidi="ar-SA"/>
        </w:rPr>
        <w:t>S.B.C. 1953, c. 55</w:t>
      </w:r>
      <w:r>
        <w:rPr>
          <w:rFonts w:ascii="arial" w:eastAsia="arial" w:hAnsi="arial" w:cs="arial"/>
          <w:color w:val="000000"/>
          <w:sz w:val="20"/>
          <w:lang w:val="en-US" w:eastAsia="en-US" w:bidi="ar-SA"/>
        </w:rPr>
        <w:t>, authorizes it to maintain sidewalks, but it is not required to do so. It has a policy in place based on an annual visual inspection of sidewalks, set out in the Manual, as well as a computerized complaint system. The City says that it is not an insurer for members of the public using sidewalks and cannot be held to a standard of perfection.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It argues that the Supreme Court of Canada and the British Columbia Court of Appeal have said that government agencies are entitled to make policy decisions based on budgetary and other factors and such a policy cannot be legally challenged unless it is made in bad faith. While implementation of a policy may in some cases lead to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City says that its sidewalk maintenance policy was properly implemented by way of the preparation and use of a detailed maintenance manual that is updated annually. The Manual defines "trips" to include sharp vertical differences in elevation from one stone to another and requires the noting of "trip 1" and "trip 2" defects (differences of less than approximately one inch) and the immediate repair of "trip 3" defects (differences of greater than approximately one inch). It says that while Linden trees have caused great problem with respect to insect infestation, the tree's root system is not a problem.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City inspector who conducted the sidewalk inspections of the location in question testified that there was nothing notable in the area. This inspector has 25 years experience in conducting inspections and he trains new inspectors. The other inspector who attended the location in question after Mrs. Bracken's fall saw nothing remarkable. The photographs presented by Mrs. Bracken are not helpful because photographs like the ones presented cannot show the type of problem at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City says that all of its witnesses were credible and that counsel acted appropriately.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LAW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applicable law is clear: policy decisions of the City are not reviewable by the Court unless they are made in bad faith or are so irrational that they could not constitute a proper exercise of discretion; decisions concerned with budgetary allotments are usually policy decisions; the City could be liable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its making of operational decisions - the way it carries out it policies; the manner and quality of an inspection system is part of the operational aspect of the City's activities: see Gobin (Guardian ad Litem of) v. British Columbia </w:t>
      </w:r>
      <w:hyperlink r:id="rId62" w:history="1">
        <w:r>
          <w:rPr>
            <w:rFonts w:ascii="arial" w:eastAsia="arial" w:hAnsi="arial" w:cs="arial"/>
            <w:i/>
            <w:color w:val="0077CC"/>
            <w:sz w:val="20"/>
            <w:u w:val="single"/>
            <w:shd w:val="clear" w:color="auto" w:fill="FFFFFF"/>
            <w:lang w:val="en-US" w:eastAsia="en-US" w:bidi="ar-SA"/>
          </w:rPr>
          <w:t>(2002), 214 D.L.R. (4th) 328</w:t>
        </w:r>
      </w:hyperlink>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2002 BCCA 373</w:t>
        </w:r>
      </w:hyperlink>
      <w:r>
        <w:rPr>
          <w:rFonts w:ascii="arial" w:eastAsia="arial" w:hAnsi="arial" w:cs="arial"/>
          <w:color w:val="000000"/>
          <w:sz w:val="20"/>
          <w:lang w:val="en-US" w:eastAsia="en-US" w:bidi="ar-SA"/>
        </w:rPr>
        <w:t xml:space="preserve"> and Tambeau v. Vancouver (City) </w:t>
      </w:r>
      <w:hyperlink r:id="rId63" w:history="1">
        <w:r>
          <w:rPr>
            <w:rFonts w:ascii="arial" w:eastAsia="arial" w:hAnsi="arial" w:cs="arial"/>
            <w:i/>
            <w:color w:val="0077CC"/>
            <w:sz w:val="20"/>
            <w:u w:val="single"/>
            <w:shd w:val="clear" w:color="auto" w:fill="FFFFFF"/>
            <w:lang w:val="en-US" w:eastAsia="en-US" w:bidi="ar-SA"/>
          </w:rPr>
          <w:t>(2001), 20 M.P.L.R. (3d) 195</w:t>
        </w:r>
      </w:hyperlink>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2001 BCSC 651</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reasonableness of the City's sidewalk inspection policy has consistently been upheld by the Courts: see Lysack v. Burrard Motor Inn </w:t>
      </w:r>
      <w:hyperlink r:id="rId64" w:history="1">
        <w:r>
          <w:rPr>
            <w:rFonts w:ascii="arial" w:eastAsia="arial" w:hAnsi="arial" w:cs="arial"/>
            <w:i/>
            <w:color w:val="0077CC"/>
            <w:sz w:val="20"/>
            <w:u w:val="single"/>
            <w:shd w:val="clear" w:color="auto" w:fill="FFFFFF"/>
            <w:lang w:val="en-US" w:eastAsia="en-US" w:bidi="ar-SA"/>
          </w:rPr>
          <w:t>(1991), 58 B.C.L.R. (2d) 33</w:t>
        </w:r>
      </w:hyperlink>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2 B.C.A.C. 216</w:t>
        </w:r>
      </w:hyperlink>
      <w:r>
        <w:rPr>
          <w:rFonts w:ascii="arial" w:eastAsia="arial" w:hAnsi="arial" w:cs="arial"/>
          <w:color w:val="000000"/>
          <w:sz w:val="20"/>
          <w:lang w:val="en-US" w:eastAsia="en-US" w:bidi="ar-SA"/>
        </w:rPr>
        <w:t xml:space="preserve">, leave to appeal to S.C.C. refused, </w:t>
      </w:r>
      <w:hyperlink r:id="rId66" w:history="1">
        <w:r>
          <w:rPr>
            <w:rFonts w:ascii="arial" w:eastAsia="arial" w:hAnsi="arial" w:cs="arial"/>
            <w:i/>
            <w:color w:val="0077CC"/>
            <w:sz w:val="20"/>
            <w:u w:val="single"/>
            <w:shd w:val="clear" w:color="auto" w:fill="FFFFFF"/>
            <w:lang w:val="en-US" w:eastAsia="en-US" w:bidi="ar-SA"/>
          </w:rPr>
          <w:t>[1991] S.C.C.A. No. 432</w:t>
        </w:r>
      </w:hyperlink>
      <w:r>
        <w:rPr>
          <w:rFonts w:ascii="arial" w:eastAsia="arial" w:hAnsi="arial" w:cs="arial"/>
          <w:color w:val="000000"/>
          <w:sz w:val="20"/>
          <w:lang w:val="en-US" w:eastAsia="en-US" w:bidi="ar-SA"/>
        </w:rPr>
        <w:t xml:space="preserve">; Wilson v. Vancouver (City) (15 July 1998), Vancouver C963142 (B.C.S.C.); Tambeau; and, Hugh v. Vancouver (City), </w:t>
      </w:r>
      <w:hyperlink r:id="rId67" w:history="1">
        <w:r>
          <w:rPr>
            <w:rFonts w:ascii="arial" w:eastAsia="arial" w:hAnsi="arial" w:cs="arial"/>
            <w:i/>
            <w:color w:val="0077CC"/>
            <w:sz w:val="20"/>
            <w:u w:val="single"/>
            <w:shd w:val="clear" w:color="auto" w:fill="FFFFFF"/>
            <w:lang w:val="en-US" w:eastAsia="en-US" w:bidi="ar-SA"/>
          </w:rPr>
          <w:t>[1981] 5 W.W.R. 250</w:t>
        </w:r>
      </w:hyperlink>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126 D.L.R. (3d) 527</w:t>
        </w:r>
      </w:hyperlink>
      <w:r>
        <w:rPr>
          <w:rFonts w:ascii="arial" w:eastAsia="arial" w:hAnsi="arial" w:cs="arial"/>
          <w:color w:val="000000"/>
          <w:sz w:val="20"/>
          <w:lang w:val="en-US" w:eastAsia="en-US" w:bidi="ar-SA"/>
        </w:rPr>
        <w:t xml:space="preserve"> (B.C.S.C.).</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DECISION IN THIS CASE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have considered all of the evidence and arguments.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Mrs. Bracken's fall was unfortunate. However, legal responsibility does not attach to every accident. I agree with the City that it is not an insurer for members of the public using sidewalks and cannot be held to a standard of perfection.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Mrs. Bracken is entitled to her opinion about the appropriateness of the City's sidewalk maintenance policy. However, the law provides that in the absence of evidence of bad faith or evidence that the policy is irrational, the policy cannot be legally challenged. There is no evidence of any bad faith by the City in determining its sidewalk maintenance policy. It is not an irrational policy. The policy has been found by the Supreme Court of British Columbia to be reasonable.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question in this case, therefore, is whether Mrs. Bracken has proven that the City was negligent in carrying out its sidewalk inspection procedures. I am not satisfied that she has proven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a balance of probabilities. All of the evidence shows that the inspection procedures were followed. The Manual is updated annually. The inspection records show that the location in question was inspected annually and that no "trip 3" defects were found. Nor were there any other problems of concern. The inspector, Mr. Mew, is very well qualified and I accept his evidence that he conducted the inspection in accordance with the Manual.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is no record of a repair being required or done. Both the engineer and the inspector recently saw the location in question, saw nothing notable, and could not see any signs of repair. Mrs. Bracken does not say that there was a "trip 3" defect or any other defect that would require immediate repair. I accept the evidence of the City arbourist that a Linden tree does not characteristically cause the kind of damage alleged here. There is no evidence that the City knew of a problem at this location and did nothing. The record of complaints the City did receive shows that there were no other complaints at the location of Mrs. Bracken's fall.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There is absolutely no foundation to the allegations that the City's witnesses were untruthful. There is absolutely no foundation to the allegations that the City's counsel acted inappropriately. He properly advised the Court that he and Mrs. Bracken reached an agreement as to what damages would result if the City were found liable. As noted at the outset, Mrs. Bracken confirmed that they had reached such an agreement.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is no basis upon which to declare a mistrial.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claim against the City is dismissed. As it is the City, not the Parks Board, which is responsible for sidewalk maintenance, the claim against the Parks Board is also dismissed.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Normally Mrs. Bracken would be required to pay costs of the claim. The City has advised the Court that it is not asking for costs.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MARTINSON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8"/>
          <w:headerReference w:type="default" r:id="rId69"/>
          <w:footerReference w:type="even" r:id="rId70"/>
          <w:footerReference w:type="default" r:id="rId71"/>
          <w:headerReference w:type="first" r:id="rId72"/>
          <w:footerReference w:type="first" r:id="rId7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4" w:history="1">
        <w:r>
          <w:rPr>
            <w:rFonts w:ascii="arial" w:eastAsia="arial" w:hAnsi="arial" w:cs="arial"/>
            <w:b/>
            <w:bCs/>
            <w:i/>
            <w:color w:val="0077CC"/>
            <w:kern w:val="32"/>
            <w:sz w:val="28"/>
            <w:szCs w:val="32"/>
            <w:u w:val="single"/>
            <w:shd w:val="clear" w:color="auto" w:fill="FFFFFF"/>
            <w:lang w:val="en-US" w:eastAsia="en-US" w:bidi="ar-SA"/>
          </w:rPr>
          <w:t>Carlsen v. Southerland, [2008] B.C.J. No. 2512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P.W. Walker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15-19 and December 12,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22,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01-0349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2512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1772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Koren Carlsen, Plaintiff, and Stephen Southerland,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9"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 w:name="Keywords_4"/>
      <w:bookmarkEnd w:id="31"/>
      <w:r>
        <w:rPr>
          <w:rFonts w:ascii="arial" w:eastAsia="arial" w:hAnsi="arial" w:cs="arial"/>
          <w:b/>
          <w:color w:val="000000"/>
          <w:sz w:val="20"/>
          <w:lang w:val="en-US" w:eastAsia="en-US" w:bidi="ar-SA"/>
        </w:rPr>
        <w:t xml:space="preserve">Health law — Health care professionals — Liability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Specialists — Standard of care — Defendant surgeon found negligent in the manner in which he carried out the plaintiff's surgery and in providing post-surgical care in this case where damages were previously agreed upon — The defendant did not know where the tip of his instrument was located nor how far it was positioned, yet took a bite with the rongeur without first attempting to determine if it was safe to do so — His failure to prepare the operative report immediately after the surgery suggested either an indifference towards his patient, or a concern to deal with the backlog of patients waiting to see him that day, or carelessness.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Self-governing professions — Duties — Duty of care — Standard of care — Liability — Professions — Health care — Doctors — Surgeons — Defendant surgeon found negligent in the manner in which he carried out the plaintiff's surgery and in providing post-surgical care in this case where damages were previously agreed upon — The defendant did not know where the tip of his instrument was located nor how far it was positioned, yet took a bite with the rongeur without first attempting to determine if it was safe to do so — His failure to prepare the operative report immediately after the surgery suggested either an indifference towards his patient, or a concern to deal with the backlog of patients waiting to see him that day, or carelessness.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and standard of care — Standard of care — Evidence and proof — Defendant surgeon found negligent in the manner in which he carried out the plaintiff's surgery and in providing post-surgical care in this case where damages were previously agreed upon — The defendant did not know where the tip of his instrument was located nor how far it was positioned, yet took a bite with the rongeur without first attempting to determine if it was safe to do so — His failure to prepare the operative report immediately after the surgery suggested either an indifference towards his patient, or a concern to deal with the backlog of patients waiting to see him that day, or carelessness.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2" w:name="Case Summary_3"/>
            <w:bookmarkEnd w:id="3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Medical malpractice action where damages were agreed upon and liability remained as the only issue. The plaintiff alleged the defendant orthopaedic surgeon was negligent in the performance of a disectomy, either during surgery or in respect of post-surgical care. The purpose of the surgery was to carry out a disectomy to the plaintiff's lumbar spine at L4-5 and a right L-5 root decompression. During the surgery, the defendant injured the artery and vein sitting anterior to L4-5 and the plaintiff nearly died to loss of blood. The defendant argued this was a case of surgical misadventure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his post-operative conduct and care were appropriate in the circumstances. The plaintiff was couch and bed-bound for approximately one year, and even 10 years later faced the prospect of further surgery to repair a graft to the artery that was not holding.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3" w:name="Holdings of Court_2"/>
            <w:bookmarkEnd w:id="33"/>
            <w:r>
              <w:rPr>
                <w:rFonts w:ascii="arial" w:eastAsia="arial" w:hAnsi="arial" w:cs="arial"/>
                <w:color w:val="000000"/>
                <w:sz w:val="20"/>
                <w:lang w:val="en-US" w:eastAsia="en-US" w:bidi="ar-SA"/>
              </w:rPr>
              <w:t>HELD: Defendant doctor found negligent both in terms of the manner in which he carried out the surgery and in respect of provision of post-surgical care.</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clearly established that the surgeon was required to take very great care in carrying out the surgery. The court found: the defendant was aware he had placed the rongeur in a position that was unusually anterior after having removed most of the material from the disc space; that he did not know where the tip of his instrument was located nor how far his instrument was positioned, yet took a bite with the rongeur without first attempting to determine if it was safe to do so; after taking that bite he observed a rush or gush of bright red arterial blood into the disc space, which was a different location than where he had previously observed the epidural blood; he was guessing when he suggested there was a tissue abnormality; etc. The defendant was negligent in the manner in which he carried out the surgery. His retrospective notion of tissue abnormality was wishful conjecture. He neither notified the PAR staff of what might have occurred nor instructed them to monitor for possible injury. The fact that he did not prepare the operative report immediately after the surgery suggested either an indifference towards his patient, or a concern to deal with the backlog of patients waiting to see him that day, or carelessness. Plaintiff awarded costs on Scale B.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4" w:name="Counsel_4"/>
      <w:bookmarkEnd w:id="3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0"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M. Velletta, G. Rhone.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D. Pilley.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5" w:name="Judgment_4"/>
      <w:bookmarkEnd w:id="35"/>
      <w:r>
        <w:pict>
          <v:line id="_x0000_s1051" style="position:absolute;z-index:251765760" from="0,12pt" to="512pt,12pt" strokecolor="#009ddb" strokeweight="1.5pt">
            <v:stroke linestyle="single"/>
          </v:line>
        </w:pic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January 30, 2009; the correction has been made and the corrigendum is appended to this document.]</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6" w:name="P.W. WALKER J."/>
            <w:bookmarkEnd w:id="36"/>
            <w:r>
              <w:rPr>
                <w:rFonts w:ascii="arial" w:eastAsia="arial" w:hAnsi="arial" w:cs="arial"/>
                <w:b/>
                <w:color w:val="000000"/>
                <w:sz w:val="30"/>
                <w:lang w:val="en-US" w:eastAsia="en-US" w:bidi="ar-SA"/>
              </w:rPr>
              <w:t>P.W. WALKER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case involves what has been described in the evidence as a routine disectomy that went terribly wrong. The question is whether there was a breach of the standard of care on the part of the orthopaedic surgeon, the defendant, Dr. Stephen Southerland, during surgery or in respect of post-surgical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evidence at trial concerned only the issue of liability as damages have been agreed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Koren Frances Carlsen, underwent surgery ("the Surgery") at Victoria General Hospital, Victoria, British Columbia ("Victoria General") on January 28, 1999. The purpose of the Surgery was to carry out a disectomy to her lumbar spine at L4-5, together with a right L-5 root decompression.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During the course of the Surgery, Dr. Southerland injured the artery and vein sitting anterior to L4-5. The plaintiff nearly died due to loss of blood. Although a rare event, the evidence at trial confirmed that the consequences of this injury, which is a known risk of a disectomy, can be catastrophic with mortality rates at approximately fifty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Ms. Carlsen says that Dr. Southerland was negligent in two respects: the manner in which he carried out the Surgery and in failing to provide appropriate and adequate post-operative care. In his defence, Dr. Southerland asserts that this was a case of surgical misadventure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his post-operative conduct and care were appropriate in all of the circumstances of the case. Further, he says the fact that his surgical instrument, in this case a pituitary rongeur, moved beyond the anterior aspect of the disc, resulting in Dr. Southerland inadvertently taking a "bite" out of the artery and lacerating the vein during surgery, does not mean he was in breach of the applicable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Carlsen was 29 years old and a single mother at the time of the Surgery. She was studying at Sprott-Shaw Community College hoping to become a registered or licensed practical nurse. She worked as a nurse's aide at Sandringham Hospital in Victoria, B.C. She gave her evidence in a candid and forthright manner without overstatement. I was impressed with her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Dr. Southerland had, approximately one year prior to the surgery, performed back surgery on Ms. Carlsen to relieve problems associated with sciatic nerve pain extending down her right leg. Dr. Southerland recommended that the disectomy be carried out due to her ongoing pain down her left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risk of injuring an artery or vein was not explained to Ms. Carlsen due to the rarity of such an event. Informed consent is not in issue in this case in view of Ms. Carlsen's admission that she would have proceeded with the surgery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Carlsen described waking up in the hospital recovery room and then screaming due to severe pain in her left leg. She lost consciousness and then awoke again with pain in that leg and a tube placed down her throat. It was at that point that Dr. Southerland told her that she had almost died as he had cut an artery and injured a vein during surgery. She described being in horrible pain despite being administered a great deal of morphine. Ms. Carlsen was ultimately transferred to Gorge Road Hospital, where she remained for approximately two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Carlsen continues to suffer from the effects of that injury. She has had two subsequent surgical procedures to repair the damage to the artery. She was couch and bed bound for approximately one year, taking neurontin, blood thinners, and anti-depressants. Now, some ten years later, she faces the prospect of further surgery in order to repair a graft to the artery that is not holding.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Carlsen's life is no longer the same as it was prior to the surgery. She suffers from ongoing pain and discomfort, limitation of movement, and depression, for which she takes several medications. For example:</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forced to give up custody of her daughter since she was unable to care for her;</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lost the "baby" toe of her left foot resulting in problems with balance and walking; another toe may be amputated;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had to give up her studies as well as her job as a nurse's aide;</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is not able to participate in sports, such as baseball and most outdoor activities; cannot carry out any form of active housework, such as vacuuming; and is limited in her physical movements, such as bending;</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is in constant pain and discomfort despite taking daily pain medication such as neurontin;</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walking is difficult; her left leg is constantly irritated by touch which often becomes unbearable;</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relies on her friends to help her with housework;</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works part time, for minimum wage, at a "dollar store" where she sits on a stool since she is unable to stand for long periods of time;</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been hospitalized several times since the surgery owing to problems with an arterial graft; and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blood circulation difficulties have led to permanent discolouration in at least two toes which are at risk of amputation. She described her left leg as feeling like a "block of ice" even ten years after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As well, Ms. Carlsen is at risk for further surgery to fix the graft on her artery as well as blood clotting that could result in the loss of her left foot and leg or injury to her heart, lungs, or brain from a migrating clot.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 Southerland is an orthopaedic surgeon. He obtained his medical degree from the University of British Columbia in 1988. From there, he gained experience in orthopaedic surgery through hospital residency programs at the University of Toronto, in Saskatchewan, in London (Ontario), and at Massachusetts General Hospital in Boston. The residency program in London was devoted to spinal patients with disc problems, abnormalities, and tumours.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Southerland joined the surgical staff at Victoria General on a full-time basis in 1977. He remained there until March, 2002, when he moved to Vancouver, Washington State where he currently works specializing in hip and knee reconstructions in the field of sports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While at Victoria General, Dr. Southerland worked as a "general" orthopaedic surgeon, dividing his practice into two areas: the spine and sports medicine (focusing on hip and knee reconstruction surgery). He had performed approximately 300 disectomies by January 28, 1999, and has subsequently performed another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applicable case law is well known and straight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It is important to remember that a devastating result from surgery does not, in itself, mean that the surgeon was negligent. Here, the parties are in agreement that a bad outcome from surgery does not on its own require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 surgery has risks. Surgical misadventure is not in and of itself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Nor should a surgeon be held liable for errors of judgment: </w:t>
      </w:r>
      <w:r>
        <w:rPr>
          <w:rFonts w:ascii="arial" w:eastAsia="arial" w:hAnsi="arial" w:cs="arial"/>
          <w:b/>
          <w:i/>
          <w:color w:val="000000"/>
          <w:sz w:val="20"/>
          <w:lang w:val="en-US" w:eastAsia="en-US" w:bidi="ar-SA"/>
        </w:rPr>
        <w:t>Hassen v. Anvari</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[2003] O.J. No. 3543</w:t>
        </w:r>
      </w:hyperlink>
      <w:r>
        <w:rPr>
          <w:rFonts w:ascii="arial" w:eastAsia="arial" w:hAnsi="arial" w:cs="arial"/>
          <w:color w:val="000000"/>
          <w:sz w:val="20"/>
          <w:lang w:val="en-US" w:eastAsia="en-US" w:bidi="ar-SA"/>
        </w:rPr>
        <w:t xml:space="preserve"> (C.A.), leave to appeal to S.C.C. ref'd, </w:t>
      </w:r>
      <w:hyperlink r:id="rId76" w:history="1">
        <w:r>
          <w:rPr>
            <w:rFonts w:ascii="arial" w:eastAsia="arial" w:hAnsi="arial" w:cs="arial"/>
            <w:i/>
            <w:color w:val="0077CC"/>
            <w:sz w:val="20"/>
            <w:u w:val="single"/>
            <w:shd w:val="clear" w:color="auto" w:fill="FFFFFF"/>
            <w:lang w:val="en-US" w:eastAsia="en-US" w:bidi="ar-SA"/>
          </w:rPr>
          <w:t>[2003] S.C.C.A. No. 490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Carlsen v. Southerland</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2006 BCCA 214</w:t>
        </w:r>
      </w:hyperlink>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53 B.C.L.R. (4th) 35</w:t>
        </w:r>
      </w:hyperlink>
      <w:r>
        <w:rPr>
          <w:rFonts w:ascii="arial" w:eastAsia="arial" w:hAnsi="arial" w:cs="arial"/>
          <w:color w:val="000000"/>
          <w:sz w:val="20"/>
          <w:lang w:val="en-US" w:eastAsia="en-US" w:bidi="ar-SA"/>
        </w:rPr>
        <w:t xml:space="preserve"> at paras. 11-13; and </w:t>
      </w:r>
      <w:r>
        <w:rPr>
          <w:rFonts w:ascii="arial" w:eastAsia="arial" w:hAnsi="arial" w:cs="arial"/>
          <w:b/>
          <w:i/>
          <w:color w:val="000000"/>
          <w:sz w:val="20"/>
          <w:lang w:val="en-US" w:eastAsia="en-US" w:bidi="ar-SA"/>
        </w:rPr>
        <w:t>Roe v. Ministry of Health</w:t>
      </w:r>
      <w:r>
        <w:rPr>
          <w:rFonts w:ascii="arial" w:eastAsia="arial" w:hAnsi="arial" w:cs="arial"/>
          <w:color w:val="000000"/>
          <w:sz w:val="20"/>
          <w:lang w:val="en-US" w:eastAsia="en-US" w:bidi="ar-SA"/>
        </w:rPr>
        <w:t>, [1954] 2 All E.R. 131 at 139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court must consider the totality of the evidence, including circumstantial evidence, to determine if there has been a breach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To succeed in this action, Ms. Carlsen must establish, on a balance of probabilities, that Dr. Southerland failed to meet the standard of care of an ordinary, competent, orthopaedic surgeon in the same circumstances: </w:t>
      </w:r>
      <w:r>
        <w:rPr>
          <w:rFonts w:ascii="arial" w:eastAsia="arial" w:hAnsi="arial" w:cs="arial"/>
          <w:b/>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127 D.L.R. (4th) 577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Wilson v. Swanson</w:t>
      </w:r>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xml:space="preserve"> at 812 and 817, </w:t>
      </w:r>
      <w:hyperlink r:id="rId79" w:history="1">
        <w:r>
          <w:rPr>
            <w:rFonts w:ascii="arial" w:eastAsia="arial" w:hAnsi="arial" w:cs="arial"/>
            <w:i/>
            <w:color w:val="0077CC"/>
            <w:sz w:val="20"/>
            <w:u w:val="single"/>
            <w:shd w:val="clear" w:color="auto" w:fill="FFFFFF"/>
            <w:lang w:val="en-US" w:eastAsia="en-US" w:bidi="ar-SA"/>
          </w:rPr>
          <w:t>5 D.L.R. (2d) 113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standard of care required of a specialist is higher than that of a general practitioner. The more complex the procedure, the greater the expertise of the physician required; the higher risk to the patient, particularly if it is life threatening, means a higher standard of care to which the physician will be held: </w:t>
      </w:r>
      <w:r>
        <w:rPr>
          <w:rFonts w:ascii="arial" w:eastAsia="arial" w:hAnsi="arial" w:cs="arial"/>
          <w:b/>
          <w:i/>
          <w:color w:val="000000"/>
          <w:sz w:val="20"/>
          <w:lang w:val="en-US" w:eastAsia="en-US" w:bidi="ar-SA"/>
        </w:rPr>
        <w:t>Brics v. Stroz</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[2002] O.J. No. 1089</w:t>
        </w:r>
      </w:hyperlink>
      <w:r>
        <w:rPr>
          <w:rFonts w:ascii="arial" w:eastAsia="arial" w:hAnsi="arial" w:cs="arial"/>
          <w:color w:val="000000"/>
          <w:sz w:val="20"/>
          <w:lang w:val="en-US" w:eastAsia="en-US" w:bidi="ar-SA"/>
        </w:rPr>
        <w:t xml:space="preserve"> at para. 74 (S.C.J.).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Chubey v. Ahsan</w:t>
      </w:r>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(1976), 71 D.L.R. (3d) 550</w:t>
        </w:r>
      </w:hyperlink>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[1976] 3 W.W.R. 367</w:t>
        </w:r>
      </w:hyperlink>
      <w:r>
        <w:rPr>
          <w:rFonts w:ascii="arial" w:eastAsia="arial" w:hAnsi="arial" w:cs="arial"/>
          <w:color w:val="000000"/>
          <w:sz w:val="20"/>
          <w:lang w:val="en-US" w:eastAsia="en-US" w:bidi="ar-SA"/>
        </w:rPr>
        <w:t xml:space="preserve"> (Man. C.A.) [cited to D.L.R.], the Manitoba Court of Appeal considered a case involving a vascular injury which arose during an L4-5 disectomy. The majority said that in avoiding the risk of damage to the blood vessels, a surgeon relies on judgment, experience, and skilful touch. In his analysis, Hall J.A. posed the following question at 557: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is it valid to conclude that because the blood vessels were injured in this case, that indicates a departure from the standard of care reasonably to be expected of a competent orthopaedic surgeon? On the other side of the coin, because this is one of the rare occasions that adverse consequences resulted, was it a surgical accident that will inevitably occur despite the fact that all precautions are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Kapur v. Marshall</w:t>
      </w:r>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(1978), 85 D.L.R. (3d) 566</w:t>
        </w:r>
      </w:hyperlink>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19 O.R. (2d) 478</w:t>
        </w:r>
      </w:hyperlink>
      <w:r>
        <w:rPr>
          <w:rFonts w:ascii="arial" w:eastAsia="arial" w:hAnsi="arial" w:cs="arial"/>
          <w:color w:val="000000"/>
          <w:sz w:val="20"/>
          <w:lang w:val="en-US" w:eastAsia="en-US" w:bidi="ar-SA"/>
        </w:rPr>
        <w:t xml:space="preserve"> (H.C.J.) [cited to D.L.R.], a patient underwent spinal disc surgery performed by the defendant neurosurgeon. An artery was lacerated during the surgery; the patient haemorrhaged and died. The action brought by the widow was dismissed on the basis that the defendant had conducted the surgery in accordance with the standard of care. Robins, J. said, at 573: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 accident happened in this case, when it so rarely does happen, does not compel, as in effect was argued,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 unfavourable result is not synonymous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 surgeon is not an insurer. He undertakes only to provide the standard of skill and care possessed generally by others practising in his field in similar circumstances. I am satisfied on the evidence before me that Dr. Marshall performed the operation in conformity with the recognized practice followed by surgeons in his field. I can find no departure from that practice or want of care on his part which caused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Similar remarks have been made in medical malpractice cases involving other surgical procedures: </w:t>
      </w:r>
      <w:r>
        <w:rPr>
          <w:rFonts w:ascii="arial" w:eastAsia="arial" w:hAnsi="arial" w:cs="arial"/>
          <w:b/>
          <w:i/>
          <w:color w:val="000000"/>
          <w:sz w:val="20"/>
          <w:lang w:val="en-US" w:eastAsia="en-US" w:bidi="ar-SA"/>
        </w:rPr>
        <w:t>Patterson v. De La Bastide</w:t>
      </w:r>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[1983] O.J. No. 493</w:t>
        </w:r>
      </w:hyperlink>
      <w:r>
        <w:rPr>
          <w:rFonts w:ascii="arial" w:eastAsia="arial" w:hAnsi="arial" w:cs="arial"/>
          <w:color w:val="000000"/>
          <w:sz w:val="20"/>
          <w:lang w:val="en-US" w:eastAsia="en-US" w:bidi="ar-SA"/>
        </w:rPr>
        <w:t xml:space="preserve"> (H.C.J.); </w:t>
      </w:r>
      <w:r>
        <w:rPr>
          <w:rFonts w:ascii="arial" w:eastAsia="arial" w:hAnsi="arial" w:cs="arial"/>
          <w:b/>
          <w:i/>
          <w:color w:val="000000"/>
          <w:sz w:val="20"/>
          <w:lang w:val="en-US" w:eastAsia="en-US" w:bidi="ar-SA"/>
        </w:rPr>
        <w:t>Comeau v. Fenzl,</w:t>
      </w:r>
      <w:r>
        <w:rPr>
          <w:rFonts w:ascii="arial" w:eastAsia="arial" w:hAnsi="arial" w:cs="arial"/>
          <w:color w:val="000000"/>
          <w:sz w:val="20"/>
          <w:lang w:val="en-US" w:eastAsia="en-US" w:bidi="ar-SA"/>
        </w:rPr>
        <w:t xml:space="preserve"> </w:t>
      </w:r>
      <w:hyperlink r:id="rId84" w:history="1">
        <w:r>
          <w:rPr>
            <w:rFonts w:ascii="arial" w:eastAsia="arial" w:hAnsi="arial" w:cs="arial"/>
            <w:i/>
            <w:color w:val="0077CC"/>
            <w:sz w:val="20"/>
            <w:u w:val="single"/>
            <w:shd w:val="clear" w:color="auto" w:fill="FFFFFF"/>
            <w:lang w:val="en-US" w:eastAsia="en-US" w:bidi="ar-SA"/>
          </w:rPr>
          <w:t>[2000] N.B.J. No. 254</w:t>
        </w:r>
      </w:hyperlink>
      <w:r>
        <w:rPr>
          <w:rFonts w:ascii="arial" w:eastAsia="arial" w:hAnsi="arial" w:cs="arial"/>
          <w:color w:val="000000"/>
          <w:sz w:val="20"/>
          <w:lang w:val="en-US" w:eastAsia="en-US" w:bidi="ar-SA"/>
        </w:rPr>
        <w:t xml:space="preserve"> (Q.B.); </w:t>
      </w:r>
      <w:r>
        <w:rPr>
          <w:rFonts w:ascii="arial" w:eastAsia="arial" w:hAnsi="arial" w:cs="arial"/>
          <w:b/>
          <w:i/>
          <w:color w:val="000000"/>
          <w:sz w:val="20"/>
          <w:lang w:val="en-US" w:eastAsia="en-US" w:bidi="ar-SA"/>
        </w:rPr>
        <w:t>Brics</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Brock v. Anderson</w:t>
      </w:r>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2003 BCSC 1359</w:t>
        </w:r>
      </w:hyperlink>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20 C.C.L.T. (3d) 70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Evidence showing a breach of the standard of care, including the exercise of unreasonable care during the course of surgery, must be taken from the totality of the evidence, especially circumstantial evidence where the surgeon is unable to explain the cause of the injury. Failing to see what "was there to be seen" causing injury to an adjacent structure is "not a matter properly within the clinical judgment of a [surgeon] acting reasonably ...": </w:t>
      </w:r>
      <w:r>
        <w:rPr>
          <w:rFonts w:ascii="arial" w:eastAsia="arial" w:hAnsi="arial" w:cs="arial"/>
          <w:b/>
          <w:i/>
          <w:color w:val="000000"/>
          <w:sz w:val="20"/>
          <w:lang w:val="en-US" w:eastAsia="en-US" w:bidi="ar-SA"/>
        </w:rPr>
        <w:t>Lewis v. Joutsi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[1995] O.J. No. 2076</w:t>
      </w:r>
      <w:r>
        <w:rPr>
          <w:rFonts w:ascii="arial" w:eastAsia="arial" w:hAnsi="arial" w:cs="arial"/>
          <w:color w:val="000000"/>
          <w:sz w:val="20"/>
          <w:lang w:val="en-US" w:eastAsia="en-US" w:bidi="ar-SA"/>
        </w:rPr>
        <w:t xml:space="preserve"> at para. 22 (C.J.).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For example, misuse of force and miscalculation of direction or location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Miles v. Judges</w:t>
      </w:r>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(1997), 37 C.C.L.T. (2d) 160</w:t>
        </w:r>
      </w:hyperlink>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[1997] O.J. No. 2458</w:t>
        </w:r>
      </w:hyperlink>
      <w:r>
        <w:rPr>
          <w:rFonts w:ascii="arial" w:eastAsia="arial" w:hAnsi="arial" w:cs="arial"/>
          <w:color w:val="000000"/>
          <w:sz w:val="20"/>
          <w:lang w:val="en-US" w:eastAsia="en-US" w:bidi="ar-SA"/>
        </w:rPr>
        <w:t xml:space="preserve"> at para. 68 (C.J.). Improper insertion of a sharp surgical instrument indicates a lack of reasonable care: </w:t>
      </w:r>
      <w:r>
        <w:rPr>
          <w:rFonts w:ascii="arial" w:eastAsia="arial" w:hAnsi="arial" w:cs="arial"/>
          <w:b/>
          <w:i/>
          <w:color w:val="000000"/>
          <w:sz w:val="20"/>
          <w:lang w:val="en-US" w:eastAsia="en-US" w:bidi="ar-SA"/>
        </w:rPr>
        <w:t>McCabe v. Lomax</w:t>
      </w:r>
      <w:r>
        <w:rPr>
          <w:rFonts w:ascii="arial" w:eastAsia="arial" w:hAnsi="arial" w:cs="arial"/>
          <w:color w:val="000000"/>
          <w:sz w:val="20"/>
          <w:lang w:val="en-US" w:eastAsia="en-US" w:bidi="ar-SA"/>
        </w:rPr>
        <w:t xml:space="preserve">, </w:t>
      </w:r>
      <w:hyperlink r:id="rId87" w:history="1">
        <w:r>
          <w:rPr>
            <w:rFonts w:ascii="arial" w:eastAsia="arial" w:hAnsi="arial" w:cs="arial"/>
            <w:i/>
            <w:color w:val="0077CC"/>
            <w:sz w:val="20"/>
            <w:u w:val="single"/>
            <w:shd w:val="clear" w:color="auto" w:fill="FFFFFF"/>
            <w:lang w:val="en-US" w:eastAsia="en-US" w:bidi="ar-SA"/>
          </w:rPr>
          <w:t>[1994] O.J. No. 70</w:t>
        </w:r>
      </w:hyperlink>
      <w:r>
        <w:rPr>
          <w:rFonts w:ascii="arial" w:eastAsia="arial" w:hAnsi="arial" w:cs="arial"/>
          <w:color w:val="000000"/>
          <w:sz w:val="20"/>
          <w:lang w:val="en-US" w:eastAsia="en-US" w:bidi="ar-SA"/>
        </w:rPr>
        <w:t xml:space="preserve"> at paras. 23 and 29 (C.J.). So does failing to properly scrutinize the surgical field or to determine the source of bleeding: </w:t>
      </w:r>
      <w:r>
        <w:rPr>
          <w:rFonts w:ascii="arial" w:eastAsia="arial" w:hAnsi="arial" w:cs="arial"/>
          <w:b/>
          <w:i/>
          <w:color w:val="000000"/>
          <w:sz w:val="20"/>
          <w:lang w:val="en-US" w:eastAsia="en-US" w:bidi="ar-SA"/>
        </w:rPr>
        <w:t>McCabe</w:t>
      </w:r>
      <w:r>
        <w:rPr>
          <w:rFonts w:ascii="arial" w:eastAsia="arial" w:hAnsi="arial" w:cs="arial"/>
          <w:color w:val="000000"/>
          <w:sz w:val="20"/>
          <w:lang w:val="en-US" w:eastAsia="en-US" w:bidi="ar-SA"/>
        </w:rPr>
        <w:t xml:space="preserve"> at para. 23 and </w:t>
      </w:r>
      <w:r>
        <w:rPr>
          <w:rFonts w:ascii="arial" w:eastAsia="arial" w:hAnsi="arial" w:cs="arial"/>
          <w:b/>
          <w:i/>
          <w:color w:val="000000"/>
          <w:sz w:val="20"/>
          <w:lang w:val="en-US" w:eastAsia="en-US" w:bidi="ar-SA"/>
        </w:rPr>
        <w:t>Miles</w:t>
      </w:r>
      <w:r>
        <w:rPr>
          <w:rFonts w:ascii="arial" w:eastAsia="arial" w:hAnsi="arial" w:cs="arial"/>
          <w:color w:val="000000"/>
          <w:sz w:val="20"/>
          <w:lang w:val="en-US" w:eastAsia="en-US" w:bidi="ar-SA"/>
        </w:rPr>
        <w:t xml:space="preserve"> at paras. 70-72.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Nature of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nature of the surgery as well as the appropriate surgical technique was described by two medical doctors with expertise in orthopaedic surgery. Dr. Aitken was tendered on behalf of Ms. Carlsen and Dr. Dvorak on behalf of Dr. Southerland.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Aitken is currently a non-practising orthopaedic surgeon. He obtained his medical degree in Scotland in 1969, moved to Vancouver in 1970 where he trained in the UBC medical training programs at Shaughnessy and St. Paul's Hospitals, and received his specialist fellowship in 1974. His orthopaedic surgical practice was general in nature and included disectomies. He eventually became involved with the executive of the B.C. Medical Association and assumed the position of its Provincial Chair of the Section for Orthopaedics. Eventually, Dr. Aitken became so busy in non-surgical aspects of medical practice that he was not able to provide emergency care. He brought in a surgeon to assist him on a half-time basis, and ultimately, he retired from active practice in 1992. Since then, Dr. Aitken has provided consulting services to the bar, for both plaintiffs and defendants. He has attended continuing education courses as part of his efforts to remain current.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Dvorak is an orthopaedic spinal surgeon and the Medical Director of the Combined Neurosurgical and Orthopaedic Spine program and Head of the Division of Spine, Department of Orthopaedics at the University of British Columbia. He completed his residency in orthopaedic surgery at that university and passed the Royal College Fellowship examinations in his chosen field in 1990. He has since completed speciality training in adult spine surgery and currently restricts his practice to the management of spine disorders. Unlike Dr. Aitken who ceased practising in 1992, Dr. Dvorak continues to perform surgery on adult spines on a regular basis. While performing them more often in his earlier years of practice, Dr. Dvorak currently carries out a disectomy once a week on average or approximately 30 to 40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Aitken and Dr. Dvorak differed in their opinions concerning some, but not all of the surgical techniques to be employed in carrying out the surgical procedure known as a disectomy. Where they differ, I prefer the opinion of Dr. Dvorak insofar as the appropriate standard of care applicable to surgical technique and post- operative care is concerned. I say that for the following reasons: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Aitken ceased his surgical practice in 1992, some six years prior to the surgery in this case;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Aitken has not visited an operating room to see disc surgery performed since 1992;</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Aitken was taught medicine at a time when surgeons were instructed to use ring curettes to remove all or nearly all of the disc material. He is aware that surgeons have, for some time, taken a different approach so that only the material that is completely loose or at risk of becoming detached is removed and that they often use pituitary rongeurs to carry out that surgery;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Dr. Aitken knows that surgeons use pituitary rongeurs in disc surgery, he was not able to tell me whether the majority of surgeons use rongeurs or ring curettes to perform disectomies;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of the opinions expressed in the learned medical articles attached to Dr. Aitken's report differ from his description of the appropriate surgical techniques that may and should be used. For example, Dr. Aitken opined that blunt ring curettes (which lack the sharp tooth edges of rongeurs) should be used instead of pituitary rongeurs, yet the authors of some of those articles review, with approval, the appropriate technique to be employed when using pituitary rongeurs to carry out disc surgery including disectomies;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of the opinions expressed in those articles support the views of Dr. Dvorak;</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Dvorak has and continues to specialize in adult spinal surgery since he completed his residency in 1990. He is well aware of the standard practice employed by surgeons carrying out disc surgeries and with respect to follow-up care;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Aitken recognized Dr. Dvorak as one of the pre-eminent spinal surgeons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am satisfied that Dr. Dvorak is most knowledgeable, from his own ongoing medical experience, of the surgical techniques employed as a matter of standard practice in 1998, when the surgery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Dvorak described the normal anatomy of the disc as comprised of tough fibrous structures with radically oriented fibres forming the outer portion of the disc called the "annulus". These fibres are often thicker towards the front portion of the patient which is referred to as the "anterior"; they are thinner and thus weaker posteriorly. According to Dr. Dvorak: "that is why the majority of disc herniations occur posteriorly and result in irritation of the neural elements".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most cases, the thicker anterior fibres of the annulus provide what both experts say is an effective barrier to a surgical instrument piercing or perforating the disc beyond the anterior wall into the blood vessels sitting immediately behind the disc.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While in most cases the annular fibres are sufficiently thick and robust to prevent a surgeon from perforating forward, there may be instances where the anterior annulus is weak or defective. According to Dr. Dvorak, the annulus structure can "be extremely variable" and it is possible to have "incompetence anteriorly" that will not prevent perforation. In such instances the annulus will easily give way, even when the jaws of the rongeur are open, allowing the rongeur to pass through the annulus with little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anterior ligament, which sits behind the disc, is relatively thin. It is possible for that ligament, which may serve as a back stop or barrier for the surgeon, to be by-passed on either the right or left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surgeon's tactile sense is critical as he or she enters and works within the three dimensional compartment of the disc.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order to perform the surgery, the patient is placed in a prone position on the stomach, with bolsters, so that the contents of the abdomen are allowed to hang freely away from the spine. The surgeon makes an incision through the skin on the back of the patient. The surgeon then cuts through a dense sheet of fascia (and some of it is removed). The muscles, skin, and soft tissues are pushed aside as are the muscles that surround the lamina. The posterior spinous ligament covering the posterior annulus is left intact. A surgical blade is used to incise the posterior wall of the disc. The surgeon then enters through the annulus and into the interspace of the disc which contains the nucleus pulposis.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nucleus pulposis looks like crabmeat although in younger people it is more jelly like with more fluid. In a healthy disc, the anterior annulus is quite strong and rubbery. As people age into mid life, the nucleus pulposis dries out and becomes stringier. The aging process for discs can begin in a person's mid to late 20s. By the time a patient reaches their 40s and 50s, the surgeon is less likely to encounter fluid disc material. As well, the aging process will be more advanced in symptomatic degenerative discs. The anterior portion of the annulus is usually thicker than the posterior: approximately 8 to 10 millimetres as opposed to 5 millimetres. Moving forward toward the patient, or anterior of the nucleus, lays the anterior longitudinal ligament which is approximately 1 to 2 millimetres thick. The common iliac artery and common iliac vein sit either along that ligament or begin to bifurcate and lie lateral to it. In a patient lying prone, those vessels sit immediately adjacent, laterally, to the anterior annulus; a small layer of fat may separate them from the annulus. Those two blood vessels also sit centrally to the longitudinal ligament.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Surgical instruments, such as pituitary rongeurs, are used to remove free or detached ("friable") and loose disc material. Surgeons often use the words "loose" and "friable" interchangeably even though they refer to different things. Friable disc material is completely detached. Loose disc material is attached, although in varying degrees. Loose material is removed since, although attached, it is at risk of becoming detached and causing further compression to the nerve.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For at least the past ten years, surgeons tend to remove only the tissue that is physically loose or disrupted or at risk of herniating. This means that any disc material sitting outside the disc irritating the nerve is removed. From there, the surgeon will look into the disc space either by "cutting a little window in the disc space" or using an existing tear in the annulus to access the disc space. Only the material within the disc that is loose or friable or at risk of coming loose to cause renewed symptoms will be removed. No longer do surgeons carry out the "aggressive practice" of removing all of the tissue from the bony endplates of the vertebrae by scraping them off with an instrument known as a curette. That technique was found to have caused unnecessary pain during recovery to the patient without any added medical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material located within the annulus is called the "nucleus pulposis". Although different in composition than the annulus, it is not discernable to the naked eye.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 pituitary rongeur, referred to in the evidence and submissions as a "rongeur", is a surgical instrument used to remove loose and friable material within the disc. Although there are different types of rongeurs, it is essentially a forcep. On one end there is a hand grip with a sharp biting end or jaw on the other. Other instruments, such as curettes, having a blunter edge might be used by the surgeon for cutting. A blunt ring curette is used to separate tissue from its attachment to the bone. A ring curette, which looks like a spoon with the central part of that spoon hollowed out, is used to scrape along the bone and detach soft tissue. It is used primarily to remove the cartilaginous endplate and adherent tissue within the disc space. Unlike rongeurs, curettes do not grasp or grip and thus may not be effective in removing all material. A rongeur is a much sharper instrument owing to its jaws which are used for biting. The mass of the rongeur means that the pressure applied to it results in a greater degree of force from that instrument in comparison to the amount of force applied by the surgeon's hand. Dr. Dvorak agreed that the sharper the instrument means the greater degree of risk of injury. According to Dr. Dvorak, there currently are very few surgeons who use curettes.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Given the consequences of perforation and injury to adjacent blood vessels, the surgeon must take great care in using his instruments to remove the loose and friable material from the disc space. The greater quantity of disc material being removed raises the possibility that the surgeon may or has come close to the anterior edge of the annulus. The surgeon must have a heightened sense of the location of the rongeur and the forward tip of its jaws as it advances toward the anterior of the annulus.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 rongeur functions as its jaws are opened and closed, which, according to Dr. Dvorak, gives the surgeon a tactile sense of the density of the tissue being probed and manipulated and potentially removed. He agreed that the jaws of a rongeur are sharp. A rongeur performs two functions: its jaws may be used to bite and remove loose or friable material; or it can be used to grasp a piece of disc material and separate it from the disc space. In the former instance, the surgeon removes only the material actually sitting within the rongeur's jaws; in the latter, the surgeon pulls out a piece much larger than that which fits within the instrument's jaws. While some disc fragments may be completely loose so that they come out quite easily, there may be fragments that still have some stronger attachment to them which must be severed.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Once the rongeur is placed in the disc space, the surgeon opens its jaws and feels for loose material without being able to visualize the tip of the instrument. With the instrument open within the disc space, the surgeon will feel for loose material, bite it, and then tease it out through the annulus covering of the disc. Dr. Dvorak described the technique as a "fluid, continuous movement of teasing and biting" with the instrument.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At the point where the surgeon is deciding where to place the rongeur and what material to extract, the surgeon has two guideposts: where the instrument is relative to the outside of the wound, and, his or her tactile sense (gleaned through that instrument) of the nature of the tissue that the rongeur is coming up against. Since patients vary in size, the first guidepost is a very rough one. The surgeon cannot determine where the tip of the instrument is within the disc space from this alone. Visual clues are of limited value because the tip of the rongeur is some five to six inches away. Given that the surgeon is essentially probing with an instrument without the benefit of seeing inside the disc space, tactile sense is critical. In carrying out the surgery, the surgeon will probe the disc space to make sure that all the tissue is removed while at the same time checking to make sure that there is no perforation of the anterior edge. Millimetres are important. The surgeon needs good hand-eye coordination, good eyesight, as well as a good tactile sense as he or she must know where the end of the instrument is sitting.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Southerland admitted that if there is uncertainty as to the placement of the instrument, the surgeon should err on the side of caution and not take a bite.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According to Dr. Dvorak, while the surgeon should be able to easily discern, through tactile sense, the difference between disc material and fatty tissue, the surgeon may not always be able to feel the difference between disc material and the adjacent blood vessels.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This explains Dr. Dvorak's opinion that the surgeon will, as a matter of standard practice, look at the material in the jaws of the instrument after each bite and withdrawal to determine the nature and quality of the material in its jaws. Dr. Dvorak agreed that it would be his duty as a surgeon, upon each withdrawal of the instrument, to check to see what material is in the jaws of the rongeur.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Differing from Dr. Dvorak slightly, Dr. Southerland said that if a surgeon is paying sufficient attention, he should, if cutting into the artery or vein, feel something different than disc material (including the annulus) to warn of possible encroachment to the artery or vein.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Surgeons do not generally place measurement marks, such as sterile marking tape on their instruments, as they would not be effective in limiting the position of that instrument. Rongeurs are made with a sliding shaft; given the repetitive movement of that instrument during the surgery, the tape may slide up or down the shaft or move and fix onto a part of it that is different from its original placement. In that event, new tape would have to be applied which would require it to be sterilized.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Further, the surgeon's line of sight runs down along the shaft of the instrument. As the surgeon uses the rongeur to bite in the disc space, often through small incisions, it is not possible to see a surface marking on the instrument in relation to the skin surface even though he wears a headlamp for illumination. Distances also differ depending on the angle of approach, e.g., straight line as opposed to a diagonal. Reliance on an instrument marker is not feasible.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common iliac artery and vein, also referred to as the "great vessels", run down either side of the spine as opposed to the mid-line. The artery sits more lateral and anterior at L4-5 than the vein. According to Dr. Dvorak, damage to a blood vessel during the surgery is a rare but acknowledged risk: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inherent nature of the surgery is such that with the proximity of the vein and the artery to the annulus, there can be and there are injuries to the vein and to the artery. It is an extremely rare occurrence. It is acknowledged by all surgeons as an issue and a risk. It can be an extremely serious injury. But it does happen. And I'm aware of it having happened in the best of hands in individuals that I know to be good surgeons, and I can understand just in my own practice and can see how - how this can happen even when care and attention are at a very high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Many years ago, in the 1960s, an actor named Jeff Chandler bled to death following a complication where the artery was damaged during surgery. Spinal surgeons have since been taught to be aware of the depth of insertion of their instruments.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A number of pre-surgical precautions may be taken by the surgeon, such as MRI or CAT scan imaging when the size of the disc is in doubt, placing measurement markers on the rongeur, or using a blunt instrument such as a curette when the entire disc is to be explored. Whether any of these are done is a matter of judgment. The evidence did not establish that taking any of these precautions in every instance forms part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What was clearly established as part of the standard of care was the need for the surgeon to take very great care in carrying out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Surgery and its Aftermath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According to Ms. Carlsen, the surgery was delayed. Dr. Southerland told her that they were "running behind". A hospital form entitled "Report of Operation/Pathology of Operation" ("Hospital Report") filled out and signed by Dr. Southerland states that the operation was to start at 1300 hours and instead commenced at 1428 hours, nearly one and one half hours 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Understandably, Ms. Carlsen has no evidence to give in relation to the surgery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his evidence in chief, Dr. Southerland said he has a "memory" of certain aspects of the surgery he performed on Ms. Carlsen; otherwise, he relied on his standard practice in giving his evidence. On some occasions, he did delineate the source of his recollection. My impression is that Dr. Southerland had very little independent recollection of the events involving the surgery itself and his specific surgical technique used for Ms. Carlsen.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It will become evident in these reasons that some key portions of Dr. Southerland's account of the surgery, as given in his evidence in examination in chief at trial, which is set out below in this and subsequent sections of these reasons, are at odds in certain critical aspects with: Dr. Southerland's Operative Report dictated on January 28, 1999 at 21:55 ("Operative Report"), prepared some hours after the surgery; his evidence in an affidavit sworn on August 19, 2002 ("Affidavit"), and previously filed in this action; his evidence given at a previous trial of this action in 2004; and his admissions given in cross examination at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Operative Report differs in form and in many cases substance from the Hospital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Although the Hospital Report was in evidence, Dr. Southerland could not recall if the operating room was running behind schedule that day; he conceded "it's typical". Even so, he said that this never affects the way he performs surgery. In giving that evidence, he relied upon his standard practice as opposed to specific recollection.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Southerland described his standard practice when performing a disectomy. The patient is placed on his or her stomach in a prone position to remove pressure from the abdominal contents. An incision is made over the spinous processes. The skin and soft tissues as well as the muscles surrounding the lamina are pushed to the side to expose the inter laminar space. A sharp blade is used to enter that space. The ligament sitting in that space is partially excised to allow exposure of the underlying dura and its contents. From there, a nerve retractor (which is a blunt shovel-tipped retractor) is placed into the cavity where the lamina has been removed. A blunt probe or needle is placed into the disc space and an x-ray is taken to confirm that the surgeon is in the correct position. Any free floating disc fragments are then removed. Should the disc bulge be covered by the annulus, which in many cases it is, a sharp blade is used to make the cruciform incision (which looks like a small cross). Then, through that small opening, he commences the process of excising the bulge as well as the removal of all loose and friable disc material. It is at this point that tissue inside the disc space, including the nucleus pulposis, is removed with a rongeur. Once this part of the surgery is complete, the area is irrigated, following which a nerve hook is used to explore the nerve where it exits the spine so that it can be decompressed. When that is done, the wound is washed and then a small absorbent gauze or pad is placed on the dura. The skin and tissue are 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Ms. Carlsen's case, once an incision was made over the spinous process, Dr. Southerland said he visualized the nerve. He wore loops or rings on his glasses for close-up viewing. He wore a headlamp. He described a classic and large disc bulge with the nerve tented over it. He retracted the nerve. Then, he took a blunt pushing instrument, known as a Penfield, and pushed into the disc space into the area of the large bulge to take an x-ray in order to identify the level of the surgery at L4-5.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Southerland then made a cruciform incision into the area of the annulus and removed a large area of the bulge as well as the loose and friable disc material from the disc space. He used rongeurs to assist, one that bites posteriorly and another that bites anteriorly. Curettes were not used in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He placed the rongeurs in the disc space through the hole made from the cruciform incision. Dr. Southerland was not able to see in the disc space within which he was working since the hole he made in the annulus was almost completely filled by the rongeur. Guidance of the tip of the instrument is, he said, "purely a tactile thing. Your vision really has no role to play at that point." This is so even when the rongeur is removed since the surgeon is essentially looking at a dark 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 for the use to which the rongeur is put, Dr. Southerland said that "typically", once he places it into the hole in the annulus, he then opens its jaws into their natural position and advances slightly. This allows him to "get a sense" of whether "there is tissue in front of you or a cavity". He elaborated: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by moving the jaw, moving the instrument from side to side and from top to bottom you can get a sense of not only where you are within the disc space, but also of the - I suppose friability of the tissue that's in front of you.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Very little pressure is necessary as the jaws of the rongeur are very sharp and capable of cutting through bone. Occasionally, Dr. Southerland may wish to remove all portions of the material in the disc in which case he manoeuvres the rongeur to feel for the end plates of the disc. In terms of Ms. Carlsen's surgery, Dr. Southerland said he could "recall very clearly doing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Southerland found a lot of loose and friable material within the disc space. Compared to the many disectomies he had done, he found Ms. Carlsen's disc to have a lot of material to be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An unusual event occurred during surgery. As Dr. Southerland was removing disc material with a rongeur, and as he pulled a piece back, he saw blood in the disc space (which he had not seen before). This, he said, was not typical. Dr. Southerland suctioned out the disc space. The blood did not return. The blood never rose higher than the disc space. He did not see that it was pulsating. Even so, Dr. Southerland was concerned that he may have injured an artery or vein which are the structures that sit anterior to the annulus. He discussed the possibility of such an injury, including the well known case of the movie actor, Jeff Chandler, with Dr. Duncan, the anaesthesiologist working with him. They waited a few minutes and observed that Ms. Carlsen seemed to be stable. The bleeding did not reappear. Dr. Southerland decided to finish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giving his evidence in chief, Dr. Southerland said that he thought the tip of his rongeur was sitting across the mid-line of the disc anteriorly. His impression was based on the fact that he was using an instrument he described as a "straight rongeur". When asked what tactile sense he had before he took the bite with the rongeur just prior to seeing blood, he said he could not recall, although he did not recall "feeling that [I] was out of place" or that the rongeur "was in the wrong spot". Dr. Southerland went on to say in his evidence in chief that at the moment he closed the jaws of the rongeur, he did not sense that it was more anterior than was typical. He could not recall applying more pressure than his standard practice or pushing forward to try to take more disc material. There was no sense of popping. His sense, as he drew his instrument back and saw blood, was that he must have been too anterior with the rongeur.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He could not recall how long it took for the blood to appear in the disc space, having only a recollection of looking down and seeing blood. Nor could he recall that point in the chronology of the surgery when this happened, although his "sense" was that it occurred towards the end of the disectomy.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blood in the disc space, both in colour and in nature, was different than blood from the epidural veins situated nearby. According to Dr. Southerland, when epidural veins are injured, the blood seeps in from above: "this didn't seem that way", he said. As well, the colour was different - it was bright red. Arterial blood is bright red, whereas epidural blood, which is venous, is much darker in colour. Dr. Southerland was concerned that he "injured the great vessels anterior to the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Even though he thought the rongeur to have been sitting too anterior in the disc space, Dr. Southerland said that if no blood had appeared in the disc space, he would not have thought anything unusual had occurred. When asked where his attention was focused as he took the bite with the rongeur just prior to seeing blood in the disc space, Dr. Southerland replied: "My attention was focused on the case". When asked if he was discussing anything with anyone in the operating room or thinking of something else, Dr. Southerland relied on his standard of practice, stating: "not that I can recall; that would not be my usual pattern of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When asked if he looked at the material in the jaws of the rongeur after he took this bite, he said, initially, in his evidence in chief: "I did not", and then elaborated, qualifying his answer stating: "I don't recall doing that [as] I was pretty focused on the fact that I had seen blood in the disc space". Then later in cross examination, he finally conceded he did not check the jaws at any time following withdrawal of the rongeur.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Once Ms. Carlsen was extubated, Dr. Southerland accompanied Dr. Duncan with Ms. Carlsen to the post-recovery room ("PAR"). However, he did not actually accompany her into the PAR. He admitted that he did not draw to the attention of PAR staff the possibility of a vascular injury, nor did he tell Dr. Duncan that he should watch for signs of ischemia or severe vascular compromise while in the PAR. He did not take any steps to notify the blood bank of the possibility for the need for blood, nor did he arrange for an angiography to rule out the possibility of vascular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Southerland had ultimately come to the view that Ms. Carlsen must have suffered some bleeding from the epidural veins since she showed no further signs of distress. He noted that his patient's heart level was where it should be, her blood pressure remained high, and she remained stable when she was rolled onto her back when extubated.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Even though he admitted he would not expect to see a significant decrease in Ms. Carlsen's hemodynamic stability, including her heart rate and blood pressure, until she lost about one-third of her blood volume, Dr. Southerland did not advise the PAR staff of the unusual incident during surgery, or of his concerns, or that they should monitor Ms. Carlsen for any signs of distress. He did not chart the fact that blood was observed in the disc space, nor did he chart his concerns or provide instructions to the PAR staff such as signs to watch for. He assumed that Dr. Duncan, whom he described as "the King of PAR", would provide them with appropriate instruction. Even so, Dr. Southerland admitted, in cross examination, that he was the "one with the expertise and knowledge about what happened" and its ramifications.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According to Dr. Southerland, while surgeons typically dictate their operative reports immediately following surgery, there are times when they do not; for example when they leave surgery to see a family member or to see another patient. Having said that, Dr. Southerland told me that his standard practice was to dictate an operative report immediately after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He did not do that in this case. Instead, he went to the cast room to carry out a non-emergency procedure, which he described: "I was putting a cast on a kid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When asked if he had a sense as to when he would get back to dictate his report, he replied: "Well, I can't recall thinking this specifically, but my plan in general would have been to come back after seeing the patient downstairs, see the next patient, and then dictate the operative note".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Dr. Southerland was subsequently called by the nurse in the PAR asking him to return since Ms. Carlsen was "crashing", her heart rate had "gone high", she was tachycardic, and her blood pressure had dropped. He was told that Ms. Carlsen was very uncomfortable and screaming out in pain. Dr. Southerland ran upstairs and met Dr. Duncan in the PAR who along with two PAR nurses were carrying out aggressive resuscitation efforts in order to provide Ms. Carlsen with a blood volume sufficient to allow her to pump blood. Dr. Southerland recalls examining Ms. Carlsen's left leg as she was complaining bitterly of pain in the left leg. He was able to speak with Ms. Carlsen as she had "come out of" general anaesthetic. He described her to be in </w:t>
      </w:r>
      <w:r>
        <w:rPr>
          <w:rFonts w:ascii="arial" w:eastAsia="arial" w:hAnsi="arial" w:cs="arial"/>
          <w:i/>
          <w:color w:val="000000"/>
          <w:sz w:val="20"/>
          <w:lang w:val="en-US" w:eastAsia="en-US" w:bidi="ar-SA"/>
        </w:rPr>
        <w:t>extremis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At the top of Dr. Southerland's differential diagnosis at that moment was injury to one of the great vessels anteriorly, although he was not sure which one. Dr. Southerland had the hospital staff notified that a CAT scan would be required to show the position of the vessels in relation to the spine and the location of the injury. He also placed a call to Dr. Griswold, the vascular surgeon on call, as there was no vascular surgeon at the hospital available to attend. While this was taking place, PAR staff continued their efforts to resuscitate Ms. Carlsen; they had to use uncross-matched blood as well as three units of cross-matched blood prior to Ms. Carlsen becoming stable.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all, Ms. Carlsen lost a lot of blood. In a young person of Ms. Carlsen's age, a great deal of bleeding, approximately one third of their volume, has to occur before there will be a noticeable drop in blood pressure and for signs of distress to be noticeable. Dr. Southerland said that he knew that at the time and also knew that as a result, resuscitation is not immediate; it takes quite some time to stabilize a patient, from minutes to quarters of hours to hours depending on the amount of the blood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Griswold was across town at the Royal Jubilee Hospital. He is a cardiovascular and thoracic surgeon. He obtained his fellowship in March, 1997. He gave evidence as to his involvement in the case and opinion evidence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After being advised of Ms. Carlsen's urgent situation, Dr. Griswold cancelled a case at the Royal Jubilee Hospital and drove immediately to the Victoria General. He was advised that the CAT scan showed a large left retroperitoneal haematoma and that Ms. Carlsen showed signs of vascular insufficiency. He was told that she was not stable enough to be transferred to the Royal Jubilee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Griswold carried out surgery necessary to repair the damage to the artery and vein since he had quickly determined there was an obstruction to the blood flow in the artery down to her left leg. Dr. Griswold opined that it is desirable to have the surgical repair completed and circulation established within eight hours of the injury occurring. If the bleeding continues, it is fatal. He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why unoperated injuries to the iliac vessels have a high mortality rate. If the pressure of the blood clot in the retroperitoneum stops the bleeding temporarily, you have a period where you can stabilize the patient and prepare them better for the operating room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this case, the surgery was completed and Ms. Carlsen was stabilized within five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the course of that surgery, he observed a number of things concerning Ms. Carlsen's anatomical structures as well as the nature and extent of the damage to some of them:</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no abnormalities of her left iliac artery and vein;</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anatomic abnormality, and neither vessel was in an unusual position, although they were small because of her otherwise large body size. Ms. Carlsen's common iliac artery was approximately six millimetres in diameter;</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 "lot of blood clot";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 laceration to the vein from which blood was coming out of. Dr. Griswold could see the edges of what called "the cut in the wall of the vein";</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injury to the artery was more complicated as an area of the side of the artery was missing. All three layers comprising the artery had been injured as the rongeur had taken a bite out of the artery itself;</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well, there was adjacent injury in the artery from the pressure of the blood leaking from the occluded artery (as opposed to injury caused by the rongeur), enough that he could not repair it directly. Instead, he had to insert an interposition graft of 6 mm in length to effect the repair; and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both the artery and vein are normally "amazingly tough".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He could not say, nor did he make a note of how much blood was in the retroperitoneum. Nor did he make a note of the size of the injury to the artery and the vein.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Southerland assisted Dr. Griswold in carrying out the vascular surgery. Both he and Dr. Griswold observed injury to the arterial wall. Dr. Southerland saw that a bite had been taken out of the full thickness of the arterial wall, which meant that the rongeur had bitten through the external and internal walls of that artery and removed a complete piece of it. The vein looked like it had been torn or lacerated as opposed to having a bite taken out of it. What was not clear was whether the injury to the vein, which looked to be a laceration injury, was caused by the rongeur or by tearing when the very thin tissues that connect the great vessels were pulled away when the rongeur was being removed. The artery and vein are closely proximated. The structures that were injured were away from, anterior, and to the side of the mid-line.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According to Dr. Southerland, it is possible to tell from the naked eye the difference between artery and vein, on the one hand, and nucleus pulposis and annulus on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Carlsen received 13 units of blood, which, depending on the measurement used, amounts to approximately six litres of blood. The human body contains approximately five to six litres of blood.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Operative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Southerland did not dictate his Operative Report until 2155 hours, which was approximately one hour after the second surgery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Dr. Southerland agreed that when an unusual event occurs the surgeon should dictate that report as soon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Operative Report describes the Surgery in a chronological manner. Its purpose is to convey an accurate message to hospital staff, subsequent caregivers, and Dr. Southerland's peers as to what took place. According to Dr. Dvorak, it should be prepared as soon as practicable after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Notwithstanding the time delay in dictating the report or the traumatic events of the day, Dr. Southerland said he endeavoured to be as accurate as possible. He knew that Ms. Carlsen had nearly died and knew it was important, for the continuity of her care, for caregivers to know what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Identification of the L4-5 disc space following patient preparation and the initial mid-line incision is described in the Operative Report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L4-5 interspace was then indentified and ligamentum flavum sharply excised using a #15 blade. This allowed excellent exposure of the epidural space and the underlying dura.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Epidural veins encircle the dura. Epidural blood falls into the disc, appearing through blood-tinged material in the disc.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Mention is then made in the Operative Report of the epidural veins which Dr. Southerland had thought, at one point, during the surgery, were the origin of the blood he observed in the disc space: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Epidural veins were cauterized allowing retraction of the dura itself. A small amount of bleeding was encountered on the caudal end of the incision and this was controlled with a small patty and electorcautery. The disc was then identified and a #4 Penfield elevator placed into it. An x-ray was taken which confirmed that we were at the L4-5 disc.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From there, Dr. Southerland described what he did with the rongeur. His narrative in the Operative Report also provides an explanation as to the events immediately leading up to his observation of the blood in the disc space as well as its location and colour.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Initially, when giving his evidence in chief, Dr. Southerland denied having a sense, at the moment he closed the jaws of the rongeur in the disc space, that it was more anterior than is typical:</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At the moment you closed the jaws of the ronguer, of this bite, did you have a feeling that the instrument was more anterior than is typical?</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to say no. My sense when I returned and saw the blood is I must have been too anterior. I'm afraid I can't fraction it out as well that. It's sort of a simultaneous occurrence, pulling the instrument back, seeing some blood in the disc space, and that's when I thought I must have been too anterior.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Ultimately, later in his evidence Dr. Southerland admitted to an unusual aspect of the placement of the rongeur as he had noted in his Operative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addition, he remarked in that report that the location of the bright red blood was different than the location of the dark venous blood from the epidural veins. In an earlier part of the Operative Report, Dr. Southerland described the epidural bleeding to have been encountered at the caudal end of an earlier incision, as opposed to the cruciform, and that it was controlled.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the Operative Report, Dr. Southerland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#15 blade was then used to make a cruciate incision in the underlying surface (??) allowing the disc to be accessed with a variety of small pituitary rongeurs. A large amount of disc was resected.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Using the straight pituitary rongeur, the anterior portion of the disc was resected. On one placement of the rongeur, </w:t>
      </w:r>
      <w:r>
        <w:rPr>
          <w:rFonts w:ascii="arial" w:eastAsia="arial" w:hAnsi="arial" w:cs="arial"/>
          <w:color w:val="000000"/>
          <w:sz w:val="20"/>
          <w:u w:val="single"/>
          <w:lang w:val="en-US" w:eastAsia="en-US" w:bidi="ar-SA"/>
        </w:rPr>
        <w:t>it seemed to go somewhat more anterior and some bright red blood was noticed in the disc space when the rongeur was removed</w:t>
      </w:r>
      <w:r>
        <w:rPr>
          <w:rFonts w:ascii="arial" w:eastAsia="arial" w:hAnsi="arial" w:cs="arial"/>
          <w:color w:val="000000"/>
          <w:sz w:val="20"/>
          <w:lang w:val="en-US" w:eastAsia="en-US" w:bidi="ar-SA"/>
        </w:rPr>
        <w:t>. This bleeding, however, stopped immediately (within 30 seconds) and did not recur despite irrigation and examination.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Following a complete decompression of the disc, the L5 nerve root was retracted out laterally and decompressed in its foramena which was somewhat tight.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his evidence in chief, he added: "As I was removing the disc I pulled the - I took a piece back and the disc space had blooded and that's not typical".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his Affidavit, Dr. Southerland elaborated upon the reference in the Operative Report concerning the placement of the rongeur. In the Affidavit he deposed:</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On one placement of the Rongeur, it seemed to go somewhat </w:t>
      </w:r>
      <w:r>
        <w:rPr>
          <w:rFonts w:ascii="arial" w:eastAsia="arial" w:hAnsi="arial" w:cs="arial"/>
          <w:color w:val="000000"/>
          <w:sz w:val="20"/>
          <w:u w:val="single"/>
          <w:lang w:val="en-US" w:eastAsia="en-US" w:bidi="ar-SA"/>
        </w:rPr>
        <w:t>more anterior than usual</w:t>
      </w:r>
      <w:r>
        <w:rPr>
          <w:rFonts w:ascii="arial" w:eastAsia="arial" w:hAnsi="arial" w:cs="arial"/>
          <w:color w:val="000000"/>
          <w:sz w:val="20"/>
          <w:lang w:val="en-US" w:eastAsia="en-US" w:bidi="ar-SA"/>
        </w:rPr>
        <w:t xml:space="preserve"> and I noticed some bright red blood in the disc space when the Rongeur was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In cross examination, Dr. Southerland sought to resile from that evidence as to "more anterior than usual". He said it was incorrect and said he was not the author of the Affidavit. Even so, he admitted that he failed to bring that mistake to anyone's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Southerland could not tell me how far anterior the rongeur may have gone. He admitted that being a centimetre beyond the disc space is an usual placement for a rongeur.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His Affidavit evidence, sworn over six years ago, and much closer to the events in issue in this litigation, was consistent with words he used in his Operative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Later in the Operative Report, when describing Ms. Carlsen's blood pressure to have fallen "precipitously", Dr. Southerland said that she was given two units of uncross-matched blood as opposed to his evidence in chief where he said there had only been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addition, in noting the results of the scanning, he said in his Operative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partial resuscitation with fluid and two units of uncross-matched (??) blood, the patient was taken to CT scanning where a large retroperitoneal hematoma was identified. It also appeared that as though there was some air anterior to the L4-5 disc and suggested injury to the left iliac artery.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retroperitoneum is a small space behind the abdominal cavity and the back muscles. According to Dr. Dvorak and Dr. Griswold, blood flowing from the injured artery may leak into the retroperitoneum (which sits behind the annulus; its lining is 1 millimetre thick) as opposed to pulsating posteriorly towards the top of the disc 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During his examination in chief, Dr. Southerland identified a mistake in the Operative Report. The reference to carrying out a "complete decompression of the disc" should have, he said, read "a complete decompression of the nerve root". He denied the suggestion that he was carrying out an aggressive surgical technique involving the removal of all nuclear material within the disc even though he used those words in that report and agreed he removed a large amount of disc material. He said he would have used the words "evacuation" in relation to the disc had he intended to carry out a complete removal of all disc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Southerland's Operative Report was attached as an exhibit to the Affidavit. At no place in the Affidavit did Dr. Southerland correct that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impugned paragraph in the Operative Report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Following a complete decompression of the disc, the L5 nerve root was retracted out laterally and decompressed in its foramena which was somewhat tight.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On its face, Dr. Southerland's explanation of the sentence makes no sense as the words he chose use "decompression" twice, once in relation to the disc and once in relation to the nerve. While there was no evidence to show that Dr. Southerland carried out an evacuation of all disc material, his description of the surgery leads me to conclude that it was aggressive in the sense that he removed a very substantial amount of disc material including annular material. That meant he had to take very great care not to move the rongeur beyond the anterior of the annulus.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Southerland's description in the Operative Report was sloppy. The words used reflect his mindset at the time, i.e., he knew he engaged in an aggressive removal of a very substantial amount of annular 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Even though Dr. Southerland should have been alive to the fact that he needed to take great care not to move beyond the anterior edge of the annulus in the specific circumstances, he failed, when performing the Surgery, to appreciate the significance of the location of the rongeur just prior to taking the bite of the artery. As I have mentioned in paragraph 73, although Dr. Southerland observed the rongeur to be sitting too anterior in the disc space, he would not have thought anything unusual had occurred absent blood appearing in the disc space upon removal of the instrument.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He also claimed there to be a further error in the report. The Operative Report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Using the straight pituitary rongeur, the anterior portion of the disc was resected. On one placement of the rongeur, it seemed to go somewhat more anterior and some bright red blood was noticed in the disc space when the rongeur was removed. This bleeding, however, stopped immediately (within 30 seconds) and did not recur, despite irrigation and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his evidence in chief, Dr. Southerland said that his reference to the bleeding stopping within 30 seconds was inaccurate, and instead: "in the cold, hard light of retrospection" it should have read "immediately". Later, in cross examination, after conceding that the circumstances surrounding the incident were clear in his mind at the time he dictated his Operative Report and that the reference to "within 30 seconds" was an accurate transcription of his dictation, Dr. Southerland sought to explain away that reference on the basis that he only suctioned for approximately a second or two, stating that he was "implying" that "within 30 seconds" meant immediate.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Blood in the Disc 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According to Dr. Dvorak and the medical literature attached to Dr. Aitken's report, a rush of blood in the disc space is a prime indicator of injury to either or both vessels sitting anterior to the annulus. Bright red blood indicates it is from an artery. Venous blood from epidural veins is darker and seeps in from above, and Dr. Southerland said what he observed "didn't seem to be that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Initially, during cross examination, Dr. Southerland denied seeing a "rush" or "gush" of blood into the disc space. When asked the specific question: "Now, accompanying the bite injury when you placed the rongeur in an unusually anterior position and bit, you noticed that there was a gush of blood; is that correct?", he replied: "I never used that word, 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He was, initially, quite firm in his denial that gush and rush were accurate descriptions of the force of the flow of blood at the time he bit into the disc space. Ultimately, Dr. Southerland was confronted with the evidence he gave in his evidence at the previous trial of this action which took place in 2004,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you'll agree that it was your sense that you had placed the rongeur unusually deep; is that fair to say?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that's fair to say.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Would you describe the bleeding that you saw as a gush of blood?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I - I did. And I guess I would have to say yes I would.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it's your evidence that you placed the rongeur. You took a bite when you removed it you saw this gush of blood; is that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Dr. Southerland admitted the answers to those questions were true. Even so, he sought to explain them away at this trial, suggesting that the words "rush" and "gush" were those of counsel for the plaintiff and not his own. It was at that point that Dr. Southerland was directed to his evidence in chief given at the prior trial, on November 18, 2004, where he was asked the following question and gave the following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can you describe what happened?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can, um, I, I was in - I had the rongeur in in the disc space and I pulled it out. And as it came out there was bleeding into the disc and my immediate thought was I - I might have been anterior to the annulus.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Um, there was no - there was no tactile sense of a plunge. Certainly I didn't change my technique at that point but the disc, uh, the fragment that I removed was accompanied by a rush of blood.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At the trial before me, he admitted that answer was true. He admitted that a rush or gush of blood leads to a very high suspicion of an injury to the artery. The brightness of the blood suggests, he said, that it is arterial blood and also suggests it is very unlikely to be epidural blood. He also agreed that the flow of blood into the disc space was a significant event that should have been charted as opposed to leaving it to be noted later in his Operative Report. Dr. Southerland also admitted that the gush or rush of blood flooded up to the verge of the posterior edge of the disc and admitted that he noticed this at that point in time when he had evacuated most of the nucleus pulposis from the annulus.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 Southerland also admitted that the fact that the bleeding stopped did not rule out injury to the artery. He was well aware of the possibility of the "tamponade" effect: where blood does not continue to flow directly into the disc space as the wound closes posteriorly since the adjacent structures pack the wound; as a result, the blood may flow anteriorly into the retroperitoneum. He knew that simply because bleeding did not continue into the disc he could not rule out the possibility of injury to the artery or vein as blood could have flowed into the retroperitoneum. Dr. Southerland also knew that given Ms. Carlsen's age, he would not expect to see any effect on her dynamic heart rate for quite some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Dr. Southerland's View of the Cause of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Dr. Southerland told me his view as to the manner in which the injury to the artery occurred. The rongeur was placed anterior to the annulus fibrosus on the left side. He took a bite of the artery with the rongeur without detecting it since the annular tissue which the rongeur passed through was abnormal. His view is premised on the notion that typically a rongeur would not easily pass through the annulus. He put it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in retrospect, I think that something was different that day than it had been the previous 200 times. </w:t>
      </w:r>
      <w:r>
        <w:rPr>
          <w:rFonts w:ascii="arial" w:eastAsia="arial" w:hAnsi="arial" w:cs="arial"/>
          <w:color w:val="000000"/>
          <w:sz w:val="20"/>
          <w:u w:val="single"/>
          <w:lang w:val="en-US" w:eastAsia="en-US" w:bidi="ar-SA"/>
        </w:rPr>
        <w:t>And the only thing I could imagine</w:t>
      </w:r>
      <w:r>
        <w:rPr>
          <w:rFonts w:ascii="arial" w:eastAsia="arial" w:hAnsi="arial" w:cs="arial"/>
          <w:color w:val="000000"/>
          <w:sz w:val="20"/>
          <w:lang w:val="en-US" w:eastAsia="en-US" w:bidi="ar-SA"/>
        </w:rPr>
        <w:t xml:space="preserve"> is that the tissue anteriorly was in some way abnormal and my rongeur passed through it during the case - the scope of a normal disectomy. And then I took a bite of the great - of the artery, and the hemorrhage that was subsequently found was due to that bite.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He was pressed in cross examination on this point. In my view, Dr. Southerland was simply guessing when suggesting there was a problem with the annulus. The following exchange in cross examination is telling: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observe the anterior annulus at any time during the day that this operation took place? January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Subsequently when she had the vessels repaired, I don't recall if we were able to ascertain exactly where the hole was, but there was certainly an area at the annulus that was not normal. But we didn't pass anything through, if that's what you mean.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had, during the retroperitoneal approach with Dr. Griswold doing the vascular repair; yes, you were there, you were present?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had an opportunity to observe the annulus?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are you telling me at this time that you observed some abnormality in the annulus?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what I am saying is that we didn't specifically pass anything through in that area. The area of damage was pretty clear though. It was the vein and the vessel were sitting right on top of the annulus and that's where the bite mark - that's where the hemorrhage was.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there was clearly a hole in the artery?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you observed no hole in the annulus; is that 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be frank we didn't spend a lot of time looking at the annulus. Most of the time was spent dealing with the vessels.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just going to ask you specifically about the front of the disc being the anterior portion of the disc. Did you or did you not see a hole in that structure?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recall seeing a specific hole. There was an area that was clearly abnormal at the level of the injury to the artery.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Now, did you give that evidence at the last trial? Did you mention anything about an abnormality in the annulus?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 don't think I was asked that question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specifically.</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Well, I'm just going to ask you to turn once again to the transcript [page 209] ... There was also some degree of damage to the vein that we were unable to sort out if it had been caused by the dissecting the hematoma or, or the actual approach. The actual front of the disc though I didn't really get any sense of - I couldn't see a hole if that's what you are asking.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Do you agree with that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do.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did you - do you recall at that time, obviously you had an opportunity to discuss, you were discussing at that time the condition of the front of the disc.</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I'm trying to be - I am trying to be as clear as I can. There was a tremendous amount of trauma at the front of the disc where the vessels were. And at the time, as I say we didn't specifically see a hole that I could pass something through, if you will. There was certainly trauma in the entire area. As you can imagine that much bleeding causes a tremendous amount of deformity.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Sure. I am asking you, at that time you were discussing the front of the disc and you did not mention anything about an abnormality in the anterior annulus; is that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why is it that you now have this clear recollection? I suggest to you that that's just a memory that you are creating about the event, that you would have mentioned at that time had that in fact been in your memory at the time; is that fair to say?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fair to say. One thing I do recall fairly clearly in this issue is that there was no obvious hole. That's what I can tell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did you in any of the medical records in your operative report, in your consultation report after the fact, did you mention any abnormality in the anterior annulus?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especially not any significant abnormality; is that fair to say?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fair to say,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At odds with his notion of abnormal anterior tissues was Dr. Southerland's response to questions posed later in his cross examination, asking him if he would agree with the suggestion that Ms. Carlsen's anterior annulus had unusual pathology given the problems with the posterior aspect of the disc. He would not. What he did concede was that it is not appropriate to rely on the annulus in any disc surgery as a back stop to avoid perforation.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There was no evidence to support a finding of abnormality to the anterior annulus.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respect of the disputed factual matters which Dr. Southerland sought to explain in his evidence, which I have described in the previous two sections, I find:</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Southerland was aware that he had placed the rongeur in a position that was unusually anterior after having removed most of the material from the disc space;</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know where the tip of his instrument was located, nor did he know how far anterior his instrument was positioned; yet took a bite with the rongeur without first attempting to determine if it was safe to do so;</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taking a bite with the rongeur and following withdrawal of that instrument, Dr. Southerland observed a rush or gush of bright red arterial blood into the disc space, which was a different location than where he had previously observed the epidural blood;</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blood flow continued for up to 30 seconds;</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Southerland took a bite out of all three layers of the artery and lacerated the vein;</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Southerland did not check the jaws of the rongeur at any time following withdrawal of the instrument;</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guessing when he suggested there was tissue abnormality; and,</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Southerland may not have performed an evacuation of the disc, but he certainly carried out an aggressive procedure, removing substantial amounts of disc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Dr. Dvorak's Written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Dr. Dvorak's written opinion concludes that Dr. Southerland did not fall below the requisite standard of care. In reaching his conclusion, he relied upon Dr. Southerland's evidence contained in the Affidavit (which attached the Operative Report) as opposed to a set of assumptions. Dr. Dvorak agreed that inaccuracies in the Affidavit might affect his opinion. Dr. Dvorak was not asked to consider whether there were any indicators to show that Dr. Southerland was distracted or careless in carrying out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Dr. Dvorak was not aware of Dr. Southerland's evidence as to a rush or gush of blood into the disc space. Nor did he comment in his report as to the extent of the damage to the vein and artery, Dr. Southerland's failure to chart the blood in the disc incident, his failure to alert the PAR staff to the potential for an injury to the artery or vein, or of Dr. Southerland's failure to provide them with any instructions to monitor Ms. Carlsen.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Dr. Dvorak expressed the following opinions and admissions during his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testimony:</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of the indicators to show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carelessness on the part of the surgeon is the egregiousness of the damage to the artery or vein;</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small single laceration does not show an extensive use of force;</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the vein or artery beyond 5 mm in length or the removal of a piece of the artery itself is a different matter and a cause for concern;</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Dvorak conceded that he made an incorrect assumption in his report, as part of his statement of assumptions, with respect to Dr. Southland's placement of the rongeur as having been within the disc space. In his report, Dr. Dvorak said: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In Dr. Southerland's operative note he notes that the biting instrument when placed anteriorly in the disc space was associated with some bright red blood.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He agreed that the Operative Report does not say that the rongeur was in fact placed within the disc space;</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Dvorak agreed that his statement of assumptions does not refer to a rush or gush of bright red blood into the disc space. In addition, Dr. Dvorak described the blood as having stopped "immediately" as opposed to within 30 seconds as described in the Operative Report;</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agreed that it is uncommon to have a rush or gush of blood on an anterior placement of a rongeur;</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rush or gush of blood on an unusual placement of the rongeur would raise a high level of suspicion to the surgeon that there had been a vascular injury;</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 Dvorak agreed with the following opinion of the author of the text </w:t>
      </w:r>
      <w:r>
        <w:rPr>
          <w:rFonts w:ascii="arial" w:eastAsia="arial" w:hAnsi="arial" w:cs="arial"/>
          <w:i/>
          <w:color w:val="000000"/>
          <w:sz w:val="20"/>
          <w:lang w:val="en-US" w:eastAsia="en-US" w:bidi="ar-SA"/>
        </w:rPr>
        <w:t>Complications of Orthopaedic Surgery</w:t>
      </w:r>
      <w:r>
        <w:rPr>
          <w:rFonts w:ascii="arial" w:eastAsia="arial" w:hAnsi="arial" w:cs="arial"/>
          <w:color w:val="000000"/>
          <w:sz w:val="20"/>
          <w:lang w:val="en-US" w:eastAsia="en-US" w:bidi="ar-SA"/>
        </w:rPr>
        <w:t xml:space="preserve"> attached to Dr. Aitken's report: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Injury to a major vessel is usually indicated by a sudden gush of blood from the depth of the disc space. This is the most important indication and should alert the surgeon to immediate danger. Case reports indicate that in many instances this temporary hemorrhage appears to be controlled or relieved by packing. Consequently the surgeon is lulled into a false sense of security and the patient later develops signs of blood loss. When there has been major bleeding from a disc space, the patient should be very carefully monitored and preparation should be made for an immediate anterior exposure. Time is precious. When major vascular injury has been promptly recognized and anterior exposure carried out, satisfactory control has usually been possible with the avoidance of fatality. It is a time for decision and action not wishful thinking or procrastination;</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 also agreed that at the time he wrote his report he was not aware the blood had actually rushed into the disc space;</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that Ms. Carlsen was a healthy young woman, there would be a significant amount of time associated with a significant amount of blood loss before signs of haemodynamic instability are observed;</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important for the surgeon such as Dr. Southerland to communicate with the anaesthesiologist at the time to ensure that the patient's blood pressure and haemodynamic status are maintained and monitored;</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the duty of the surgeon, once he encounters an unusual incident, to advise the next caregiver, of any risk which has a high degree of mortality as its outcome when there is a high index of suspicion about that risk;</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specific signs of ischemia and swelling of the abdomen that Dr. Southerland can advise the PAR staff to look for in order to eliminate or to confirm a vascular injury;</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time is of the essence to repair a vascular injury;</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the duty of the surgeon, especially where the structures are quite close together, to ensure that his instruments are within the operative field;</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surgeon has a duty to check the jaws of the rongeur on each withdrawal; and,</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artery is even further anterior than the vein so that the jaws of the rongeur had to be placed even further beyond the anterior exterior of the annulus.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As Dr. Dvorak was unaware of the rush or gush of blood, he did not opine, in his written report, of the importance to be attached to the combination of the unusual placement of the rongeur "too anterior" or unusually anterior with the rush or gush of blood observed on withdrawal of the instrument.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Given the further opinions expressed and admissions made by Dr. Dvorak during trial, and having considered them in connection with the admissions made by Dr. Southerland in his evidence at this trial, I do not accept Dr. Dvorak's written opinion that the standard of care was met. Unlike his testimony at trial, Dr. Dvorak's written opinion lacks the benefit of certain key facts which were ultimately admitted by Dr. Southerland in cross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 all, I found that Dr. Southerland sought to distance himself from those portions of the Operative Report that were or might be harmful to his case and to convey his sense of what had occurred during surgery through a mixture of his standard practice, reconstruction, and conjecture. I do not accept his attempts to explain away potentially harmful evidence contained in the Operative Report and the Affidavit. In saying this, I do not find that Dr. Southerland deliberately made up evidence. Instead, I found Dr. Southerland to have engaged, in a number of instances, in wishful thinking as he was simply unable to account to himself how he could have penetrated the anterior annulus without detecting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presence of bright red blood rushing or gushing into the disc space should have alerted Dr. Southerland that he caused an injury to the artery, anterior to the annulus. At that point, he should have taken all measures necessary to minimize and stop the foreseeable haemorrhaging that Ms. Carlsen was suffering 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Dr. Southerland admitted he knew the consequences of "going too deep" with his instrument could mean injury to the common iliac artery which results in mortality in approximately fifty percent of cases. He acknowledged the prospect of death meant he must use a heightened amount of precision, especially since the margin of error is very small. He agreed that moving one centimetre beyond the disc space is an unusual placement for a pituitary rongeur. Yet, having realized the rongeur to be sitting too anterior, he did not stop to determine the location of his instrument or determine if it was safe and appropriate to proceed. He took the bite with the rongeur cutting away a piece of the artery. He was negligent in the manner in which he carried out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Dr. Southerland's retrospective notion of tissue abnormality is wishful conjecture. What the evidence shows, and what I find, in fact, to have been "different" that day is that Dr. Southerland placed the rongeur too far anteriorly and in doing so, passed through the annulus. As a result, he bit away an entire piece of the iliac artery. He knew he had placed his instrument too far. Although it occurred to him at that time that he might have damaged the great vessels, it did not occur to him to check the jaws of the rongeur on withdrawal at that time, which it was his duty to do. Nor did he discuss with Dr. Duncan the real possibility that it may take longer to detect signs of blood loss given Ms. Carlsen's age or consider the prospect that the blood might flow into the retroperitoneum instead of pulsating into the disc space. Instead, he monitored her vital signs for a few moments, and then finished the surgery. Further, even though he thought about the Jeff Chandler incident and considered the possibility of an injury to one or both of the great vessels, Dr. Southerland neither notified the PAR staff of what might have occurred nor instructed them to monitor for possible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Dr. Southerland cannot explain why he did not detect his rongeur passing through the anterior portion of the annulus or his rongeur biting into and through the entirety of the arterial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surgery calls for precision, accuracy, and concentration given the nature of the rongeur, reliance on tactile sense, lack of direct vision into the disc space, the proximity of blood vessels, and the high risk of mortality.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conclude that Dr. Southerland was distracted. The operating room was behind schedule and he had patients to see following Ms. Carlsen's surgery. Although Dr. Southerland said he would not, as a matter of his standard practice, allow any delay in surgery to impact on his ability to perform surgery, it is clear that he did not follow one critical aspect of his standard practice that day: he did not prepare the Operative Report immediately following the surgery. Although there may well be exigencies where dictation of the report has to be delayed, in this case, where Dr. Southerland not only thought he may have injured Ms. Carlsen's great vessels but knew of the most serious consequences of such injury, he should have prepared that report immediately following surgery. The fact that he did not suggests either an attitude of indifference towards his patient, or a concern to deal with the backlog of patients waiting to see him that day, or carelessness.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Dr. Southerland's approach to completion of the requisite post-operative documentation and lack of instruction to Dr. Duncan and the PAR staff is, I find, also indicative of a careless and inappropriate approach to his obligations as a surgeon and indicative of his approach to the surgery itself. That approach explains why he proceeded to take a bite with the rongeur even though he observed that he was too far anterior and did not know where the tip of his instrument was located. This explains why, absent blood in the disc space, he would have thought nothing untoward when he observed the rongeur to be too anterior, knowing that he had removed substantial amounts of disc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The manner in which Dr. Southerland completed the Hospital Report is also indicative of his distracted and in my view, careless approach he took to the dramatic events arising during Ms. Carlsen's surgery. That document calls for the surgeon to state,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the pre-operative diagnosis, the operation performed, the post-operative diagnosis, and the surgical procedure performed. In the pre-operative diagnosis section, Dr. Southerland wrote: "L4/5 disectomy disc herniation R". In the operation performed section, he wrote: "L4/5 disectomy, R L5 root decompression". The post-operative diagnosis section read: "same". The section entitled "SURGICAL PROCEDURE PERFORMED/CLINICAL INFORMATION" was left completely blank. In comparison, the document completed by Dr. Griswold contains substantive information throughout.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As I have said, I do not accept Dr. Southerland's efforts to explain away those portions of his prior evidence and Operative Report that he says are in error. In listening to and observing Dr. Southerland give his evidence, it was clear to me that he engaged in wishful thinking and conjecture. Dr. Southerland is not able, even today, to determine how it was he injured Ms. Carlsen's iliac artery and vein. By his own admission, the events of the day were clear in his mind when he dictated the Operative Report. At no previous time has he sought to clarify any purported errors in that report nor has he sought to clarify errors in his Affidavit or evidence at the previous trial, evidence given much closer in time to the events in issue, which occurred some nine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Dr. Southerland knew that a gush or rush of blood would have caused him to think that an arterial injury would be very high on his "index of suspicion"; so would the bright colour of the blood. The bright colour of the blood would have alerted him to a possible arterial injury, and conversely, indicated a lower risk of injury to the epidural vein. Ultimately, after persistent questioning, Dr. Southerland conceded in cross examination that he had placed the rongeur unusually anterior and then, upon its removal, he noticed the rush or gush of bright red blood. He should have well known he had caused an arterial injury. His attempts to minimize the significance of his observations on the basis that "gush" or "rush" - both words he conceded at trial were accurate and the latter word being the one he chose to describe the onset of the blood at the previous trial - do not include "pulsatile flow" is but one example of Dr. Southerland's </w:t>
      </w:r>
      <w:r>
        <w:rPr>
          <w:rFonts w:ascii="arial" w:eastAsia="arial" w:hAnsi="arial" w:cs="arial"/>
          <w:i/>
          <w:color w:val="000000"/>
          <w:sz w:val="20"/>
          <w:lang w:val="en-US" w:eastAsia="en-US" w:bidi="ar-SA"/>
        </w:rPr>
        <w:t>post hoc</w:t>
      </w:r>
      <w:r>
        <w:rPr>
          <w:rFonts w:ascii="arial" w:eastAsia="arial" w:hAnsi="arial" w:cs="arial"/>
          <w:color w:val="000000"/>
          <w:sz w:val="20"/>
          <w:lang w:val="en-US" w:eastAsia="en-US" w:bidi="ar-SA"/>
        </w:rPr>
        <w:t xml:space="preserve"> reasoning to escape the consequences of what should have been obvious to him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Thus, I conclude Dr. Southerland:</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saw that his instrument was placed unusually anterior, after he had removed most of the disc material from the annulus;</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as he should, stop but instead, continued to take a bite with the rongeur;</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as he said he should if paying sufficient attention, feel anything different than disc material;</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removal of the rongeur observed the rush or gush of bright red blood that ran into and up to the edge of the disc space;</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saw that the blood flow did not stop immediately, but continued for some period of time, up to 30 seconds;</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as he should, check the jaws of his rongeur to determine the material he had removed;</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consider, as he should, the prospect of the tamponade effect or the possibility that blood would run into the retroperineum;</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as he should, consider that Ms. Carlsen may well not show signs of distress until she lost some one third of her blood volume;</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as he should, chart his observation of blood in the disc; and</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as he should, advise and instruct the PAR staff of the possibility of injury to either or both blood vessels and to be on the look out for tell-tale 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As a result, I find Dr. Southerland was negligent both in terms of the manner in which he carried out the surgery and in respect of provision of post-surgical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award costs to Ms. Carlsen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P.W. WALKER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January 30,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Revised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 to the Reasons for Judgment issued advising that there was an error with respect to one of Counsel for the Plaintiff's names, which has now been amended to read as G. Rhone.</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2" style="position:absolute;z-index:2518169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4" w:history="1">
        <w:r>
          <w:rPr>
            <w:rFonts w:ascii="arial" w:eastAsia="arial" w:hAnsi="arial" w:cs="arial"/>
            <w:b/>
            <w:bCs/>
            <w:i/>
            <w:color w:val="0077CC"/>
            <w:kern w:val="32"/>
            <w:sz w:val="28"/>
            <w:szCs w:val="32"/>
            <w:u w:val="single"/>
            <w:shd w:val="clear" w:color="auto" w:fill="FFFFFF"/>
            <w:lang w:val="en-US" w:eastAsia="en-US" w:bidi="ar-SA"/>
          </w:rPr>
          <w:t>Collette v. Dundee Securities Corp., [2006] B.C.J. No. 1168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Wedge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27,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24,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A993104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1168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820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150 A.C.W.S. (3d) 1063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Guy J. Collette and Janice Myhre, plaintiffs, and Dundee Securities Corporation/Corporation De Valeurs Mobilieres Dundee, defendant, and Multimetro Mortgage Corporation and Ken Megale,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3"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7" w:name="Keywords_5"/>
      <w:bookmarkEnd w:id="37"/>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Duty of care — Standard of care — Application for directions in class proceeding to determine whether evidence of alleged misconduct by third party Multimetro after foreclosure was admissible at trial of common issues — Plaintiff sued defendant for losses incurred after plaintiff and class members invested in mortgages sold by Multimetro and marketed by defendant — Class members argued defendant breached its duty to screen out products that had little investment value before making product available to client --Multimetro's past foreclosure conduct not admissible — Not clear at this stage how any post-foreclosure misconduct by Multimetro could alter chain of causation linking defendant to class member's losses or reduce quantum of those losses recoverable from defendant.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8" w:name="Case Summary_4"/>
            <w:bookmarkEnd w:id="3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for directions in class proceeding -- Action based on allegations of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negligent misrepresentation arising from defendant Dundee Securities' sale of investment units offered by third party, Multimetro Mortgage Corporation -- Parties sought direction of whether evidence of alleged misconduct by Multimetro after foreclosure was admissible at trial of common issues -- Multiometro acted as mortgage broker for purchasers and developers of commercial property -- Multimetro funded prospective mortgages by selling units in the mortgages to investors -- Multimetro had engaged defendant Dundee Securities to market units to investors -- Mortgagors defaulted on mortgages at issue and Multimetro commenced foreclosure proceedings -- Class members were investors who lost their investments in the mortgages -- One of the common issues was claim that Dundee had a duty to screen out products that had little investment value before making the products available to its clients -- Defendant argued that Multimetro's post-foreclosure conduct was relevant to common issue of causation because it might reduce or eliminate defendant's exposure for damages -- HELD: Evidence of alleged post-foreclosure misconduct of Multimetro was not admissible at trial of common issues -- Quantification of damages and questions concerning Multimetro's conduct 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class members were not part of common issues -- No argument could be made that Multimetro might be liable for all loses suffered by class members -- Defendant provided no particulars of alleged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part of class members -- Not clear at this stage how any post-foreclosure misconduct by Multi metro could alter chain of causation linking defendant to class member's losses or reduce quantum of those losses recoverable from defendant -- Defendant remained liable for losses caused in part by a third party's wrongful or criminal acts if those acts were the very risk the defendant was to guard against or if they flowed directly from defendant's breach of duty.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9" w:name="Legislation Cited_3"/>
      <w:bookmarkEnd w:id="3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4"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Rules of Court, Rule 19(24)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0" w:name="Counsel_5"/>
      <w:bookmarkEnd w:id="4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5" style="position:absolute;z-index:2517667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D.G. Fredricksen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N. Campbell D. E. Gruber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one appearing for the Third Parties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1" w:name="Judgment_5"/>
      <w:bookmarkEnd w:id="41"/>
      <w:r>
        <w:pict>
          <v:line id="_x0000_s1056" style="position:absolute;z-index:25181798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2" w:name="WEDGE J."/>
            <w:bookmarkEnd w:id="42"/>
            <w:r>
              <w:rPr>
                <w:rFonts w:ascii="arial" w:eastAsia="arial" w:hAnsi="arial" w:cs="arial"/>
                <w:b/>
                <w:color w:val="000000"/>
                <w:sz w:val="30"/>
                <w:lang w:val="en-US" w:eastAsia="en-US" w:bidi="ar-SA"/>
              </w:rPr>
              <w:t>WEDGE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1.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Court of Appeal certified the plaintiffs' action as a class proceeding in March of 2004 (</w:t>
      </w:r>
      <w:r>
        <w:rPr>
          <w:rFonts w:ascii="arial" w:eastAsia="arial" w:hAnsi="arial" w:cs="arial"/>
          <w:b/>
          <w:i/>
          <w:color w:val="000000"/>
          <w:sz w:val="20"/>
          <w:lang w:val="en-US" w:eastAsia="en-US" w:bidi="ar-SA"/>
        </w:rPr>
        <w:t>Collette v. Great Pacific Management Co.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(2004), 26 B.C.L.R. (4th) 252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2004 BCCA 110</w:t>
      </w:r>
      <w:r>
        <w:rPr>
          <w:rFonts w:ascii="arial" w:eastAsia="arial" w:hAnsi="arial" w:cs="arial"/>
          <w:color w:val="000000"/>
          <w:sz w:val="20"/>
          <w:lang w:val="en-US" w:eastAsia="en-US" w:bidi="ar-SA"/>
        </w:rPr>
        <w:t xml:space="preserve">). The action is based on allegations of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negligent misrepresentation arising from the defendant's sale of investment units offered by the third party, Multimetro Mortgage Corporation ("Multimetro").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parties jointly seek the Court's direction on the following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Having regard to the common issues which have been certified in this Class Proceeding, and having regard to the Reasons for Judgment of the British Columbia Court of Appeal in respect of the certification of this matter, is evidence of the alleged misconduct of Multimetro Mortgage Corporation in the administration of the Nanaimo Mortgage and Parksville Mortgage subsequent to the advance of all funds to the mortgagors relevant and admissible at the trial of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For purposes of determining this issue, the parties have jointly formulated the following statement which they have asked the Court to assume is true: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this hearing only, the parties agree that there is evidence which could support an argument by the Defendant that after the borrowers defaulted and Multimetro obtained Orders Absolute of foreclosure to both the Parksville and Nanaimo properties, Multimetro acted tortiously and in breach of its fiduciary duty to the unitholders in a manner that diminished the unitholders' security and/or equity in the properties which otherwise potentially could have been realized upon for distribution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2. Background to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background to the action is described in the reasons of the Court of Appeal. For purposes of this application, the relevant facts are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Multimetro acted as a mortgage broker, providing or arranging mortgage financing for borrowers who wished to purchase and develop commercial property. Once Multimetro entered into an agreement with a prospective borrower, it would fund the prospective mortgage by selling units in the particular mortgage to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Multimetro syndicated the mortgages into units for investors. It engaged investment advisor firms such as the defendant Great Pacific (now known as Dundee Securities Corporation but also previously known as Cartier Partners Securities Inc.) to market the units to their clients in exchange for commissions.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investments giving rise to this class action concerned two mortgage investments related to proposed commercial developments in Nanaimo and Parksville.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Nanaimo project involved the proposed purchase and redevelopment of a hotel to be financed by a mortgage to which I will refer to as the Nanaimo Mortgage. The Nanaimo Mortgage was for first mortgage construction financing to a maximum of $15 million. Interest was to be calculated at 18% per annum, of which 8% was to be paid quarterly and the balance of 10% was to be paid at the time of payment out of the mortgage. The term of the Nanaimo Mortgage was 24 months. Although the commitment letter indicated a maximum mortgage advance of $15 million, it provided for the deduction of mortgage arrangement costs of $3.36 million and an interest reserve fund of $1.4 million. Thus, only $10.24 million was available to be applied against the cost of the land purchase and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Parksville project involved the purchase of waterfront property and development of luxury resort condominiums to be financed by a mortgage to which I will refer as the Parksville Mortgage. Multimetro signed a commitment letter to provide financing of $12 million to the developer, secured by a first mortgage. However, only $8.6 million was to be advanced to the borrower. Mortgage arrangement costs of $2.4 million were held back, as was an interest reserve of $1 million. The interest rate was 16%, of which 8% was to be paid quarterly and the balance of 8% was to be paid upon payment out of the Parksville Mortgage. Similar to the Nanaimo Mortgage, the term of the Parksville Mortgage was 24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Great Pacific marketed the syndicated mortgage units to its clients for Multimetro in return for a commission of 8% to 10% on each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Other than payments made from the interest reserve holdbacks by Multimetro, the borrower made no payments toward principal or interest on either the Nanaimo Mortgage or the Parksville Mortgage. Eventually, Multimetro commenced foreclosure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became apparent that the investors would lose their investments in the Nanaimo Mortgage and the Parksville Mortgage. An action was commenced against Great Pacific, who then successfully applied to have Multimetro and its president, Ken Megale, added as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April of 2000, one of the plaintiffs, Mr. Collette, applied to have the action certified as a class proceeding. This application was rejected by the chambers judge, but Mr. Collette successfully appealed.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Court of Appeal described the theory of the plaintiff's case, which was that the defendant Great Pacific, before making investment products such as syndicated mortgage units available to its clients, had a duty to "screen out" products which had little or no investment merit. These products were speciality investment products because they were not generally available to the public through a stock exchange or a publicly traded market. Instead, they were made available through investment advisor firms, such as Great Pacific, who were then required to exercise due diligence before offering them to their clients. The Court described this theory as follows at paras. 19-20: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appellant's theory emphasizes a two stage process by Great Pacific ... in the sale of the mortgage units. The first stage involved a due diligence review of the mortgage units by the Great Pacific specialty investment department .... The second stage involved offering the units to individual investors by particular financial advisors of the respondent firms.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appellant contends that the due diligence responsibility of the specialty investment department at stage one is a common duty to all clients and that the respondents breached that duty in passing the units for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acknowledged that the "second stage" duty of individual advisors to clients was an individualized obligation involving consideration of the particular circumstances of investors that did not raise common issues. However, the plaintiff asserted that the "first stage" duty of care constituted an issue common to all clients of the defendant because it did not require individual proof of reliance. The Court of Appeal described the plaintiff's argument as follows at para.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appellant says that the alleged breach of duty at stage one satisfies the "but for" test of causation for all the investors because if the units had failed the due diligence review they would not have been offered for sale by either firm to any of their clients ... They were specialty investments available only from firms who assumed a responsibility to carry out a due diligence assessment of the investment and offer the units to clients if they met the due diligence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Ultimately, the Court of Appeal agreed that the action was appropriate for certification because the plaintiff's two stage theory of liability precluded the necessity to prove reliance (which would otherwise be an individual issue) at the first stage. The Court said this at para.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 if the mortgage units had not passed the due diligence test they would not have been offered for sale by the respondents to any clients. Causation is therefore established between a breach of due diligence duty and the investors' loss, independently of proof of individual reliance. In my view, proof of reliance does not present an obstacle to the appellant's case as framed. The appellant's case adequately links a breach of duty causally to the investors'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Court concluded at para. 35 that there were common issues whose determination would move the litigation forward in a significant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appellant's case is that no investment advisor could have offered the units to any client unless they passed the due diligence test of the specialty investment department. Any breach of duty at that stage, in allowing the units to be offered for sale by any advisor to any client, is common to all clients of the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Court then defined the common issues as follows at para. 38:</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 ... owe, to the class members with whom [it] dealt, a duty in contract, tort, or both, to evaluate the Multimetro Mortgages by a standard of due diligence and not to offer units in the mortgages for sale to class members if the investments did not meet the standard of due diligence?</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question 1 is "yes", did the [Defendant] ... breach that duty?</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answers to questions 1 and 2 are "yes", did the breach of duty cause damage to the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Having regard to the common issues as stated by the Court of Appeal, and the reasons underlying them, the parties seek direction as to whether evidence of the alleged misconduct of Multimetro subsequent to the advance of all funds to the mortgagors is relevant to the third common issue and therefore admissible at the trial of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3.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Plaintiffs'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plaintiffs submit that Multimetro's later conduct is irrelevant to the issue of whether the alleged breach of duty by Great Pacific harmed the class members. The reasons of the Court of Appeal make clear that causation is established if the plaintiffs prove both a breach of a duty owed to the class members and a subsequent loss. Nothing further is required to impose liability on Great Pacific.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evidence obtained through examinations for discovery conducted to this point demonstrates that the class members lost all of the principal amounts they invested. Each class member received only a small payment of interest from the interest reserves that were set up by Multimetro. Great Pacific does not contest this assertion concerning the loss suffered by the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Further, representatives of Great Pacific have acknowledged, in examination for discovery, that they knew from the outset that the borrowers (developers of the projects) had no equity in the Nanaimo and Parksville projects. The Nanaimo property was eventually sold by way of a court order for $2,800,000. The Parksville property was sold, again by way of a court order, for $1,775,000. Thus, by the time of the foreclosures, the class members had lost almost all of their invested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Even if it is assumed, for purposes of the present application, that Multimetro's later conduct was both tortious and unforeseeable, this does not alter the chain of causation linking Great Pacific to the class members' losses, or reduce the quantum of those losses recoverable from Great Pacific. Accordingly, evidence of Multimetro's alleged misconduct is legally irrelevant: Even if proved, it will not change the answer to the question of causation as articulated by the Court of Appeal in the third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Defendant's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 says is up to the parties to frame the issues, through the pleadings, that will be relevant at trial. In this case, the defendant has pleaded that no acts or omissions of Great Pacific are the proximate cause of the losses suffered by the plaintiffs. It has also pleaded that the plaintiffs' losses were caused, or contributed to, by the conduct of the plaintiffs and/or Multimetro after foreclosure.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the present case, says the defendant, the third common issue as stated by the Court of Appeal deals with the issue of loss causation generally. Determination of that issue in the context of a class proceeding is not inconsistent with the determination of issues relating to causation raised by the pleadings in the ordinary course. The defendant should only be precluded from leading evidence relating to the effect of the post-foreclosure conduct of the class members or Multimetro if those provisions of the statement of defence would otherwise be struck out under Rule 19(24) of the </w:t>
      </w:r>
      <w:r>
        <w:rPr>
          <w:rFonts w:ascii="arial" w:eastAsia="arial" w:hAnsi="arial" w:cs="arial"/>
          <w:b/>
          <w:i/>
          <w:color w:val="000000"/>
          <w:sz w:val="20"/>
          <w:lang w:val="en-US" w:eastAsia="en-US" w:bidi="ar-SA"/>
        </w:rPr>
        <w:t>Rules of Court</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The plaintiffs must establish that it is "plain and obvious" that the defences pled by Great Pacific raise no reasonable defence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 argues there may be evidence that the investors' losses were caused entirely by the tortious conduct of Multimetro after foreclosure. Further, if there is evidence that investors knew or ought to have known of misfeasance by Multimetro or mismanagement of the mortgages, and failed to take action by removing Multimetro as trustee, the Court can conclude that class members were contributorily negligent for some or all of their losses. If Multimetro and/or the class members are liable for their losses, there can be no causal connection between the defendant's breach and the losses suffered by the class members. The defendant argues at this stage, it cannot be said that it is plain and obvious that such a finding is untenable.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4.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 do not accept that because the pleadings of the defendant allege contributory and/or third party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must be permitted to call evidence concerning those pleas in the trial of the common issues unless the plaintiff can establish that they raise no reasonable defence in law. In my view, the Rule 19(24) analogy argued by the defendant is not an apt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is beyond question that the common issues must be grounded in the pleadings. However, a class action is certified on the basis of common issues arising from the pleadings that are capable of moving the litigation forward in a significant way. It is entirely possible that not all aspects of the pleadings will be engaged by the common issues in a class proceeding. Typically, individual issues arising from the pleadings are dealt with by way of hearings following the common issues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real question in this case is whether the third common issue, as articulated by the Court of Appeal, encompasses issues of contributory and/or third party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evidence the defendant seeks to advance at the trial of the common issues is the conduct of Multimetro, and presumably the conduct of the individual class members, which occurred well after Great Pacific approved the mortgage units for sale to its clients, and after Multimetro advanced the funds to the mortgagors, the mortgagors defaulted, and foreclosure proceedings began. The defendant argues that this post-foreclosure conduct is relevant to the third common issue - that is, the causation issue - because it may reduce or eliminate Great Pacific's exposure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 cannot agree with that argument. A fair reading of the reasons of the Court of Appeal discloses that the focus of the inquiry was whether Great Pacific owed a specific "stage one" duty of due diligence to the class members, whether the duty was breached by Great Pacific, and whether the breach of that duty caused damages to the class members. The Court of Appeal was well aware of the role of Multimetro in the Nanaimo and Parksville projects, and the fact that the class members advanced considerably more money to Multimetro than Multimetro advanced to the borrowers. Yet the Court of Appeal did not include quantification of the damages in the statement of the common issues, nor did it include any questions concerning the conduct of the third party Multimetro or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defendant argues that it may wish to call evidence at the common issues trial to establish that the plaintiffs' capital losses flowed from the actions of Multimetro and the plaintiffs' themselves. However, the defendant does not provide any particulars, or even any theory of Multimetro's liability, that gives an air of reality to the argument that Multimetro might have been responsible for </w:t>
      </w:r>
      <w:r>
        <w:rPr>
          <w:rFonts w:ascii="arial" w:eastAsia="arial" w:hAnsi="arial" w:cs="arial"/>
          <w:i/>
          <w:color w:val="000000"/>
          <w:sz w:val="20"/>
          <w:lang w:val="en-US" w:eastAsia="en-US" w:bidi="ar-SA"/>
        </w:rPr>
        <w:t>all</w:t>
      </w:r>
      <w:r>
        <w:rPr>
          <w:rFonts w:ascii="arial" w:eastAsia="arial" w:hAnsi="arial" w:cs="arial"/>
          <w:color w:val="000000"/>
          <w:sz w:val="20"/>
          <w:lang w:val="en-US" w:eastAsia="en-US" w:bidi="ar-SA"/>
        </w:rPr>
        <w:t xml:space="preserve"> of the losses suffered by the class members as opposed to only a portion of those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Nor does the defendant provide any particulars of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alleges on the part of the class members. In any event, whether the class members, or any of them, knew of Multimetro's misfeasance but did not intervene, would necessarily involve individual inquiries.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is not clear at this stage how any post-foreclosure misconduct of Multimetro could alter the chain of causation linking Great Pacific to the class members' losses or reduce the quantum of those losses recoverable from Great Pacific. Multimetro and Great Pacific did not work together or jointly intend the losses. As such, on the facts the Court has been asked to accept as true for purposes of this application, it appears they were concurrent tortfeasors whose independent wrongs produced one set of injuries. A defendant remains liable for all damages arising from injuries they cause. A defendant's share of liability will not be reduced because other causes also contributed to those injuries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Further, a defendant remains liable for the losses caused in part by a third party's wrongful or criminal acts if those acts are the very risk the defendant was to guard against, or if they flowed directly from the defendant's breach of duty (Linden, </w:t>
      </w:r>
      <w:r>
        <w:rPr>
          <w:rFonts w:ascii="arial" w:eastAsia="arial" w:hAnsi="arial" w:cs="arial"/>
          <w:i/>
          <w:color w:val="000000"/>
          <w:sz w:val="20"/>
          <w:lang w:val="en-US" w:eastAsia="en-US" w:bidi="ar-SA"/>
        </w:rPr>
        <w:t>Canadian Tort Law,</w:t>
      </w:r>
      <w:r>
        <w:rPr>
          <w:rFonts w:ascii="arial" w:eastAsia="arial" w:hAnsi="arial" w:cs="arial"/>
          <w:color w:val="000000"/>
          <w:sz w:val="20"/>
          <w:lang w:val="en-US" w:eastAsia="en-US" w:bidi="ar-SA"/>
        </w:rPr>
        <w:t xml:space="preserve"> 7th ed. (Toronto: Butterworths, 2001) at 372-76).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Notwithstanding these observations, I do not intend at this early stage of the proceedings to foreclose the ability of the defendant to argue that Great Pacific's alleged liability for the investors' losses ought to be reduced as a result of post-foreclosure events, or, for that matter, whether Multimetro's alleged misconduct constituted an intervening event that broke the causation chain. While the foundation for these arguments is not yet apparent, it is too early in the proceedings to determine whether the arguments have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However, having reviewed yet again the reasons of the Court of Appeal, I am satisfied that the common issues as stated in those reasons do not encompass issues arising from the alleged post-foreclosure conduct of the class members and/or Multimetro. In the event that the plaintiffs succeed in the trial of the common issues, there will be a further hearing dealing with issues relating to quantum of damages and apportionment or contribution as between Great Pacific and Multimetro. Great Pacific will be at liberty at that time to renew its arguments concerning the conduct of Multimetro and the class members after foreclosure proceedings were initiated.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5.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summary, I conclude that evidence of the alleged post-foreclosure misconduct of Multimetro is not relevant to the common issues as articulated by the Court of Appeal and is therefore not admissible at the trial of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WEDGE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7"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2" w:history="1">
        <w:r>
          <w:rPr>
            <w:rFonts w:ascii="arial" w:eastAsia="arial" w:hAnsi="arial" w:cs="arial"/>
            <w:b/>
            <w:bCs/>
            <w:i/>
            <w:color w:val="0077CC"/>
            <w:kern w:val="32"/>
            <w:sz w:val="28"/>
            <w:szCs w:val="32"/>
            <w:u w:val="single"/>
            <w:shd w:val="clear" w:color="auto" w:fill="FFFFFF"/>
            <w:lang w:val="en-US" w:eastAsia="en-US" w:bidi="ar-SA"/>
          </w:rPr>
          <w:t>Connor Financial Services International Inc. v. Carver, [2015] B.C.J. No. 2726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 Brown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29-31, 2014; July 20,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21, 2015; written submissions of</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plaintiff, July 31, August 19,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written submissions of defendants,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August 11,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10,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06-4941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2726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2320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Connor Financial Services International Inc., Plaintiff, and Fred George Carver and Jane Christine Carbert, Defendants, and Connor Financial Corporation and JG Gerry Connor, Defendants by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8"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3" w:name="Keywords_6"/>
      <w:bookmarkEnd w:id="43"/>
      <w:r>
        <w:rPr>
          <w:rFonts w:ascii="arial" w:eastAsia="arial" w:hAnsi="arial" w:cs="arial"/>
          <w:b/>
          <w:color w:val="000000"/>
          <w:sz w:val="20"/>
          <w:lang w:val="en-US" w:eastAsia="en-US" w:bidi="ar-SA"/>
        </w:rPr>
        <w:t xml:space="preserve">Damages — For torts — Fraud and misrepresentation — Breach of fiduciary duty — Relationship between parties — Professional — Application by Connor Financial Services International Inc. for summary judgment for sums borrowed by defendants allowed, and application by Carver and Carbert for summary judgment in action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fiduciary duty, against third party Connor Financial Corporation and Connor allowed — Carver and Carbert received financial advice from Connor — Connor loaned Carver and Carbert $25,000 plus interest — After set off, nothing was payable to any party — Carver and Carbert took loan from Connor's company, which was clearly conflict of interest — Connor failed to make reasonable efforts to determine Carver's risk tolerance — Securities Regulation, s. 48.</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4" w:name="Case Summary_5"/>
            <w:bookmarkEnd w:id="4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Connor Financial Services International Inc. ("Connor Inc.") for summary judgment for sums borrowed by the defendants dismissed, and application by defendants Carver and Carbert for summary judgment against third party Connor Financial Corporation ("Connor Corp.") and Connor allowed. Carver and Carbert signed two documents. Each was entitled "Promissory Note". Connor Inc. claimed that the defendants borrowed $25,000 in 2000 at 13 percent annum interest compounded monthly, and that on April 13, 2007, it gave notice of an interest rate increase to 46.8 percent compounded monthly, effective May 15, 2007. Connor Inc. claimed that the amount owing as of October 27, 2014 was $1,984,615. The defendants plead that Connor Inc. did not advance any funds to them, but rather the funds were loaned from Connor Corp. They plead that Connor Corp. raised the interest to a criminal rate, and that $15,000 of the amount advanced was advanced on a promissory note dated May 19, 2000, and was unenforceable because it was beyond the limitation period. Carver argued that Connor entered a contract to provide Carver with investment advice and to invest Carver's funds in a professional manner in accordance with Carver's instructions. Carver claimed he failed to do so and that as a result, Carver suffered losses. Carver and Carbert claimed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5" w:name="Holdings of Court_3"/>
            <w:bookmarkEnd w:id="45"/>
            <w:r>
              <w:rPr>
                <w:rFonts w:ascii="arial" w:eastAsia="arial" w:hAnsi="arial" w:cs="arial"/>
                <w:color w:val="000000"/>
                <w:sz w:val="20"/>
                <w:lang w:val="en-US" w:eastAsia="en-US" w:bidi="ar-SA"/>
              </w:rPr>
              <w:t>HELD: Applications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effective change to the interest rate. The notice did not comply with the terms of the loan document in that it did not provide 30 days' notice of an interest rate adjustment. It purported to retroactively change the rate of interest. Connor breached his duty first in failing to make reasonable efforts to determine Carver's risk tolerance given his and Carbert's investment goals and personal circumstances, and also in failing to suitably invest Carver's funds in accordance with his true risk tolerance, including his failure to appropriately diversify Carver's holdings and otherwise mitigate the risks to his investments. In these circumstances of negligently recommending unsuitable investments, Carver and Carbert were entitled to recover damages. Connor owed a fiduciary duty to Carver and Carbert. Carver and Carbert relied on Connor's advice throughout their dealings with him. Connor recommended that Carver take a loan from his company rather than cashing in his RRSPs. In doing so, Connor was clearly in a conflict of interest. Because of Connor's breaches, Carver lost approximately $49,000 in his investment portfolio. Carver and Carbert receive $25,000, and this amount was set off against losses in Carver's investment portfolio. Connor Inc. and Connor Corp. were merely alter egos for Connor and it was appropriate to set amounts off against each other. After set off, nothing was payable to any party.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6" w:name="Legislation Cited_4"/>
      <w:bookmarkEnd w:id="4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9"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Securities Regulation, B.C. Reg. 196/97, s. 48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7" w:name="Counsel_6"/>
      <w:bookmarkEnd w:id="4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0" style="position:absolute;z-index:2517678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E. Pedersen.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 Juteau.</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8" w:name="Judgment_6"/>
      <w:bookmarkEnd w:id="48"/>
      <w:r>
        <w:pict>
          <v:line id="_x0000_s1061" style="position:absolute;z-index:2518190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PLEADINGS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BACKGROUND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DEBT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Findings of Fact and Credibility Issues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Is CFSI the Proper Party?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Was the Second Loan Used to Repay the First?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What is the Rate of Interest?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Are Full Legal Fees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BREACH OF CONTRACT/</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Positions of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Expert Reports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BREACH OF FIDUCIARY DUTY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DISPOSITION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UNCONSCIONABILITY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COSTS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9" w:name="B. BROWN J."/>
            <w:bookmarkEnd w:id="49"/>
            <w:r>
              <w:rPr>
                <w:rFonts w:ascii="arial" w:eastAsia="arial" w:hAnsi="arial" w:cs="arial"/>
                <w:b/>
                <w:color w:val="000000"/>
                <w:sz w:val="30"/>
                <w:lang w:val="en-US" w:eastAsia="en-US" w:bidi="ar-SA"/>
              </w:rPr>
              <w:t>B. BROWN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There are two summary trial applications before me. In the first, the plaintiff seeks judgment against the defendants for sums which it says the defendants borrowed from it as follows:</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$20,437.90, plus interest accruing at the rate of 13% per annum, compounded monthly from November 15, 2000 to May 15, 2007, plus interest at the annual rate of 46.8% after May 15, 2007;</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$5,000, plus interest accruing at the annual rate of 13% compounded monthly from December 20, 2000 to May 15, 2007, plus interest at the annual rate of 46.8% compounded monthly after May 15, 2007;</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of this action on a full indemnity basis, plus interest accruing at an annual rate of 46.8% compounded monthly;</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matter be referred to the Registrar to determine the total amount of costs owing plus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says that the amount owing as of October 27, 2014 is $1,984,615.05.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the second summary judgment application, the defendants Mr. Carver and Ms. Carbert seek judgment against the third party, Connor Financial Corporation and J.G. Gerry Connor for:</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 breach of contract;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alternatively,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breach of fiduciary duty 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pre-judgment interest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Mr. Carver's RRSP funds be released to his exclusive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claims against the defendants in debt. It says that the defendants borrowed $25,000 in 2000 at 13% per annum interest, compounded monthly. It says that on April 13, 2007, it gave notice of an interest rate increase to 46.8% compounded monthly, effective May 15,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plead that the plaintiff did not advance any funds to them, but rather the funds were loaned from Connor Financial Corporation. They plead that CFC raised the interest to a criminal rate. Further, they say that $15,000 of the amount advanced was advanced on a promissory note dated May 19, 2000, and is unenforceable because it is beyond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defendants filed a counterclaim against Connor Financial Corporation and Mr. Connor (the principal of the plaintiff). In it they allege in part that CFC, CFSI and Connor owed a fiduciary duty and a duty to exercise reasonable care and skill in managing their investments and in providing advice, including advice regarding the risks of borrowing. They plead that Mr. Connor was in a conflict of interest, rendering the plaintiff's claim void and unenforceable. They plead that Mr. Connor was in breach of his professional duties and that he failed to provide appropriate advice, resulting in a loss to them. They also plead that Mr. Connor and the plaintiff failed to communicate, failed to provide loan statements, and intentionally delayed seeking repayment to increase the amount. They seek damages for breach of contract,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defendants by counterclaim deny that they breached a contract or any professional or fiduciary duties owed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Carver and Ms. Carbert met Mr. Connor in early 2000. Mr. Connor is the sole director, president and secretary of both Connor Financial Corporation and Connor Financial Services International Inc. At the time of their first meeting, Mr. Carver had approximately $115,000 invested in RRSPs with Standard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Carver and Ms. Carbert sought financial advice from Mr. Connor. After discussions with Mr. Connor, Mr. Carver transferred his RRSPs from Standard Life to MRS Trust Company through CFC as his investment dealer, with Mr. Connor as his financial adviser and representative. Later in 2000 Mr. Carver and Ms. Carbert borrowed $25,000. They received the funds by way of five cheques drawn on the account of Connor Financial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They did not make payments on the loan. In November 2006 the plaintiff started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DEBT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argues that it made three advances of $5,000 to the defendants pursuant to a loan agreement of May 19, 2000. The plaintiff says that in November 2000 the defendants had not repaid any of the money that they had borrowed on the first loan agreement and approached the plaintiff for a further loan to pay off the unpaid amount and to borrow further funds. The plaintiff agreed to loan further money to the defendants and they executed a second loan agreement which provided that the defendants would receive a $30,000 line of credit with interest at 13% per annum compounded monthly, payable on demand. If the loan was not paid on demand and required action, the defendants would pay all costs of collection including a reasonable solicitor's fee, which itself would accrue interest at the same rate of the loan. The plaintiff says that it advanced $15,437.90 on November 15, 2000, the amount required to pay off the first advance, plus an additional $5,000. On December 20, 2000 it advanced a further $5,000. The plaintiff says that on April 13, 2007, plaintiff's counsel wrote to the defendants to advise them that the interest rate would increase to 4% per month as of May 15, 2007. On October 6, 2013 plaintiff's counsel wrote to the defendants to inform them that the interest rate increase had been stated in error (as it was in excess of the criminal rate of interest) and that the proper amount of the increase was 3.9% per month as of May 15,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defendants admit that they received $25,000 from CFC. They say this was taken instead of making an RRSP withdrawal from Mr. Carver's RRSP account. They admit that they signed two documents entitled "Promissory Note". They deny that the plaintiff CFSI advanced them any monies. They say that there is no evidence that CFSI had any funds to lend. They argue that there are no allegations of agency, loan, guarantee or other reason by which CFSI is entitled to rely on funds advanced by CFC to the defendants to support a debt in favour of CFSI. They say that the two notices that they received over the six year period came from CFC.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They argue that if the loans could be said to be advanced by CFSI, they did not agree to have the first loan paid out with the second loan. The first loan of $15,000 is at 12% per annum, while the second loan for $30,000 was at 13% per annum. They say that only $10,000 of the second loan was advanced. They argue that CFSI cannot pursue them with respect to the first loan because it is beyond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They say that the plaintiff's attempt to increase interest to 60.1% per annum compounded monthly, effective May 15, 2006, is a criminal rate of interest and unenforceable.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Both parties say that the matter is suitable for determination on a summary trial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After receiving submissions from the parties and reviewing their affidavit materials, I concluded that it was necessary for Mr. Connor and Mr. Carver to be cross-examined before me to enable me to reach a decision on the applications. Mr. Connor and Mr. Carver were cross-examined in July 2015 and I received further written submissions from the parties at that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Findings of Fact and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is a good deal of confusion in these events, no doubt in part because of the time that has passed and in part because of the lack of documentation.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accept Mr. Carver's evidence that he and Ms. Carbert were having financial difficulties when they went to meet Mr. Connor. Mr. Carver was a real estate agent. The market was not strong and his income was down. They were not able to pay their mortgage payments. A friend suggested that they seek advice from Mr. Connor. At the time, Mr. Carver intended to cash some of his RRSPs to meet living expenses. He could not do so with Standard Life, where he had invested for several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They met Mr. Connor on February 7, 2000. Mr. Carver was 56 years old. He and Ms. Carbert owned a home worth approximately $850,000 and owed approximately $500,000, secured against the house. He had $115,000 in RRSPs invested through Standard Life. Mr. Connor told them that he could do better than Standard Life had done with the investments. He made recommendations for Mr. Carver's investments through CFC and they accepted his recommendation. They were given to understand that Mr. Connor was an excellent adviser and his clients had done significantly better than the market. They were persuaded to invest through Mr. Connor and CFC. Ultimately all of Mr. Carver's investments were transferred from Standard Life and invested through CFC.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March 20, 2000, Mr. Carver attended at CFC's offices, wanting to receive $20,000 net from his RRSPs. Mr. Connor was away on holidays. Other staff members followed Mr. Carver's instructions and redeemed $28,000 of RRSPs, netting $20,000 after tax.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May 18, 2000, Mr. Carver wanted to redeem additional RRSPs. Mr. Connor persuaded him against this, suggesting instead that he should borrow the money. Mr. Connor would make a line of credit available for $15,000. Mr. Connor said that this would be far less expensive than cashing RRSPs and paying the tax on redemption. He also persuaded Mr. Carver that the funds invested through him would do so well that they would cover the interest on the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By November, Mr. Carver needed more money. He had another discussion with Mr. Connor. The line of credit was increased to $30,000. Mr. Carver and Ms. Carbert signed a second 'promissory note'. They received two additional advances of $5,000. Internally, the loans advanced on the first 'promissory note' were repaid from the second. The interest rate was increased to 13%. Mr. Connor says that Mr. Carver asked that the earlier advances be repaid from the November line of credit. I do not accept that this repayment was initiated by Mr. Carver. Mr. Connor likely said that he would repay the earlier advances from the new line of credit and Mr. Carver did not object.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After the last $5,000 was advanced on December 20, 2000, Mr. Carver says, and I accept, that he heard nothing regarding the loans. The loans had been secured against the investments. The investments went down significantly and he assumed that Mr. Connor had cashed investments to satisfy the amount outstanding.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September 16, 2003, Mr. Connor issued a memo to Mr. Carver and Ms. Carbert, stating that there was $35,609.88 outstanding on the loan. Mr. Carver responded, questioning the amount claimed and asking for a breakdown. Mr. Connor responded with a memo, setting out the dates of the advances and the interest rate of 13% compounded monthly, with a total outstanding of $36,814.83 as of September 30,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Carver and Ms. Carbert did not make any payment and heard nothing until January 2006 when he was asked by CFC to come in to discuss the outstanding loan. Emails were exchanged, but little happened until October 20, 2006, when Mr. Connor issued a demand from CFSI for payment of the outstanding loan of $54,700.54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Carver and Ms. Carbert did not pay and this action was started.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This application raises the following issues:</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CFSI the proper party bring action to recover the debt?</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second loan used to repay the first?</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what is the rate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52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51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the interest rate increase is enforceable, as of what date?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Is CFSI the Proper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Carver and Ms. Carbert signed two documents. Each is entitled "Promissory Note". The first is dated May 19, 2000, and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consideration received Fred George Carver and Jane Christine Carver promise to pay to Connor Financial Services International Inc. ...the sum of $15,000 as a line of credit on demand, together with interest thereon, together with interest on overdue interest, computed from the date hereof at the annual rate of $12% per annum. All such interest shall be compounded monthly as hereinafter provided as well after as before maturity and both before and after default on so much of the principal as shall from time to time remain unpaid until payment in full of all indebtedness evidenced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back side of the document contains terms and conditions. It provides that the borrower applies for a loan from Connor Financial Corporation. The borrower directs CFC to advance the loan proceeds as the borrower shall direct. The borrower acknowledges that the debt is evidenced by the execution of the agreement and agrees that CFC at its sole discretion may demand monthly payments. The borrower further agrees that the full amount of the note plus accrued interest is payable on demand. At paragraph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borrower acknowledges and agrees that upon thirty (30) days' notice and so from time to time the interest rate may be adjusted by CFC.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And at clause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effective date of the loan is the earlier of the date on the note or the date the loan is advance by CFC (the "lender").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second document that the defendants executed is identical on its face, except that the amount is set at $30,000 as a line of credit and the annual rate of interest is 13% per annum compounded monthly. However, the back of the document is different. Instead of Connor Financial Corporation, the named lender is CFSI and CFSI is substituted for CFC throughout the document. Otherwise, the terms are identical.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As I have indicated, the defendants received five cheques from Connor Financial Corporation, each for $5,000. The first is dated May 18, 2000, the second October 20, 2000, the third September 22, 2000, the fourth November 15, 2000, and the fifth December 20,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Connor says that in March 1999 the Securities Commission staff began to question CFC acting as a lender to its clients. In August 1999 the Securities Commission decided that CFC could no longer lend directly to clients but Mr. Conner deposed: "I would be permitted to set up a separate corporate entity through which I could continue to conduct lending activities." Accordingly, in October 1999 Mr. Connor incorporated Connor Financial Services International to carry out lending activities. He asserts that the cheques from CFC were actually "advanced on behalf of CFSI".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CFSI has also provided the affidavit of Steven Rothwell, a Chartered Accountant at the firm of Klopas &amp; Rothwell, the accountant for CFC and CFSI. He deposes that in 1999 CFC had demand loans receivable of $749,868. Those loans were transferred on the books and records of CFC to CFSI and CFSI is shown as owing $724,483 to CFC for the year 2000. He says that any cheques issued by CFC "on behalf of CFSI" were recorded as loans made by CFSI to various borrowers and an amount payable to CFC equal to the amount advanced. He attaches certain records from CFSI showing two loans made by CFSI to Fred Carver and Jane Carbert. The first shows three advances made between May and October 2000. These records show that the loan of $15,437.90 was paid off on November 15, 2000. He attaches a second loan record which shows the first advance being made November 15, 2000 in the amount of $15,437.09 which paid off the first loan, plus two more advances of $5,000 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Because CFC is not a claimant in this matter, it is important to identify the party which may properly claim repayment. All of the funds were advanced by cheques drawn on the account of CFC. The defendants say that the amounts advanced were loans from CFC and do not come within the terms of the two documents on which CFSI relies. The claimant says that CFC advanced the funds on behalf of CFSI, although this was not expressly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Despite the confusion caused on the back of the first document, which identifies CFC as the lender, in each the document the defendants promise to pay a specified sum to CFSI for "consideration received". In my view, subject to my comments below, CFSI can maintain the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Was the Second Loan Used to Repay the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If the first loan was not repaid by the second loan, the claim on the first loan is statute-barred, and CFSI may only claim the two advances of $5,000 made on the second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Connor says that Mr. Carver asked to have the first loan repaid with the second and refers to notes which he said he made at the time of this conversation. Mr. Carver disputes that he asked to have an advance on the second loan to pay out the first. I have concluded that Mr. Connor told Mr. Carver that the first loan would be repaid from the second and that Mr. Carver did not object.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What is the Rate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agreement states on its face that the interest rate is 13% per annum compounded monthly, but provides in cl. 6 that CFSI may adjust the interest rate on 30 days' notice. CFSI relies on this provision in seeking interest at an effective annual rate of 58.27%.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CFSI provided two notices of rate increase. The first was by letter dated April 13, 2007. It provided that effective May 13, 2007, interest would be 4% per month, amounting to an effective annual interest rate of 60.1%. The parties agree that this would be a criminal rate of interest, contrary to s. 347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That notice would be unenforceable. The second notice of interest rate change was given by letter dated October 6, 2013. That letter stated that the earlier notice was in error, and the correct rate of interest would be 3.9% per month effective May 15, 2007, for an effective annual interest rate of 58.3%.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first notice was unenforceable and, in any event, was revoked by the later notice. The second notice does not comply with the terms of the loan document in that it does not provide 30 days' notice of an interest rate adjustment. It purports to retroactively change the rate of interest. Therefore, there is no effective change to the interest rate. While there are other arguments advanced against the increased rate of interest, in light of my conclusion, I do not need to address them.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Are Full Legal Fees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 discussed below, I would not award legal fees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BREACH OF CONTRACT/</w:t>
      </w:r>
      <w:r>
        <w:rPr>
          <w:rFonts w:ascii="arial" w:eastAsia="arial" w:hAnsi="arial" w:cs="arial"/>
          <w:b/>
          <w:i/>
          <w:color w:val="000000"/>
          <w:sz w:val="20"/>
          <w:u w:val="single"/>
          <w:lang w:val="en-US" w:eastAsia="en-US" w:bidi="ar-SA"/>
        </w:rPr>
        <w:t>NEGLIGENCE</w:t>
      </w:r>
      <w:r>
        <w:rPr>
          <w:rFonts w:ascii="arial" w:eastAsia="arial" w:hAnsi="arial" w:cs="arial"/>
          <w:b/>
          <w:color w:val="000000"/>
          <w:sz w:val="20"/>
          <w:u w:val="single"/>
          <w:lang w:val="en-US" w:eastAsia="en-US" w:bidi="ar-SA"/>
        </w:rPr>
        <w:t xml:space="preserve">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Carver argues that Mr. Connor entered a contract to provide Mr. Carver with investment advice and to invest Mr. Carver's funds in a professional manner in accordance with Mr. Carver's instructions. Mr. Carver says he failed to do so and that as a result, Mr. Carver suffered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Mr. Carver also argues that Mr. Connor and CFC are liable to him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He says that an investment advisor owes a duty of care to the investment advisor's client, the scope of which varies with the client. He says that this duty is informed by the "know your client" rule, which requires the investment advisor must use due diligence to learn the essential facts of a client's financial circumstances and make sure that all investments made for the client are suitable and in keeping with the client's risks and tolerances. To support this submission, he says that the duty of care owed by an investment advisor is also shaped by the regulatory framework that governs the relationship and refers to s. 48 of the </w:t>
      </w:r>
      <w:r>
        <w:rPr>
          <w:rFonts w:ascii="arial" w:eastAsia="arial" w:hAnsi="arial" w:cs="arial"/>
          <w:i/>
          <w:color w:val="000000"/>
          <w:sz w:val="20"/>
          <w:lang w:val="en-US" w:eastAsia="en-US" w:bidi="ar-SA"/>
        </w:rPr>
        <w:t>Securities Regulation</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B.C. Reg. 196/97</w:t>
        </w:r>
      </w:hyperlink>
      <w:r>
        <w:rPr>
          <w:rFonts w:ascii="arial" w:eastAsia="arial" w:hAnsi="arial" w:cs="arial"/>
          <w:color w:val="000000"/>
          <w:sz w:val="20"/>
          <w:lang w:val="en-US" w:eastAsia="en-US" w:bidi="ar-SA"/>
        </w:rPr>
        <w:t>, repealed in 2009 but in force at the time of the transactions at issue, which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Know your client and suitability rules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48 (1) A registrant, except an underwriter or a securities adviser, must make enquiries concerning each client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determine the general investment needs and objectives of the client, the appropriateness of a recommendation made to the client and the suitability of a proposed purchase or sale for the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He says that his portfolio is worth significantly less than it would be worth had Mr. Connor properly advised him, ascertained the circumstances of his finances and ensured that the investments made for him were suitable and in keeping with his risks and tolerances.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Carver also argues that Mr. Connor owed a fiduciary duty to him because Mr. Carver trusted and confided in the broker and relied on Mr. Connor's advice in making business decisions. He says that Mr. Connor breached that duty and was in a conflict of interest in causing CFSI/CFC to make loans to him and in not fully explaining the terms of those loans.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Mr. Connor and CFC argue that they provided appropriate advice and recommendations based on Mr. Carver's personal and financial circumstances. Mr. Connor says that he collected "know your client" data at his meetings with Mr. Carver and recorded that data in his computer database. He says that he and CFC's investment recommendations were made based on the data that he collected and based on his conversations with Mr. Carver. He says that he met the standard of care of an investment advisor and dealer by providing appropriate advice and recommendations to Mr. Carver. He says that he and CFC acted in accordance with the "know your client" and suitability rules as they were set out in s. 48 of the </w:t>
      </w:r>
      <w:r>
        <w:rPr>
          <w:rFonts w:ascii="arial" w:eastAsia="arial" w:hAnsi="arial" w:cs="arial"/>
          <w:i/>
          <w:color w:val="000000"/>
          <w:sz w:val="20"/>
          <w:lang w:val="en-US" w:eastAsia="en-US" w:bidi="ar-SA"/>
        </w:rPr>
        <w:t>Securities Regulation.</w:t>
      </w:r>
      <w:r>
        <w:rPr>
          <w:rFonts w:ascii="arial" w:eastAsia="arial" w:hAnsi="arial" w:cs="arial"/>
          <w:color w:val="000000"/>
          <w:sz w:val="20"/>
          <w:lang w:val="en-US" w:eastAsia="en-US" w:bidi="ar-SA"/>
        </w:rPr>
        <w:t xml:space="preserve"> He says that he never advised Mr. Carver to borrow money.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Expert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Carver has provided an opinion from an expert, Luke Krayenhoff. It was Mr. Krayenhoff's opinion, in summary, that Mr. Connor had failed to obtain the information required by s. 48 of the regulation and had failed to properly advise Mr. Carver of the risk in the portfolio that he was recommending. Had he appropriately investigated his client's circumstances and his desired goals, and properly advised his client, Mr. Carver would have invested in less risky investments such as the McKenzie Universal Canadian Balanced Fund or a similar fund, which Mr. Krayenhoff calculated would have placed Mr. Carver's portfolio at $114,689.58 by March 2007, rather than at $65,185.57, a difference of $49,504.01.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Krayenhoff said in his expert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investments used by Connor for Carver were not suitable for an investor with his risk tolerance. First, it does not appear that Connor undertook to determine Carver's risk tolerance through the use of a know your client or KYC form. A post hoc assessment shows that a balanced fund with a safer blend of equities and fixed income/cash would have been more suitable."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funds used by Connor were managed by professional money managers, they exposed Carver to concentrated investment sectors that the fund managers themselves warned were of high risk and not suitable as core holdings. In addition, irrespective of their performance, they exposed Carver to currency risks by holding unhedged positions in Europe and the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Connor provided me with a report from Alfonse Daudet.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It was Mr. Daudet's opinion that Mr. Carver's answers to risk tolerance questions indicate a tolerance for a higher level of risk. In addition, in his opinion an investment advisor could not have predicted the losses sustained in the first year after Mr. Carver purchased the funds he did. He reviewed the investments made by Mr. Connor for Mr. Carver:</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58% in Universal European Opportunities Fund (moderate to higher risk [though Mr. Krayenhoff identifies this fund as high risk], suitable to diversify portfolio);</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18% Working Opportunity Fund (comprised of GIC shares which were of moderate risk, commercialization shares which were also of moderate risk, and balanced shares which were of high risk);</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24% in McKenzie Universal Health and Sciences Fund (medium to high risk, suitable to diversify portfolio).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Mr. Daudet's opinion, these funds would be appropriate for a medium to higher risk individual who wanted a return of 10 to 12% per annum.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Krayenhoff responded: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opinion remains that in the face of contradictory information from a client, a prudent investment advisor should resolve the contradiction in favour of lower rather than higher risk, as recommended by Mr. Daudet...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Daudet correctly notes that "Growth 100%" was circled by Connor in 2000. I have no knowledge of the explanation provided by Connor to the Defendants as to the level of risk associated with "Growth 100%," given that it is the highest risk of the available choices and could (and did) result in large losses...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...[I]nformation collected by Connor... militates against a high risk portfolio...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picture presented by Carver in his 2000 interview with Connor is a person with substantial debt, little in the way of savings and no private pension plan. In my opinion, this is not a picture of a man who should gamble his retirement on "Growth 100%."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their more sophisticated knowledge of the markets, Investment Advisors have a duty to act in the best interests of their clients, bearing in mind all of the client's circumstances, in accordance with section 48 of the British Columbia </w:t>
      </w:r>
      <w:r>
        <w:rPr>
          <w:rFonts w:ascii="arial" w:eastAsia="arial" w:hAnsi="arial" w:cs="arial"/>
          <w:i/>
          <w:color w:val="000000"/>
          <w:sz w:val="20"/>
          <w:lang w:val="en-US" w:eastAsia="en-US" w:bidi="ar-SA"/>
        </w:rPr>
        <w:t>Securities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Regulation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practice I found it routine the clients expressed similar sentiments Carver: a desire for higher returns with little risk... Given the impossibility of the stated intention, a prudent advisor would do his or her best to educate clients as to the reality of the stock market and their ability or inability to absorb losses.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accept the evidence of Mr. Carver and Ms. Carbert that when they met with Mr. Connor they were suffering financial difficulty and were looking to him for advice. I do not accept Mr. Connor's view and evidence that Mr. Carver was a sophisticated investor. It is my assessment that Mr. Carver was actually a naïve investor. His dealings with Mr. Connor demonstrate this naïveté.</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Carver and Ms. Carbert had substantial debt and little in the way of savings with no private pension plan. In addition, given their ages, a prudent financial advisor would not simply accept Mr. Carver's statement that he wanted 100% growth or that he wanted a return of 10 to 12%. Mr. Carver and Ms. Carbert looked to Mr. Connor for financial advice. That required more from him than simply accepting whatever Mr. Carver said at face value. They needed a thorough review of their financial circumstances and a realistic assessment of their risk tolerance and appropriate investment advice. Mr. Connor did not do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circumstances such as these a financial advisor owes a duty of care to his client: </w:t>
      </w:r>
      <w:r>
        <w:rPr>
          <w:rFonts w:ascii="arial" w:eastAsia="arial" w:hAnsi="arial" w:cs="arial"/>
          <w:i/>
          <w:color w:val="000000"/>
          <w:sz w:val="20"/>
          <w:lang w:val="en-US" w:eastAsia="en-US" w:bidi="ar-SA"/>
        </w:rPr>
        <w:t>Brandt v.</w:t>
      </w:r>
      <w:r>
        <w:rPr>
          <w:rFonts w:ascii="arial" w:eastAsia="arial" w:hAnsi="arial" w:cs="arial"/>
          <w:color w:val="000000"/>
          <w:sz w:val="20"/>
          <w:lang w:val="en-US" w:eastAsia="en-US" w:bidi="ar-SA"/>
        </w:rPr>
        <w:t xml:space="preserve"> Moldovan, </w:t>
      </w:r>
      <w:hyperlink r:id="rId104" w:history="1">
        <w:r>
          <w:rPr>
            <w:rFonts w:ascii="arial" w:eastAsia="arial" w:hAnsi="arial" w:cs="arial"/>
            <w:i/>
            <w:color w:val="0077CC"/>
            <w:sz w:val="20"/>
            <w:u w:val="single"/>
            <w:shd w:val="clear" w:color="auto" w:fill="FFFFFF"/>
            <w:lang w:val="en-US" w:eastAsia="en-US" w:bidi="ar-SA"/>
          </w:rPr>
          <w:t>2013 BCSC 1218</w:t>
        </w:r>
      </w:hyperlink>
      <w:r>
        <w:rPr>
          <w:rFonts w:ascii="arial" w:eastAsia="arial" w:hAnsi="arial" w:cs="arial"/>
          <w:color w:val="000000"/>
          <w:sz w:val="20"/>
          <w:lang w:val="en-US" w:eastAsia="en-US" w:bidi="ar-SA"/>
        </w:rPr>
        <w:t xml:space="preserve"> at para. 90, rev'd on other grounds </w:t>
      </w:r>
      <w:hyperlink r:id="rId105" w:history="1">
        <w:r>
          <w:rPr>
            <w:rFonts w:ascii="arial" w:eastAsia="arial" w:hAnsi="arial" w:cs="arial"/>
            <w:i/>
            <w:color w:val="0077CC"/>
            <w:sz w:val="20"/>
            <w:u w:val="single"/>
            <w:shd w:val="clear" w:color="auto" w:fill="FFFFFF"/>
            <w:lang w:val="en-US" w:eastAsia="en-US" w:bidi="ar-SA"/>
          </w:rPr>
          <w:t>2014 BCCA 364</w:t>
        </w:r>
      </w:hyperlink>
      <w:r>
        <w:rPr>
          <w:rFonts w:ascii="arial" w:eastAsia="arial" w:hAnsi="arial" w:cs="arial"/>
          <w:color w:val="000000"/>
          <w:sz w:val="20"/>
          <w:lang w:val="en-US" w:eastAsia="en-US" w:bidi="ar-SA"/>
        </w:rPr>
        <w:t xml:space="preserve">. That duty of care is shaped by the relationship between the advisor and the client, as well as by the regulatory framework that governs the relationship: </w:t>
      </w:r>
      <w:r>
        <w:rPr>
          <w:rFonts w:ascii="arial" w:eastAsia="arial" w:hAnsi="arial" w:cs="arial"/>
          <w:i/>
          <w:color w:val="000000"/>
          <w:sz w:val="20"/>
          <w:lang w:val="en-US" w:eastAsia="en-US" w:bidi="ar-SA"/>
        </w:rPr>
        <w:t>Brandt</w:t>
      </w:r>
      <w:r>
        <w:rPr>
          <w:rFonts w:ascii="arial" w:eastAsia="arial" w:hAnsi="arial" w:cs="arial"/>
          <w:color w:val="000000"/>
          <w:sz w:val="20"/>
          <w:lang w:val="en-US" w:eastAsia="en-US" w:bidi="ar-SA"/>
        </w:rPr>
        <w:t xml:space="preserve"> at para. 92. The relevant regulatory provision in the circumstances, as addressed above, was s. 48 of the </w:t>
      </w:r>
      <w:r>
        <w:rPr>
          <w:rFonts w:ascii="arial" w:eastAsia="arial" w:hAnsi="arial" w:cs="arial"/>
          <w:i/>
          <w:color w:val="000000"/>
          <w:sz w:val="20"/>
          <w:lang w:val="en-US" w:eastAsia="en-US" w:bidi="ar-SA"/>
        </w:rPr>
        <w:t>Securities Regulation.</w:t>
      </w:r>
      <w:r>
        <w:rPr>
          <w:rFonts w:ascii="arial" w:eastAsia="arial" w:hAnsi="arial" w:cs="arial"/>
          <w:color w:val="000000"/>
          <w:sz w:val="20"/>
          <w:lang w:val="en-US" w:eastAsia="en-US" w:bidi="ar-SA"/>
        </w:rPr>
        <w:t xml:space="preserve"> This duty thus includes:</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use due diligence to learn the essential facts of a client's circumstances: </w:t>
      </w:r>
      <w:r>
        <w:rPr>
          <w:rFonts w:ascii="arial" w:eastAsia="arial" w:hAnsi="arial" w:cs="arial"/>
          <w:i/>
          <w:color w:val="000000"/>
          <w:sz w:val="20"/>
          <w:lang w:val="en-US" w:eastAsia="en-US" w:bidi="ar-SA"/>
        </w:rPr>
        <w:t>Brandt</w:t>
      </w:r>
      <w:r>
        <w:rPr>
          <w:rFonts w:ascii="arial" w:eastAsia="arial" w:hAnsi="arial" w:cs="arial"/>
          <w:color w:val="000000"/>
          <w:sz w:val="20"/>
          <w:lang w:val="en-US" w:eastAsia="en-US" w:bidi="ar-SA"/>
        </w:rPr>
        <w:t xml:space="preserve"> at para. 97.</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make sure that all investments made for the client are suitable for the client and in keeping with their investment goals and tolerances for risk: </w:t>
      </w:r>
      <w:r>
        <w:rPr>
          <w:rFonts w:ascii="arial" w:eastAsia="arial" w:hAnsi="arial" w:cs="arial"/>
          <w:i/>
          <w:color w:val="000000"/>
          <w:sz w:val="20"/>
          <w:lang w:val="en-US" w:eastAsia="en-US" w:bidi="ar-SA"/>
        </w:rPr>
        <w:t>Junko v. Canaccord Capital</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2012 ONSC 6966</w:t>
        </w:r>
      </w:hyperlink>
      <w:r>
        <w:rPr>
          <w:rFonts w:ascii="arial" w:eastAsia="arial" w:hAnsi="arial" w:cs="arial"/>
          <w:color w:val="000000"/>
          <w:sz w:val="20"/>
          <w:lang w:val="en-US" w:eastAsia="en-US" w:bidi="ar-SA"/>
        </w:rPr>
        <w:t xml:space="preserve"> at para.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issue is then whether Mr. Connor exercised an appropriate degree of skill and care in determining Mr. Carver's these goals and tolerances and investing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It is my view that Mr. Connor breached his duty first in failing to make reasonable efforts to determine Mr. Carver's risk tolerance given his and Ms. Carbert's investment goals and personal circumstances. Second, Mr. Connor breached his duty in failing to suitably invest Mr. Carver's funds in accordance with his true risk tolerance, including his failure to appropriately diversify Mr. Carver's holdings and otherwise mitigate the risks to his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It is then for Mr. Carver to prove that this breach caused him to suffer damage: </w:t>
      </w:r>
      <w:r>
        <w:rPr>
          <w:rFonts w:ascii="arial" w:eastAsia="arial" w:hAnsi="arial" w:cs="arial"/>
          <w:i/>
          <w:color w:val="000000"/>
          <w:sz w:val="20"/>
          <w:lang w:val="en-US" w:eastAsia="en-US" w:bidi="ar-SA"/>
        </w:rPr>
        <w:t>Junko</w:t>
      </w:r>
      <w:r>
        <w:rPr>
          <w:rFonts w:ascii="arial" w:eastAsia="arial" w:hAnsi="arial" w:cs="arial"/>
          <w:color w:val="000000"/>
          <w:sz w:val="20"/>
          <w:lang w:val="en-US" w:eastAsia="en-US" w:bidi="ar-SA"/>
        </w:rPr>
        <w:t xml:space="preserve"> at para. 52. As addressed above, Mr. Connor did no more than seek to conform his investment strategy with the inadequate information provided to him. Had he considered Mr. Carver and Ms. Carbert's circumstances, a lower risk investment strategy would have been recommended and investments more suitable to serve as core holdings would have been selected. Mr. Krayenhoff has projected how such investments would have performed. These projections indicate that the losses would not have occurred. Mr. Carver has thus suffered damage as a result of Mr. Connor's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the circumstances of negligently recommending unsuitable investments, a party is entitled to recover damages for the lost opportunity to have realized a positive return with a suitable portfolio: see </w:t>
      </w:r>
      <w:r>
        <w:rPr>
          <w:rFonts w:ascii="arial" w:eastAsia="arial" w:hAnsi="arial" w:cs="arial"/>
          <w:i/>
          <w:color w:val="000000"/>
          <w:sz w:val="20"/>
          <w:lang w:val="en-US" w:eastAsia="en-US" w:bidi="ar-SA"/>
        </w:rPr>
        <w:t>Secord v. Global Securities Corp.</w:t>
      </w:r>
      <w:r>
        <w:rPr>
          <w:rFonts w:ascii="arial" w:eastAsia="arial" w:hAnsi="arial" w:cs="arial"/>
          <w:color w:val="000000"/>
          <w:sz w:val="20"/>
          <w:lang w:val="en-US" w:eastAsia="en-US" w:bidi="ar-SA"/>
        </w:rPr>
        <w:t xml:space="preserve">, </w:t>
      </w:r>
      <w:hyperlink r:id="rId107" w:history="1">
        <w:r>
          <w:rPr>
            <w:rFonts w:ascii="arial" w:eastAsia="arial" w:hAnsi="arial" w:cs="arial"/>
            <w:i/>
            <w:color w:val="0077CC"/>
            <w:sz w:val="20"/>
            <w:u w:val="single"/>
            <w:shd w:val="clear" w:color="auto" w:fill="FFFFFF"/>
            <w:lang w:val="en-US" w:eastAsia="en-US" w:bidi="ar-SA"/>
          </w:rPr>
          <w:t>2003 BCCA 85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Hawkenson v. Rogers</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2006 BCCA 177</w:t>
        </w:r>
      </w:hyperlink>
      <w:r>
        <w:rPr>
          <w:rFonts w:ascii="arial" w:eastAsia="arial" w:hAnsi="arial" w:cs="arial"/>
          <w:color w:val="000000"/>
          <w:sz w:val="20"/>
          <w:lang w:val="en-US" w:eastAsia="en-US" w:bidi="ar-SA"/>
        </w:rPr>
        <w:t xml:space="preserve"> at para. 33. As per Mr. Krayenhoff's expert report, had Mr. Connor invested Mr. Carver's portfolio in something like the Mackenzie Universal Canadian Balanced Fund or similar funds, by March 2007 his investment portfolio would have been worth $49,504.01 more than it was. Mr. Carver and Ms. Carbert are entitled to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With consideration of the factors outlined in </w:t>
      </w:r>
      <w:r>
        <w:rPr>
          <w:rFonts w:ascii="arial" w:eastAsia="arial" w:hAnsi="arial" w:cs="arial"/>
          <w:i/>
          <w:color w:val="000000"/>
          <w:sz w:val="20"/>
          <w:lang w:val="en-US" w:eastAsia="en-US" w:bidi="ar-SA"/>
        </w:rPr>
        <w:t>Hodgkinson v. Simms</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Mr. Connor owed a fiduciary duty to Mr. Carver and Ms. Carbert. As addressed above, the defendants were vulnerable by right of their lack of investment knowledge and inexperience in the stock market and their motivations for seeking his services. They reposed their confidence in Mr. Connor and Mr. Connor knew this when accepting them as clients. They likewise relied on his advice throughout their dealings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Where a fiduciary relationship exists, the fiduciary has a duty to avoid a conflict of interest: </w:t>
      </w:r>
      <w:r>
        <w:rPr>
          <w:rFonts w:ascii="arial" w:eastAsia="arial" w:hAnsi="arial" w:cs="arial"/>
          <w:i/>
          <w:color w:val="000000"/>
          <w:sz w:val="20"/>
          <w:lang w:val="en-US" w:eastAsia="en-US" w:bidi="ar-SA"/>
        </w:rPr>
        <w:t>Reed v. McDermid St. Lawrence Ltd.,</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[1991] 2 W.W.R. 617</w:t>
        </w:r>
      </w:hyperlink>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52 B.C.L.R. (2d) 265</w:t>
        </w:r>
      </w:hyperlink>
      <w:r>
        <w:rPr>
          <w:rFonts w:ascii="arial" w:eastAsia="arial" w:hAnsi="arial" w:cs="arial"/>
          <w:color w:val="000000"/>
          <w:sz w:val="20"/>
          <w:lang w:val="en-US" w:eastAsia="en-US" w:bidi="ar-SA"/>
        </w:rPr>
        <w:t xml:space="preserve"> at para. 13-14 (B.C.C.A.); </w:t>
      </w:r>
      <w:r>
        <w:rPr>
          <w:rFonts w:ascii="arial" w:eastAsia="arial" w:hAnsi="arial" w:cs="arial"/>
          <w:i/>
          <w:color w:val="000000"/>
          <w:sz w:val="20"/>
          <w:lang w:val="en-US" w:eastAsia="en-US" w:bidi="ar-SA"/>
        </w:rPr>
        <w:t>Cooper v. Merrill Lynch Canada Inc.</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2006 BCSC 1905</w:t>
        </w:r>
      </w:hyperlink>
      <w:r>
        <w:rPr>
          <w:rFonts w:ascii="arial" w:eastAsia="arial" w:hAnsi="arial" w:cs="arial"/>
          <w:color w:val="000000"/>
          <w:sz w:val="20"/>
          <w:lang w:val="en-US" w:eastAsia="en-US" w:bidi="ar-SA"/>
        </w:rPr>
        <w:t xml:space="preserve"> at paras. 112-17.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this case, I accept Mr. Carver's evidence that Mr. Connor recommended that he take a loan from his company, rather than cashing in his RRSPs. In doing so, Mr. Connor was clearly in a conflict of interest. He did not discuss this with Mr. Carver and Ms. Carbert. He did not review the document in any detail with them. His evidence was "it was there to be read". He did not send them for independent advice. His evidence was "they did not ask for independent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Connor's duty was to act in the best interests of his clients and to provide sound financial advice tailored to their circumstances. He did neither. He did not adequately investigate or provide appropriate advice. His consideration of their circumstances was superficial. Most relevant here, his loans advanced his own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Because of Connor's breaches Mr. Carver lost approximately $49,000 in his investment portfolio. His loans to Mr. Carver and Ms. Carbert were also made in breach of the duties he owed to them. Had he properly fulfilled his duties, Mr. Carver and Ms. Carbert may never have taken the loans, or they may have taken loans elsewhere at lower rates of interest. The court cannot countenance this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Carver and Ms. Carbert did receive $25,000. This should be set off against the losses in Mr. Carver's investment portfolio. At a reasonable rate of interest, the $25,000 loan would be approximately the same amount as the investment loss by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It would be improper for Mr. Connor to profit from this failure to properly advise Mr. Carver and Ms. Carbert when making the loans to them. CFSI and CFC were merely alter egos for Mr. Connor and it is appropriate to set the amounts off against each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After set off, nothing will be payable to any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UNCONSCIONABILITY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After the initial application in this matter and before the parties were cross-examined on their affidavits, Mr. Justice MacIntosh heard a similar action brought by Connor Financial Services International Inc. against the Laughlins, (</w:t>
      </w:r>
      <w:r>
        <w:rPr>
          <w:rFonts w:ascii="arial" w:eastAsia="arial" w:hAnsi="arial" w:cs="arial"/>
          <w:i/>
          <w:color w:val="000000"/>
          <w:sz w:val="20"/>
          <w:lang w:val="en-US" w:eastAsia="en-US" w:bidi="ar-SA"/>
        </w:rPr>
        <w:t>Connor Financial Services International Inc. v. Laughlin</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2015 BCSC 587</w:t>
        </w:r>
      </w:hyperlink>
      <w:r>
        <w:rPr>
          <w:rFonts w:ascii="arial" w:eastAsia="arial" w:hAnsi="arial" w:cs="arial"/>
          <w:color w:val="000000"/>
          <w:sz w:val="20"/>
          <w:lang w:val="en-US" w:eastAsia="en-US" w:bidi="ar-SA"/>
        </w:rPr>
        <w:t>). In most respects, that action is indistinguishable from this. The Laughlins approached Connor, as did Mr. Carver and Ms. Carbert, when they were in financial difficulties. They were looking to him for advice and financial acumen. They relied on him to provide such advice and financial guidance. The Laughlins also borrowed from CFSI/CFC/Connor. Mr. Justice MacIntosh said that there was no meaningful distinction for the purpose of that action between Mr. Connor, CFSI and CFC. The same is true in this case. Although the funds were nominally lent by CFSI the money came from CFC.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loan arrangements were almost identical to those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On February 21, 2000, the Laughlins signed, among other things, a standard form document Mr. Connor had prepared and entitled as a promissory note. The document was not enforceable in law as a promissory note. In substance, it authorized a $24,000 line of credit to the Laughlins. I will call it the loan agreement. It consisted of a face page with small print on the reverse side. Sums advanced were repayable on demand. In the meantime, repayments on sums advanced were to commence March 30, 2000, at $300 a month. Interest was charged at 13% compounded monthly. However, from the small print on the reverse side of the document, the lender could at any time change the rate of interest on 30 days' notice. No criteria were included for determining the new interest rates. For example, there was no link to a change in the prime lending rate. As matters unfolded, Mr. Connor changed the interest rate to 36% compounded monthly, or 42% annual interest, in September of 2012.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The loan agreement also provided that security for sums advanced included all investment funds held on account with CFC. That included the mutual funds the Laughlins agreed to buy from CFC. Eventually, the Laughlins' deteriorating investments in the WOF, and other fund purchases induced by CFC, were liquidated, and used in this way to help pay down their indebtedness to CFSI.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Another provision of the loan agreement introduced on the front page, but elaborated upon in the small print on the reverse side, was that all the lender's legal costs of collecting on sums advanced would not only be paid by the borrowers, but would be treated as further amounts advanced by the lender, and thus subject to the interest rates charged for the loan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Justice MacIntosh concluded that the loan agreement was unconscionable and that the Connor group had breached a fiduciary duty to the Laughlins. He ordered that the Laughlin's need pay no further money to Connor Financial Services International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defendants here do not plead that the loan was unconscionable. The pleadings before me are somewhat different than they were in the Laughlin action. I have reached the conclusions above based on them. Like the Laughlins, Mr. Carver and Ms. Carbert were in financial difficulty, were financially stressed and were naïve when dealing with Mr. Connor. Mr. Connor "sold" them on the idea of taking a loan from him, rather than cashing RRSPs, because he convinced them that with his financial acumen they would do far better in the market than they had to that point. They were under the misapprehension that monies they received would be "repaid" from the significant gains they would see in Mr. Carver's investments. They did not understand that they were receiving loans in the traditional sense and did not understand, in particular, that a clause on the backside of the document permitted Mr. Connor to increase the interest rate to any figure that he wished on 30 days' notice. They did not receive any independent legal advice and it was not suggested to them that they should receive independent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This litigation has been outstanding for a significant time and has cost the parties a significant amount in legal fees. The matter should be concluded. However, I am mindful that this is a summary trial procedure. I must consider whether it would be unjust to decide the issues on this application. But for my decision on the issues raised before me, I would have adjourned the matter to permit Mr. Carver and Ms. Carbert to amend their pleadings and plead unconscionability. This action is substantially the same as the Laughlin action; the results should also be substantially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Carver and Ms. Carbert have succeeded the action. They will have their costs at Scale B unless there are matters of which I am not aware.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Carver's RRSP funds will be released as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BROWN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2"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9" w:history="1">
        <w:r>
          <w:rPr>
            <w:rFonts w:ascii="arial" w:eastAsia="arial" w:hAnsi="arial" w:cs="arial"/>
            <w:b/>
            <w:bCs/>
            <w:i/>
            <w:color w:val="0077CC"/>
            <w:kern w:val="32"/>
            <w:sz w:val="28"/>
            <w:szCs w:val="32"/>
            <w:u w:val="single"/>
            <w:shd w:val="clear" w:color="auto" w:fill="FFFFFF"/>
            <w:lang w:val="en-US" w:eastAsia="en-US" w:bidi="ar-SA"/>
          </w:rPr>
          <w:t>Crane v. Surrey (City), [2008] B.C.J. No. 378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D.M. Masuhara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11-13 and November 8 and 9, 2007; written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submissions, January 29 and February 8,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4,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S031608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378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274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43 M.P.L.R. (4th) 252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CarswellBC 400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165 A.C.W.S. (3d) 758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Kelly Patrick Lee Crane, Plaintiff, and City of Surrey and the Corporation of the District of Surrey,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3"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0" w:name="Keywords_7"/>
      <w:bookmarkEnd w:id="50"/>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Causal connection — Action for personal injuries suffered by plaintiff when he fell off his BMX bicycle at skateboard park located in defendant City — Plaintiff alleged fall caused by wet paint on surface of concrete bowl of park applied by City's painting contractor earlier that morning — No signs warning of wet paint — Action dismissed — Paint at issue not applied by City's contactor and must have been applied much later than paint applied by contractor — Plaintiff adduced no evidence demonstrating paint on his tires matched paint used by painting contractor.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Occupiers' liability — Duty of occupier — Action for personal injuries suffered by plaintiff when he fell off his BMX bicycle at skateboard park located in defendant City — Plaintiff alleged fall caused by wet paint on surface of concrete bowl of park applied by City's painting contractor earlier that morning — No signs warning of wet paint — Action dismissed — Paint at issue not applied by City's contactor and must have been applied much later than paint applied by contractor — Plaintiff adduced no evidence demonstrating paint on his tires matched paint used by painting contractor.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1" w:name="Case Summary_6"/>
            <w:bookmarkEnd w:id="5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personal injuries suffered by plaintiff when he fell off his BMX bicycle at skateboard park located in defendant City -- Plaintiff alleged fall caused by wet paint on surface of concrete bowl of park applied by City's painting contractor earlier that morning -- Plaintiff argued City failed to place any signs to warn of wet paint, failed to have a system of inspections in place to monitor the condition of park, and failed to supervise its paint contractor adequately -- City admitted it had graffiti painted over but argued that paint was dry at time of accident -- Plaintiff arrived at park around 5 p.m. -- Accident occurred shortly thereafter -- Painting of graffiti completed by 10 a.m. -- City's evidence was that wet paint spots tested were dry by 11:30 a.m. -- Location where plaintiff fell was not location where graffiti was painted -- Paint in location of accident differed from paint used by contractor -- HELD: Action dismissed -- City owed plaintiff duty to take such care as was reasonable in all circumstances to ensure plaintiff would be reasonably safe on premises -- A public authority had no duty of care in decisions which were driven by financial, economic, social or political considerations -- Although contractor was negligent in failing to put up warning signs and City failed to follow up with contractor to ensure compliance with requirement for warning signs, this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did not establish that wet paint caused plaintiff's fall -- Paint at issue had not been applied by City's contractor but by unknown others -- Paint at issue was still dripping wet and must have been applied much later than paint applied by City's contractor -- Application of paint inconsistent with method employed by City's contractor -- Plaintiff adduced no evidence demonstrating paint on his tires matched paint used by painting contractor -- No duty on City to monitor and supervise park for graffiti in park -- Public policy exemption applied.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2" w:name="Legislation Cited_5"/>
      <w:bookmarkEnd w:id="5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4"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120" w:history="1">
        <w:r>
          <w:rPr>
            <w:rFonts w:ascii="arial" w:eastAsia="arial" w:hAnsi="arial" w:cs="arial"/>
            <w:i/>
            <w:color w:val="0077CC"/>
            <w:sz w:val="20"/>
            <w:u w:val="single"/>
            <w:shd w:val="clear" w:color="auto" w:fill="FFFFFF"/>
            <w:lang w:val="en-US" w:eastAsia="en-US" w:bidi="ar-SA"/>
          </w:rPr>
          <w:t>R.S.B.C. 1996, c. 333, s. 4</w:t>
        </w:r>
      </w:hyperlink>
      <w:r>
        <w:rPr>
          <w:rFonts w:ascii="arial" w:eastAsia="arial" w:hAnsi="arial" w:cs="arial"/>
          <w:color w:val="000000"/>
          <w:sz w:val="20"/>
          <w:lang w:val="en-US" w:eastAsia="en-US" w:bidi="ar-SA"/>
        </w:rPr>
        <w:t>(1)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hyperlink r:id="rId121" w:history="1">
        <w:r>
          <w:rPr>
            <w:rFonts w:ascii="arial" w:eastAsia="arial" w:hAnsi="arial" w:cs="arial"/>
            <w:i/>
            <w:color w:val="0077CC"/>
            <w:sz w:val="20"/>
            <w:u w:val="single"/>
            <w:shd w:val="clear" w:color="auto" w:fill="FFFFFF"/>
            <w:lang w:val="en-US" w:eastAsia="en-US" w:bidi="ar-SA"/>
          </w:rPr>
          <w:t>R.S.B.C. 1996, c. 337, s. 3</w:t>
        </w:r>
      </w:hyperlink>
      <w:r>
        <w:rPr>
          <w:rFonts w:ascii="arial" w:eastAsia="arial" w:hAnsi="arial" w:cs="arial"/>
          <w:color w:val="000000"/>
          <w:sz w:val="20"/>
          <w:lang w:val="en-US" w:eastAsia="en-US" w:bidi="ar-SA"/>
        </w:rPr>
        <w:t>, s. 3(1), s. 3(2), s. 3(3), s. 3(4)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53" w:name="Counsel_7"/>
      <w:bookmarkEnd w:id="5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5" style="position:absolute;z-index:2517688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Gerhard A. Pyper.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Ralph G. Hildebrand.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4" w:name="Judgment_7"/>
      <w:bookmarkEnd w:id="54"/>
      <w:r>
        <w:pict>
          <v:line id="_x0000_s1066" style="position:absolute;z-index:25182003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March 13, 2008; the correction has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5" w:name="D.M. MASUHARA J."/>
            <w:bookmarkEnd w:id="55"/>
            <w:r>
              <w:rPr>
                <w:rFonts w:ascii="arial" w:eastAsia="arial" w:hAnsi="arial" w:cs="arial"/>
                <w:b/>
                <w:color w:val="000000"/>
                <w:sz w:val="30"/>
                <w:lang w:val="en-US" w:eastAsia="en-US" w:bidi="ar-SA"/>
              </w:rPr>
              <w:t>D.M. MASUHARA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Mr. Crane, was riding his BMX bicycle at the South Surrey Skateboard Park located in the City of Surrey (the "City") at about 5:00 p.m. on October 16, 2002. While riding his bike in the concrete bowl of the skateboard park (the "Bowl"), he fell off his bike causing him to suffer several injuries including a concussion, fractured right scapula, fractured right clavicle, and sprains to his right hip, lower back and groin.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alleges that his fall was caused by wet paint on the surface of the Bowl, applied by the City's painting contractor earlier that morning. The plaintiff says that the City failed to place any signs to warn users of the skateboard park of the wet paint, failed to have a system of inspections in place to monitor the condition of the skateboard park, and failed to supervise its paint contractor adequately.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admits that graffiti was painted over in the morning on the day in question by the City's contractors but that the paint was dry by the time that Mr. Crane came to ride in the park. Alternatively, the defendant argues that some unknown person without authority applied paint to the surface of the Bowl which caused the plaintiff to be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City also advised that it was not advancing a defence based on the fact that the plaintiff was riding a bike in the skateboard park. It is acknowledged by the City that BMX riding is an acceptable activity in the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also raised the government policy exemption as a defence to it owing a duty of care with respect to continuous supervision in the park for graffiti painting.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In this trial, liability is the only issue for determination. The parties agreed that this case falls under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R.S.B.C. 1996, c. 337, s. 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City admits that it was the occupier of the South Surrey Skateboard Park. It also acknowledges that, as the occupier, it owed Mr. Crane a duty to take such care as was reasonable in all the circumstances to ensure that Mr. Crane would be reasonably safe in using the skateboard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While the City argues against any finding in the following regard, it admits liability if it is found that: the plaintiff attended the skateboard park in the morning prior to 11:30 a.m. while the paint applied by the City's contractor was still wet, and had fallen as a result of riding through the paint. However, it is clear on the evidence that Mr. Crane was not in the park at the time specified.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key issue in this case is whether the paint applied by the City on the date of the plaintiff's fall caused that fall and the plaintiff's subsequent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SKATEBOARD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South Surrey Skateboard Park (the "Park") is owned and operated by the City of Surrey. It is located at 14601 - 20th Avenue in Surrey, adjacent to the Surrey Youth Centre. The Park itself is largely a concrete structure that has an elongated kidney-shaped concrete bowl within it. The Bowl has a shallow end, which extends to a deep bowl at the southern end, having a depth of some 8 feet. The Bowl is about 110 feet long and 22 feet wide. Within the Skateboard Park, there are various obstacles and structures used by skateboarders and bike riders to perform tricks and maneuvers. One of the popular activities for users is to gain some speed on their bike and attempt to jump and perform various tricks in the air after launching themselves from these unique structures within the Bowl. The park itself is enclosed by a fence and has only one gate through which to gain entry. There is no lock on this gate and it is designed only to permit persons or persons with a bike to enter into the area. At this entrance there is one sign on a post. It states the following rules in red: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SKATEPARK RULES</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SKATEBOARD PARK NOT SUPERVISED, USE AT OWN RISK</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PARK CLOSES AT [SCRATCHED OUT] P.M.</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SKATEBOARDING AT ANY TIME WHEN SURFACE IS WET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RECOMMENDED (SAFETY EQUIPMENT: HELMET, ELBOW PADS, AND KNEEPADS, SHOULD BE WORN BY ALL SKATEPARK USERS)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CITY IS NOT RESPONSIBLE FOR LOSS, DAMAGE OR INJURY ARISING FROM PARK 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GENERAL PARK BYLAWS 1380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SURREY PARKS AND RECREATION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witnesses for the plaintiff were Mr. Crane, Mr. Gordon Richardson, a witness to the fall; and Mr. Nicholas Mielty, a witness who made observations of wet paint in the Bowl subsequent to the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witnesses for the defendant were Mr. Rudy Booiman, Parks Operations Coordinator; Mr. Dave Millar, owner of Dow West Property Systems Ltd.; and Mr. Tim Neufeld, Manager of Parks, Operations South.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 AND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Mr. Crane, was born May 9, 1967. He was 35 years old at the time of the subject incident. He is currently a tool rental representative at a national building supply store. At the time of the accident, he was a boilermaker who found work through his union local. He has a Grade 11 education. Mr. Crane has being quite active for much of his youth and adult life. He was an accomplished skier, snowboarder, skateboarder, roller bladder, and BMX rider. He also participated in swimming, skim boarding, soccer, football, tennis and badminton, and raced in motocross and BMX bike riding. The documentary evidence indicates that he did well in local competitions. As a result of his activities, Mr. Crane has had a number of previous injuries from riding his BMX and from skateboarding. He agreed in cross-examination that, as a result of these activities, he has suffered a broken right wrist, a broken left wrist, two broken right ankles, two broken left ankles, and has injured his ribs.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Crane stated he has had dependency problems with medications, narcotics, and alcohol. He has been through various treatment programs. In October 2002, he admitted that he was still on a variety of medications for pain and that he took those medications daily. He would also take medications for anxiety. He testified that he had not taken any medications on the date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Crane stated that he was familiar with the skateboard park as he had ridden his bike and skateboarded in it from the time that it was first opened in the 1990s.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the date in question, Mr. Crane left his home around 3:00 p.m. to 3:30 p.m. to go biking. He stated that he checked the pressure of his tires prior to leaving. He first went riding in the trails near his home, which are on the way to the park. He stated that these were dirt trails and were moist on the day of the accident. He agreed that the dirt and debris from the trail would get caught up in his tires. He stated, however, that his tires were clean by the time he got to the park because he had ridden on concrete for some distance prior to getting to the park. He says that, when he arrived at the park, at around 5:00 p.m., he went through the gate at the entrance of the park and says that he rode around the park to see if there were any dirty or wet spots that he needed to be aware of. He indicated that he did not notice anything of significance. He said that he did a few circuits around the park and the concrete area and did some maneuvers at the shallow end of the park. He stated that it was sunny and warm at the time, that it was still daylight, and that the sun was above the horizon. He stated he had no difficulty seeing. He had been at the park between 5 to 10 minutes when his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Crane also acknowledged that he had seen the posted sign at the entrance gate of the park many times. He was aware of what it stated. More particularly, he acknowledged he was aware that the sign stated that the park was not supervised and that users of the park did so at their own risk, though he did not accept that this risk included wet paint. He agreed that there were a substantial number of risks related to riding a BMX bike in a skateboard park. He also agreed that the sign recommended that users wear safety equipment, including a helmet, elbow pads, and knee pads. Mr. Crane was only wearing a helmet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 testified that, on the day in question, there were no signs warning of wet paint placed in the park. However, he acknowledged he was aware of graffiti being painted in the park including the Bowl. He was also aware of the City's efforts to paint over the graffiti. He specifically stated that it was not unusual to see graffiti covered up in the park. He also stated that he saw tire tracks in the park, which had been left by riders who had gone through wet paint.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his examination for discovery, he stated that he saw the skateboard figure that had been partially painted over but did not see the profanity that had been written beside it. This figure and the paint over and around it were the subject of Mr. Meilty's evidence and were located at the south end of the Bowl where Mr. Crane's fall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He testified that he did not see anyone painting over graffiti or painting graffiti in the park during the time that he was in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His recall was that after having done some warm up circuits around and into the Bowl he rode his bike along the east side of the lip of the Bowl towards the southern end. His objective was to drop down along the edge of the eastern wall and to transition upwards out of the bottom of the Bowl onto a "hip", which is a bump on the western wall of the Bowl, in order to get "air" and distance. The transition area is the area at the bottom of the Bowl where the rider has moved from the downward travel from the edge of the Bowl to a horizontal path prior to changing direction to go up and out of the other side of the Bowl. He indicated that in the area of transition he would be traveling at about 20 km/h. Under cross-examination he stated that, in the period just prior to his fall, he had been trying different approaches to a particular spot in the Bowl to get air. He said that his fall occurred during the transition from his movement down the side of the Bowl to a horizontal position at the farther side of the Bowl, prior to taking the jump. He stated that he was heading further and further south in his approach into the Bowl on the several circuits that he attempted. He agreed that each route that took him further south meant his turns to go up the "hip" had to be sharper. He stated that he was attempting to go faster with each circuit and that, on the circuit during which he fell, he was going the fastest that he had travelled. He agreed, in cross-examination, that on this last occasion he went airborne as he came off the lip of the Bowl and began his descent into it. He agreed that there is a common courtesy, or code, amongst BMX and skateboarders to give others warning of hazards and that he received no warning from any of the BMX riders in the park about wet paint. He stated that he did not notice his bike tires tracking paint.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his final approach he went into the Bowl and stated that his bike slipped out, or kicked out, from underneath him, causing him to fall onto the bottom of the concrete Bowl. He says that he lost consciousness and did not recall how long he was unconscious. He recalled that, upon regaining consciousness, he experienced excruciating pain and that he could not move. He says that it took some 45 minutes for the ambulance to arrive at the park. He says that he was immobilized, placed on a stretcher, and taken to the hospital. He testified that, on the date in question, he was wearing a "Bell" helmet, which is designed for BMX riding. He was wearing advanced BMX skate shoes which are designed for skating and riding-they are reinforced for wear and tear and for adhesion to pedals. He also said that he was wearing pants and a long-sleeve black shirt. He was not wearing gloves, knee pads, or elbow pads. He stated that, after he had fallen, there was wet paint on his clothes and on the tires of his bike. His tires were produced at trial. His clothing was not. He testified that his bike had been kept in a locked room at the youth centre from the time that he had suffered his injuries to the date that he picked it up. An observation of the tires reveals that there is a light grey or whitish substance which appears to be paint that circles both tires. On the front tire, most of the paint is on the right side of centre. There is no paint on the centre bead/tread. On the back tire, the paint appears to be even further to the right side of the center. Again, there is no paint on the centre bead/tread. He testified that his tires did not have this substance on his tires before he went to the park on the day in question. He said that his tires were clean when he got to the skateboard park that day and that his tires were unmarked while he was riding around the park prior to his fall. He further testified that the colouration on his tires was how he found them after his accident. He testified that he was not aware of who laid down the paint that he alleges caused his injuries. Further, he was not able to indicate where his tires picked up the paint in the park. While to do so would have been near impossible given his physical state after the fall, it is relevant that neither he nor anyone else examined the Bowl immediately after the fall to determine the cause of his fall. Mr. Crane, when referred to his evidence at his discovery, stated that "my memory isn't that great any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At the time Mr. Crane arrived at the park, Mr. Richardson, who was in grade twelve and is now a welder/fabricator, was also there with his friends. Mr. Richardson testified that he saw Mr. Crane riding his BMX bike. Mr. Richardson testified that he had spent a considerable amount of time at this park. He testified that, at the time of the accident, he would be there 5 to 6 days a week riding his BMX bike with friends or on his own. He said that he had a passion for the sport. He stated that, just before Mr. Crane's fall, he and three or four of his friends were sitting on a bench that was located on the grassy area at the south end of the Bowl. Mr. Richardson had arrived at the park around 3:00 p.m. They observed Mr. Crane from the time he entered the park as they were curious to see what tricks or "stuff" he had. He says he saw Mr. Crane come up to the edge of the eastern side of the south end of the Bowl, and descend down into the Bowl. They observed that he did not emerge on the other side and heard a scream of agony. He says that he and his friends rushed to the edge of the Bowl and saw Mr. Crane on his back with his bike next to him and a broken cell phone beside him. One of Mr. Richardson's friend's then went to the Youth Centre to call for an ambulance.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Richardson testified that he was not sure if he noticed the skateboard figure that had been partially painted over in the Bowl. After seeing photos of the figure, he was able to identify its location as being at the southern most and deepest section of the Bowl "where Mr. Crane ended up on his back". He also was quite definite that Mr. Crane had not made any earlier attempts to go over the "hip" prior to his fall as he and his friends had been observing Mr. Crane from the time that he had entered the park. They were curious as to his skills and the tricks that he could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Richardson also described the maneuver that he believed Mr. Crane was attempting to do as a reverse graviton and described that Mr. Crane was attempting to gather speed by going down the eastern wall of the Bowl into the bottom of the Bowl and then, with speed, to lean to the right to turn towards the hip on the western wall, to gain "air" and distance. Mr. Richardson indicated that Mr. Crane would be leaning to his right in order to maneuver into the correct position to go up on the "hip".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Richardson had also been at the skateboard park earlier that day. He was skipping school and had observed a painter rolling paint over new graffiti in the Bowl. He stated the paint colour as greyish-blue. Mr. Richardson thought it was from between 11:46 a.m. to about 1 p.m. to 1:30 p.m. that he was there, but admitted his recall of the time was not strong given that it had been some four years. I note that Mr. Booiman stated that he had left the park around 11:45 a.m. He also noticed a van in the parking lot that indicated it was from a graffiti removal company. He was not sure if there were one or two painters on site, but seemed to think it was more than one. He also testified that he saw no warning signs regarding wet paint. He stated that bikers and skaters would use the skateboard park right next to where they were painting.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He also testified, in regard to a photograph shown to him, that he did not notice the painted patches and profanity near the painting of the skateboarder in the south east end of the Bowl, at the time of the accident. This figure and area immediately around it was the subject of a video taken by Mr. Mielty.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Mielty testified that he attended the skateboard park on October 16, 2003, a little before noon, as well as later that evening after the accident. He was a student at a nearby secondary school. He is now an estimator and sales representative for a national roofing company. He stated he was and is a high user of the skateboard park and indicated that he attended there some 100 days per year, every year, to skateboard and ride his BMX. He is also a good friend of Mr. Richardson. Prior to providing the plaintiff with his video, he had never met Mr. Crane.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He stated that he and a friend went to the skateboard park just before noon on the day in question and that he noticed a painter had been working there. He specifically noted that the painter was finishing up at a section of the park called the "J Pipe" and then was packing up his truck, a Dodge 1500 with a canopy. He said it was a white truck with green and white writing on it with paint "spilling all out the sides". He stated that random spots of graffiti had been just painted. He stated that there were some patches of fresh paint near the top and near the bottom of the Bowl. The paint was still very wet so they could not ride their bikes. As a result, they left around 12:15 p.m. He indicated that the paint was the same colour of grey as the rest of the Bowl and thus one could not tell where paint had been freshly applied. He stated that he did not observe any signs warning of wet paint. He also noted that the gate to the skateboard park was open.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Later that evening, he and his friend returned to the skateboard park at around 5:30 or 6:00. He stated that when he arrived he learned from Mr. Richardson that someone had fallen and been injured in the Bowl shortly before his arrival. He had a video camera with him at this time. He stated that he and his friend were making a skateboarding video. He said he noticed the wet glossy paint and decided to make a video of the paint with a message decrying the painting policy of the City and illustrating the safety concerns related to it. The original video was stated to be some 20 minutes long but the version shown in court was a highly edited version, which was only a few minutes long. The video taken by Mr. Mielty showed paint on a single part of the wall of the Bowl. The paint was glossy and noticeably wet. Mr. Mielty's friend Christian, who is the speaker on the video, put his finger on the wet area and showed that, afterwards, there was paint on it. This grayish paint partially covered a skateboard figure. Mr. Meilty stated that the paint was still "soaked" and "didn't even look like it had a crust on it to start drying yet". He also described the paint as "glossy" and "dripping down the wall". Next to the skateboard figure, there is profanity written with the same paint that was used to partially cover it. The writing is directed at the City of Surrey. He indicated he was aware that another unnamed person had written the words using the paint that covered the skateboard figure. He then said his friend Christian also used the wet paint on the wall and finished off some of the profane words. Other than this, Mr. Mielty did not see anyone applying the paint that was shown in his video. He specifically agreed, in cross-examination, that he did not see the painters earlier in the day paint the area shown in his video. He stated that the skateboard figure had been present in the Bowl some two or three months prior to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Mielty also indicated that he had fallen or slipped in the Bowl in the past but had never fallen due to paint. He acknowledged that "when you ride in the park you ride at your own caution". I take this to mean that you ride at your own risk. Interestingly, Mr. Meilty answered twice, in chief, that he had never fallen or slipped on paint in the park but then later, also in chief, testified that he had fallen in the Bowl because of the paint.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Rudy Suan Booiman is the Park Operations Coordinator and is responsible for structural maintenance of Park assets south of 72nd Avenue, which includes the skateboard park. Mr. Booiman has a diploma in building sciences from B.C.I.T. His studies included a course in building materials, which had some 60 hours of instruction in the chemical makeup, preparation, types of, and application of paint.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 has a team of three employees under him. He testified that the City had a zero tolerance policy towards graffiti applied to park facilities. This policy had been in place since 1999 due to the application of rude and vulgar graffiti by third parties on a daily basis. This meant that any graffiti that was found to be painted on the surface of a Surrey park structure would be painted over. Graffiti would be painted over as it was reported to Mr. Booiman. The paintwork was contracted out to Dow West. Mr. Booiman's employees did minor work with spray paint cans and brushes. During the relevant time in October 2002, the skateboard Bowl was covered in most cases with similar coloured paint patches to cover the graffiti. The paint that was used was called General Paints Breeze latex. The colour used was also a low lustre grey. He stated that this paint had an average drying time of 2 hours under normal conditions of moderate humidity and had a cure period of 20 to 28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the evening of October 15, 2002, a City councilor reported graffiti in the skateboard park. Early the next morning Mr. Booiman contacted Dow West and instructed them to cover up the graffiti. Mr. Booiman stated that his suggestions or instructions to Dow West were to start their work early in the morning and to be out of the park by lunch hour. This was to avoid interactions between the painters and the students from the nearby high school, who were heavy users of the park and supporters of graffiti. Apparently, the painters were the subjects of abusive language and other harassment from the park users. The available evidence indicates that the painter started about 8:45 a.m. and ended around 10:00 a.m. This painter was not called by the defence, as he no longer worked for Dow West and his whereabouts were unknown. However, the owner of the business, who took the instruction from Mr. Booiman and dispatched the painter, appeared. It appears that the painter spent about one hour there. Mr. Booiman arrived at the location after the painter had left. He said he arrived at around 10:00 a.m. In his discovery, he noted that the painter had not put up "wet paint" signs or pylons. There were no warnings to skaters or bikers that the park had been recently painted. The gate to the park was not locked and there was no sign on the gate indicating that the skateboard park had been recently painted in spots. Mr. Booiman testified that, when he arrived, it was obvious that areas had been painted over. He stated that paint had been applied to graffiti on the east and west walls. He agreed that there had been graffiti throughout the whole of the park. He stated that there were six to eight spots, and there were at least three spots within the Bowl itself, that had been painted over. He agreed that the paint had been applied on the walls on the east side of the Bowl, including the possibility of there being more than one spot painted over on that side, and the west side of the wall. He also agreed that there could have been more than three painted patches in the Bowl on October 16, 2002. He further stated that, when he attended the Bowl on that date, the skateboard figure, at the south end of the Bowl, was not there. His evidence was that, at some point after his last visit on October 16, 2003 and his return in the morning of October 17, 2003, the figure had been painted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He tested the paint by placing the toe of his shoe on certain of the areas and then rubbed it on an unpainted area of the concrete to see if any paint would rub off, thereby determining if the paint was still wet. He tested certain spots but not every spot. To the best of his recollection, he said that he tested the east and west walls. He found the paint was "tacky," particularly on the north facing slopes. He said that the paint he tested was "just at the point of skinning", which to him meant that the paint had been "just recently applied". He also stated that he found that, in his "testing", he found some areas to be "quite wet". This included the north facing south side of the lower Bowl. He stated that the areas he tested on the east facing wall were well on their way to drying. By this he meant that no paint would come off his shoe in accordance with the test he described. However, given that he was only testing with his foot, he did not do so on the upper portions of the wall, rather he only tested the areas close to the ground. He said that he did not leave any signs in the places where the paint was still tacky nor did he leave any pylons, lock the gate, or put a sign on the gate. He did not follow up with Dow West to require them to put out wet paint warnings. He stayed at the skateboard park some 15 to 20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He returned to the park sometime after 11:30 a.m. He said that he tested portions of the areas that he had previously found to be wet and did his foot test again on one or two spots. He stated that they were all dry. However, he did not recall if he tested the paint covering the east and west side of the Bowl. He stated that he saw a mother and young child on a skateboard at this time. He stated that he warned her of hazards in the Bowl but was told that the boy would not go into the Bowl because of his young age. He did not tell the mother to leave the area even though it was clear that several areas outside of the Bowl in the skateboard park had been painted. When asked under cross-examination, "and what do you do, Mr. Booiman, to protect the public when your team or painters employed by you or instructed by you to come and paint, what do you do, Mr. Booiman, to protect members of the public from slipping in wet paint?", he made the surprising statement, "Nothing really." He also stated in-chief that but for a monthly structural inspection he had no regular schedule for his staff or himself as to the number of visits they would make to the park to inspect for hazards or other problems. They would visit only upon complaints being registered. He noted that budgetary constraints precluded any more visits.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He also stated, in cross-examination, that he or his department did not inspect the paint that was used by the contractor and could not identify any requirement in the contract with Dow to provide for public safety. He was, however, clear that Dow West was required to place "wet paint" warning signs at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He agreed that all paint was slippery and that, since 2002, the paint has been changed to a "superior product" in which a light sand additive is mixed into the paint.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He also attended at the skateboard park on the day following the incident at approximately 10:30 in the morning to investigate an incident, at the direction of his superior. He met Mr. Campbell, a risk management employee from the City of Surrey. He said that he again tested the patches of paint that were in the Bowl on that morning. Photographs were taken, apparently by Mr. Campbell. Some of the photographs depict tire marks, from paint, on the asphalt. There are tire tracks that are mostly grey. The colour of the tracks is grey in the photographs and appeared to be bike tire marks as opposed to skateboarding wheel 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Booiman stated that the allegation that the partial painting over of the skateboard figure was done by a Dow West employee or City employee was something that he had not heard before. He testified that in his experience he had never seen painting by Dow West or City employees in the manner used to cover over the skateboard figure. He stated that the painting was incomplete, which was inconsistent with the work of Dow West. He added that he had never had issues with the work of Dow West and was satisfied with their level of work. He further stated that his staff only used white spray paint to do their work and that it took only 15 minutes to 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Booiman testified that, since October 2002, as a result of the graffiti, the entire park has been painted over. He stated that a light sand abrasive was added to the paint that was applied. In cross-examination he was questioned as to whether the sand was added because of the accident. Mr. Booiman stated that it was not, but rather that the decision was a response or a compromise arising from the demands of different users of the skateboard park, where some users wanted a smooth surface and others wanted a higher level of abrasiveness for greater grip.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Millar is the owner/manager of Dow West. At the time of the accident, Dow West provided painting services for the parks department under a general purchase order for painting services for south Surrey (which included the park) on an "as required" or "as directed" basis. He was contacted by Mr. Booiman on the morning of October 16, 2002, and was requested to paint over some offensive graffiti in the Bowl of the park. Mr. Millar instructed a worker, a Mr. Bush, to attend the skateboard park that morning to paint over the graffiti. Mr. Millar stated the Bowl would have been exposed to full sunlight that afternoon and that the dew point for that day was not a concern. His timesheet records indicated that the worker attended at 8:30 a.m. and was there for about one hour. Mr. Millar confirmed Mr. Booiman's evidence that tensions existed between park users and the painters. It is of note that the painter who did the work was not called as a witness. Mr. Bush left Dow West two years after the accident. Mr. Millar was not sure where Mr. Bush now worked, had not remained in contact, and had no contact information. Mr. Millar, however, testified that Mr. Bush returned from the job and worked with Mr. Millar for the rest of the day. Mr. Millar indicated that Dow West uses white vans with blue lettering on its sides. Mr. Millar stated that the drying time for the paint used was 1 to 2 hours. In terms of the weather on the day in question, he testified that the paint would have remained wet "an hour tops".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Millar gave evidence as to the approach his painter would have taken, based on the instructions given to his painters. He stated that the usual method was to "square off" the painted area. This was described as painting over an area generally within a rectangle, with the corners neatly "squared off". He also stated that his painters had discretion to cover only portions of graffiti, which were considered offensive, and to leave portions uncovered that had artistic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Millar described the situation for his painters at the park as "scary". The users were protective of the graffiti, were unhappy with the covering over of graffiti by the City, and displayed aggressive behaviour towards the painters, such as picking up their brushes and throwing them or kicking over their paint. He also stated he was aware of people in the neighbourhood who would paint over graffiti.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He recalled seeing the skateboard figure in September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He agreed in cross-examination that his painters did not test the paint for dryness. But stated that this was because the paint product was "controlled" in the sense that it was always the same product used, namely, "Breeze latex".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Neufeld is the manager of operations south for the City. Mr. Booiman reports directly to him. His responsibilities include the development of work plans that meet existing service levels based on his budget and available resources. He confirmed the zero tolerance policy for graffiti. He stated that the City was engaged in a dialogue with users of the park regarding the effect of paint on the "playability of the park", including its effect on surface tactility and depth perception. He noted that skilled users sought a smoother surface whereas beginners required a surface with more tactile abrasive surface for grip. Mr. Neufeld described the paint product used at the time of the accident was for faster drying times to meet the demands of park users who wished to use the park all of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terms of the City's policy to paint over graffiti, he was not aware of any complaints of "wet paint" being a problem at the park. He also stated that he was satisfied with the painting work conducted by Dow West and received no complaints from users about Dow West. He indicated that, if there had been problems with Dow West, he would have heard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Neufeld explained that his budget could not accommodate the cost of supervising the park with respect to graffiti. He stated that during the period that covered the subject accident, the budget climate of the City was one of increasing constraints on resources. The growth of the City's inventory of parks, and assets in them, led to increased costs of maintenance, which led to under funding. This, in turn, led to a reworking of operating models, and thus included his review of his staff organization, the use of contractors, and different products and technologies to gain efficiencies. Notwithstanding this, there was a general diminishment in service levels as a result of budget constraints. Relative to City council's zero tolerance policy toward graffiti, he stated that he did not have the budget to supervise or inspect the park to prevent graffiti. Reliance was placed on complaints or reports from users of the park, as well as City staff who would be in the area, such as landscapers.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Neufeld stated that the contract for services (in this case a purchase order) from Dow West contained a term requiring them to ensure safety measures be taken such as the placement of "wet paint" signs to warn users. When taken to the relevant purchase order, Mr. Neufeld was unable to point out any term that set out any such requirement. He ultimately agreed that no document existed that contained the term that he had testified was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He further did not follow up to determine whether Dow West had complied with its safety obligations notwithstanding being made aware that plaintiff had alleged his fall was caused by wet paint. His explanation was that he left this responsibility to the risk management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basic test for causation remains the "but for" test. This has been most recently reiterated in </w:t>
      </w:r>
      <w:r>
        <w:rPr>
          <w:rFonts w:ascii="arial" w:eastAsia="arial" w:hAnsi="arial" w:cs="arial"/>
          <w:b/>
          <w:i/>
          <w:color w:val="000000"/>
          <w:sz w:val="20"/>
          <w:lang w:val="en-US" w:eastAsia="en-US" w:bidi="ar-SA"/>
        </w:rPr>
        <w:t>Hanke v. Resurfice Corp.</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In that case, the Supreme Court of Canada reaffirmed and elaborated upon the test it set out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Under this test, it is for the plaintiff to demonstrate on a balance of probabilities that,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the accident would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Causation is not a determination that requires scientific precision; rather, it is in essence a practical question of fact best answered by ordinary common sense. This exercise, however, cannot include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determination for the court is to assess and sort the various aspects of evidence, consistent, contradictory, or otherwise, into a rational coherent whole in order to arrive at a conclusion as to what, in all probability,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Section 3 of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applies to this case. It states: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occupier of premises owes a duty to take that care that in all the circumstances of the case is reasonable to see that a person, and the person's property, on the premises, and property on the premises of a person, whether or not that person personally enters on the premises, will be reasonably safe in using the premises.</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care referred to in subsection (1) applies in relation to the</w:t>
      </w:r>
    </w:p>
    <w:p>
      <w:pPr>
        <w:numPr>
          <w:numId w:val="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condition of the premises,</w:t>
      </w:r>
    </w:p>
    <w:p>
      <w:pPr>
        <w:numPr>
          <w:numId w:val="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activities on the premises, or</w:t>
      </w:r>
    </w:p>
    <w:p>
      <w:pPr>
        <w:numPr>
          <w:numId w:val="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 of third parties on the premises.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 Despite subsection (1), an occupier has no duty of</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care to a person in respect of risks willingly</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assumed by that person other than a duty not to</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create a danger with intent to do harm to the person or damage to the person's property, or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 with reckless disregard to the safety of the person or the integrity of the person's property.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in this section relieves an occupier of premises of a duty to exercise, in a particular case, a higher standard of care which, in that case, is incumbent on the person because of an enactment or rule of law imposing special standards of care on particular classes of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Under this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the City owed Mr. Crane a duty to take such care as was reasonable in all the circumstances to ensure that Mr. Crane would be reasonably safe on the premises. The City as occupier is not an insurer. Further, it is not to be held to a standard of perfection.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City is also entitled to assume that Mr. Crane would exercise reasonable care for his own safety in light of his own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A public authority has no duty of care in decisions, which are driven by financial, economic, social or political considerations. The allocation of resources arising from budgetary considerations and constraints cannot be made the subject of a duty of care. Liability does not extend to government policy decisions; rather, it applies only to operational decisions relating to the execution of the policy. If there is a policy in place that involved financial, economic, social and political factors that limited the policy for the maintenance and repair of the facilities, then the defendant is not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However, if the policy only involved administrative discretion on the part of its responsible officials, then liability may be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Further, if Mr. Crane willingly accepted the risk of a park that had wet paint in it then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does not apply and liability does not apply. Even if this is not found, the plaintiff is to be apportioned liability if he contributed to his own misfortune.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cases relied upon by the plaintiff are: </w:t>
      </w:r>
      <w:r>
        <w:rPr>
          <w:rFonts w:ascii="arial" w:eastAsia="arial" w:hAnsi="arial" w:cs="arial"/>
          <w:b/>
          <w:i/>
          <w:color w:val="000000"/>
          <w:sz w:val="20"/>
          <w:lang w:val="en-US" w:eastAsia="en-US" w:bidi="ar-SA"/>
        </w:rPr>
        <w:t>Summers v. Prince George (City)</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[1986] B.C.J. No. 2162</w:t>
        </w:r>
      </w:hyperlink>
      <w:r>
        <w:rPr>
          <w:rFonts w:ascii="arial" w:eastAsia="arial" w:hAnsi="arial" w:cs="arial"/>
          <w:color w:val="000000"/>
          <w:sz w:val="20"/>
          <w:lang w:val="en-US" w:eastAsia="en-US" w:bidi="ar-SA"/>
        </w:rPr>
        <w:t xml:space="preserve"> (Co. Ct.); </w:t>
      </w:r>
      <w:r>
        <w:rPr>
          <w:rFonts w:ascii="arial" w:eastAsia="arial" w:hAnsi="arial" w:cs="arial"/>
          <w:b/>
          <w:i/>
          <w:color w:val="000000"/>
          <w:sz w:val="20"/>
          <w:lang w:val="en-US" w:eastAsia="en-US" w:bidi="ar-SA"/>
        </w:rPr>
        <w:t>Funnell v. Kamloops (City)</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[1998] B.C.J. No. 775</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Lakerveld v. Chilliwack</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[1987] B.C.J. No. 631</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Weiss v. Y.M.C.A.</w:t>
      </w:r>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(1979), 11 B.C.L.R. 112</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Stynes v. Victoria (City)</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[1988] B.C.J. No. 1485</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Potozny v. Burnaby (City)</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2001 BCSC 837</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Robinson v. The Rock City Enterprises</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[1990] B.C.J. No. 1748</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cases relied upon by the defence are: </w:t>
      </w:r>
      <w:r>
        <w:rPr>
          <w:rFonts w:ascii="arial" w:eastAsia="arial" w:hAnsi="arial" w:cs="arial"/>
          <w:b/>
          <w:i/>
          <w:color w:val="000000"/>
          <w:sz w:val="20"/>
          <w:lang w:val="en-US" w:eastAsia="en-US" w:bidi="ar-SA"/>
        </w:rPr>
        <w:t>Grochowich v. Okanagan University College</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2004 BCCA 325</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Oser v. Nelson (City)</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[1997] 44 M.P.L.R. (2d) 231</w:t>
        </w:r>
      </w:hyperlink>
      <w:r>
        <w:rPr>
          <w:rFonts w:ascii="arial" w:eastAsia="arial" w:hAnsi="arial" w:cs="arial"/>
          <w:color w:val="000000"/>
          <w:sz w:val="20"/>
          <w:lang w:val="en-US" w:eastAsia="en-US" w:bidi="ar-SA"/>
        </w:rPr>
        <w:t xml:space="preserve"> (BCSC). Following its written submission, counsel for the City forwarded the following recent case of Cohen J.: </w:t>
      </w:r>
      <w:r>
        <w:rPr>
          <w:rFonts w:ascii="arial" w:eastAsia="arial" w:hAnsi="arial" w:cs="arial"/>
          <w:b/>
          <w:i/>
          <w:color w:val="000000"/>
          <w:sz w:val="20"/>
          <w:lang w:val="en-US" w:eastAsia="en-US" w:bidi="ar-SA"/>
        </w:rPr>
        <w:t>Van Slee v. Canada Safeway Limited</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2008 BCSC 107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As mentioned above, the City agrees that it is an occupier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and that it owed Mr. Crane a duty of care as specified under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There is no issue that wet paint constitutes a hazard to users of the skateboard park and that the City has a duty to warn users of the existence of such paint in the skateboard park when it has been responsible for its application. In this case, the contractor/painter failed to post warning signs indicating "wet paint" as required by the City. Further, it is clear that Mr. Booiman failed in not placing signs or prohibiting the use of the skateboard park when he attended the park shortly after the painter had left. His lack of follow-up with Dow West to ensure compliance with the requirement for warning signs was also a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However, this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does not satisfy the aspect of causation that must be proven by the plaintiff. The question outstanding is whether the paint applied by the City's contractor was the cause of Mr. Crane's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City submitted that the following points negate Mr. Crane's theory that his fall was caused by wet paint applied by the City's contractor on October 16, 2003:</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not aware of where he picked up the paint or white substance found on his bike tires;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did not know who applied the paint to the surface of the Bowl and there was no evidence of any employee or agent of the City applying paint when the fall occurred;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acknowledged that he was traveling through an area he had not yet traversed on his earlier circuits; he said he took a different line and gave this as an explanation for why he assumes he hit wet paint. He refuses to acknowledge any other source of wetness as the cause of the fall.</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Millar testified that, on occasion, neighbours would cover over graffiti.</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paint applied to the skateboarder is not consistent with the "squared off" and finished method of Dow's painters.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have also taken into consideration the dispute that the users of the park had with the City regarding the painting of the Bowl. There was a group of users who objected to the City painting over graffiti in the park and wanted it to stop. This unhappiness with the City's policy emerged during the testimony of Mr. Richardson and Mr. Mielty.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have considered the video taken by Mr. Mielty. I have taken it with caution as it was highly edited. Its purpose was to promote a specific message to the City's administration regarding painting in the park, i.e., to end the City's painting efforts in the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There is little evidence to connect this observation of glossy dripping paint over the skateboard figure to that of the City's contractor. Neither Mr. Richardson nor Mr. Mielty noted seeing the contractor paint over this skateboard figure nor did they testify seeing this painting over the figure at the time they attended the park earlier in the day. Interestingly, Mr. Mielty indicated the only person he had seen using paint was an unnamed person in the park who he says used the wet paint on the skateboard figure to scrawl the profanity by the figure and his friend Christian who he said finished off some of the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average drying time for the paint was stated by Mr. Booiman and Mr. Millar to be between one and two hours under moderate humidity conditions. The day in question was sunny and warm. Mr. Millar stated that he observed the dew point at the start of the day and found it to be satisfactory. I accept this evidence. There was no evidence to indicate that the paint would not be dry some seven hours after application. Further, the evidence is that, there had not been in the past, complaints from users that wet paint applied in the morning had caused a hazard later in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only paint that appeared wet was paint observed and videotaped by Mr. Mielty. That paint appeared to have been recently applied and would have been quite noticeable as it was "glossy" and "dripping". The plaintiff adduced no evidence to explain how paint applied sometime before 10:00 a.m. could remain wet some seven hours later. I note that the observation of wet paint was in only one spot in the Bowl. Though the videotape was said to be some 20 minutes long, only one spot of wet paint was shown. I note that Mr. Richardson testified that, from his observations later in the day, one would not know paint would be wet in the Bowl if one did not known that painters had painted the park earlier that day. From this, I infer that the paint observed by Mr. Mielty was not consistent with the paint applied by the City's contractor but had been applied by unknown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find that the paint Mr. Mielty said he saw and showed in his video was applied in the Bowl well after the City contractor had left the park. Further, I find that the paint applied by the City contractor had dried by the time Mr. Crane came to the park. I find that the paint which forms the subject of Mr. Crane's fall is unrelated to the work performed by the City's contractor. The appearance of this paint from the video tape, which was put in as evidence by the plaintiff, indicates that the paint was recently applied as it was still very wet, liquid like, indicative of recent application, and showed little sign of drying. In essence, it looked fresh. The paint was described as "glossy" and appeared so in this video, which differs from the low luster paint used by the City. The plaintiff provided no explanation for this appearance. The application of the paint is inconsistent with the method employed by City's contractor. It is also inconsistent with the painting that would have been done by City employees, as they used only spray cans of fast drying paint or brushes, and the wet paint had been rolled on. Finally, there was only one location of the Bowl that was shown by Mr. Mielty as being wet in the manner that he described and videotaped. Given the heightened tensions between the City and the users of the park, and the intent of the video, I was left curious as to why only one location was chosen by Mr. Mielty.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Though the colour of the paint is similar, the plaintiff adduced no evidence demonstrating the paint on his tires matched the Breeze latex - low lustre grey paint used by the painting contractor. I also note that Mr. Crane testified that he found grey paint on this clothing after his fall, which would lend support to the view that the wet paint was related to his fall. However, for some unexplained reason, this clothing was not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paint is not found on different sides of his tires. However, there was inadequate evidence to demonstrate how the tires came to be marked with the paint for the entire circumference of the tires. The pattern of the paint on the tires with the cause of the fall was not explained by the plaintiff's evidence. The paint circles both tires on their right sides. There is no localized section of paint on a tire that would fall in line with the theory of Mr. Crane that his tire "kicked out" from beneath him from a patch of wet paint.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Without some further evidence on these points I found the evidence lacking.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terms of the cause of this fall, there are a host of variables, which arise from the evidence and that could equally account for Mr. Crane's fall. These would include other debris that was caught in his tires from riding to the park or from other parts in the park, including the grassy areas surrounding the Bowl, his braking, his angle of turn, his speed, or a momentary lapse in judgment during his approach to the "hip". I also note on closer inspection of the tires that there are some areas of the tires where dirt or soil can be observed. The absence of evidence indicating a skid or slide of the wheels on the tires, the paint in the Bowl or physical marks in the Bowl surface or the bike (which was not produced) are factors that I have also taken into account. Mr. Crane did not know where he picked up the paint in the park. Again, while he was not in a condition to do so at the time, he did not examine after he was able, or have anyone else examine, the area of his fall, to determine where he may have picked up the paint.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This case cannot be compared with the type of slip and fall on a sidewalk, a super market floor, a swimming pool deck, riding down an amusement park slide, sitting on a swing, or simple skating on ice, which are the subject of the cases referred to by plaintiff's counsel. Mr. Crane was not engaged in an activity of this nature. Rather, Mr. Crane was engaged in a technical BMX maneuver, which required high speed from a steep 8 foot drop into the Bowl (where he became airborne), a tight turn that followed the contour of a curved concrete wall, in a relatively confined space, to become airborne out of the 8 foot wall on the opposite side of the Bowl and then to attain distance beyond the lip of the Bowl. Mr. Crane was engaged in an aggressive activity that required speed, technical skill, physical exertion, and involved risk of falling and injury, even under good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However, if the cause of Mr. Crane's fall was wet paint in the Bowl, I find that the wet paint was from the paint that was applied by an unauthorized and unknown person unrelated to Dow West or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There was no evidence adduced by the plaintiff, which challenged the evidence of the defendant's knowledgeable witnesses that the paint used would have dried within one to two hours. The weather conditions for the day were warm and sunny. No conditions were identified by the plaintiff that would suggest that the drying time of 1 to 2 hours would be extended. I accept the evidence that the City had a practice of getting its painting done earlier in the day, in advance of the arrival of the park's users, who were typically students that would start to use the park in the afternoon. I accept that the painting contractors did not attend the park to paint after 10:00 a.m. on the day in question. The observations of Mr. Richardson and Mr. Mielty of the times they saw the City's contractor is questionable given that their description of the graffiti removal vehicle they saw on the day in question was not accurate. Further, Mr. Richardson's recall of the time that he arrived at the park seemed somewhat equivocal, particularly when he was questioned on how he could recall attending the park at 11:46 a.m. Their recall may be related to observations of the graffiti removal truck used by the contractor that replaced Dow West following the subject accident. In any event, their observations would put the painting of the Bowl at around noon, which is some 5 hours prior to Mr. Crane's fall, which occurred long after the drying time for the paint applied by the City contractor that day. In this regard, I accept the evidence of Mr. Booiman and Mr. Millar that no painters were sent to the park after the first attendance. I also find it significant that no complaints had been made or incidents reported of users slipping or falling in the park due to paint prior to this accident. The zero tolerance policy had been in place for several years to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Given the totality of the evidence, I find that the plaintiff has not established that, on a balance of probabilities, his fall was caused by wet paint applied by the City's contractors or it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If wet paint was the cause of the fall, on balance it is my view that it was paint related to that applied to the partially cover the skateboard figure on the south side of the Bowl and not paint related to the City's contractor. This paint may well have been applied somewhere on his path to the "hip". This paint was applied at some time well after the City's contractor had left the site. The question that follows is what is the duty of the City in the context of an unknown and unauthorized person applying paint to the surface of the Bowl, which causes injury to a user of the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 argues that the City had a duty to supervise and inspect the skateboard park. His submission did not specifically address the aspect of whether the City's duties extended to supervise the park in relation to unauthorized painting in the park by third parties. I did not take his submissions to suggest this. However, in any event, there was no such program in place. There was no budget for this level of supervision and I find that there was no duty on the City to monitor and supervise the park for graffiti in the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budget of the City could not accommodate such expenditure. The policy is also evidenced by the signage at the entrance of the park that specifically states that it is not supervised and that users use the park at their own risk. The public policy exemption applies in this case. The plaintiff, in any event, adduced no evidence as to the appropriate standard of care that was applicable to the skateboard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Had I found that the City was negligent, the question of Mr. Crane's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have arisen.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City argues that Mr. Crane was negligent and was the sole cause of his own misfortune. Reference is made to the following:</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knew that there were no supervisors at the park;</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knew that there could be hazards in the park;</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undertook an inspection tour of the park to determine if there were any hazards;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tire marks going through some wet paint in the park and the plaintiff noticed these marks prior to his fall;</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a sunny, warm, October day and nothing interfered with the plaintiff's ability to inspect for hazards in the park;</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paint used in the park was a low lustre paint;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witness, Mr. Mielty indicated that the wet paint was visible as it had a "glossy look to it", and;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Richardson, who was watching the plaintiff ride around the park, knew that there was wet paint in the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 would add to this list the fact that Mr. Crane is an experienced longtime BMX rider and would have understood the importance of inspecting the riding surface of the route intended prior to attempting manoeuvres requiring high speed and tight turns. Mr. Crane testified that he did some circuits in and around the Bowl prior to the one in which he suffered his fall. He stated in his examination for discovery that he noticed the partially painted over skateboard figure. In my view, it would have been apparent to him that this paint was wet - "glossy and dripping" as stated by Mr. Mielty, had he been using reasonable care in viewing the route he was contemplating. He should have then looked further along his route to determine if there were other areas of fresh paint. In this regard, I note that while Mr. Crane testified that he took several circuits to look at the Bowl, Mr. Richardson testified that he watched Mr. Crane from the moment he entered the park and that Mr. Crane did not come into the deep section of the Bowl or try the "hip" prior to his fall. If this were so, Mr. Crane's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even more apparent. I accept Mr. Richardson's evidence that Mr. Crane did not come into the southern portion of the Bowl prior to this fall. Given the rivalry and competitive spirit in the park, acknowledged by Mr. Richardson, there is a high likelihood that Mr. Crane was under close scrutiny. Plaintiff's counsel argues that it is not reasonable to expect a park user to inspect the park for the presence of wet paint, which may cause the bike to slip or slide. In support, the plaintiff's counsel analogized by submitting that it was not reasonable to expect motorists using a public road to inspect the route or road before embarking on a journey, especially in the absence of any warning 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do not find the analogy helpful. Mr. Crane was not injured in the course of the normal bicycle ride down a street to get to a destination. If a driving analogy were appropriate then, in my view, the better analogy would be of a skilled and experienced driver attempting a risky maneuver involving a steep drop onto a surface at high speed, a tight turn into a steep incline, enough speed to get airborne and distance without crashing. I do not believe there would be much argument that the level of inspection by the driver over the route would be significant, including a careful inspection of the surface of the route to be taken. In the instant case, Mr. Crane did not make much of an inspection. He was trying a new route, which did he did not inspect in a serious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Section 4(1)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damage or loss has been caused by the fault of 2 or more persons, the court must determine the degree to which each person was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Cempel v. Harrison Hot Springs</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(1997), 43 B.C.L.R. (3d) 219</w:t>
        </w:r>
      </w:hyperlink>
      <w:r>
        <w:rPr>
          <w:rFonts w:ascii="arial" w:eastAsia="arial" w:hAnsi="arial" w:cs="arial"/>
          <w:color w:val="000000"/>
          <w:sz w:val="20"/>
          <w:lang w:val="en-US" w:eastAsia="en-US" w:bidi="ar-SA"/>
        </w:rPr>
        <w:t xml:space="preserve"> (C.A.), at para. 24 Lambert,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apportionment of fault there must be an assessment of the degree of the risk created by each of the parties, including a consideration of the effect and potential effect of occurrences within the risk, and including any increment in the risk brought about by their conduct after the initial risk was created. The fault should then be apportioned on the basis of the nature and extent of the departure from the respective standards of care of each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my view, Mr. Crane, on the day in question, had awareness of the risk of wet paint in the Bowl. He observed tire tracks that had gone through paint in the park. He also knew that there was ongoing graffiti being painted in the park as well as the City's efforts to cover it over. He saw the partially painted over skateboard figure. He was attempting maneuvers that required high speed and tight turns. Mr. Crane was involved in a risky activity in which, even under good conditions, there is a real risk of injury. He failed to adequately inspect his route on which he unfortunately fell. Had apportionment been an issue, my assessment of the degree of fault of Mr. Crane would be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conclude that the plaintiff has not demonstrated on a balance of probabilities that the City was negligent in causing his injuries. Accordingly, the plaintiff's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defendant is entitled to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D.M. MASUHARA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March 13,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Revised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 to the Reasons for Judgment issued advising that on page 35, paragraph 90, the sentence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conclude that the plaintiff has not demonstrated on a balance of probabilities that the City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should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conclude that the plaintiff has not demonstrated on a balance of probabilities that the City was negligent in causing his injuries."</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7"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Daniels v. Strangway, [2001] B.C.J. No. 352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Terrace,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Sinclair Prowse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14 - 17,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26,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Terrace Registry No. 7532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352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304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103 A.C.W.S. (3d) 421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Lillouette Hannah Daniels, plaintiff, and Donald W. Strangway,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8"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6" w:name="Keywords_8"/>
      <w:bookmarkEnd w:id="56"/>
      <w:r>
        <w:rPr>
          <w:rFonts w:ascii="arial" w:eastAsia="arial" w:hAnsi="arial" w:cs="arial"/>
          <w:b/>
          <w:color w:val="000000"/>
          <w:sz w:val="20"/>
          <w:lang w:val="en-US" w:eastAsia="en-US" w:bidi="ar-SA"/>
        </w:rPr>
        <w:t>Medicine — Liability of practitioners — Failure to diagnose an injury — Failure to provide care to patient — Standard of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7" w:name="Case Summary_7"/>
            <w:bookmarkEnd w:id="5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Daniels against the defendant Strangway for damages for medical malpractrice. Strangway was a general surgeon. On December 31, 1992 he perforated Daniels' oesophagus while he performed an oesophageal dilation. This procedure was to remove a lodged piece of food. When the procedure was performed there were no indications that the perforation occurred. Daniels developed a fever and generalized pain after the procedure. The definitive tests to identify the perforation were gastografin and barium swallows. However, Strangway did not request these tests because a perforation was rare and the procedure was uneventful. A radiologist was also not available for several days. X-rays did not show a perforation. Strangway concluded that Daniels had pneumonia. Daniels' condition improved. However, on January 14, 1993 purulent-appearing fluid was drained from Daniels' chest. Strangway concluded that a perforation occurred. However, because her condition improved he thought that the perforation sealed itself. A gastografin swallow on January 21 did not reveal a perforation. Strangway continued to treat Daniels conservatively with antibiotics and she was discharged on January 30. She was readmitted on February 2 because of continued fever. A chest X-ray disclosed that she continued to have a chest infection. A barium swallow on February 8 revealed that the perforation was not sealed and continued to leak. Strangway immediately arranged for an emergency thoracotomy. Daniels conceded that Strangway was not negligent in the manner that he performed the dilation. At issue was whether Strangway was negligent because he failed to diagnose the perforation before January 14. A second issue was whether he was negligent in his treatment of the perforation once it was diagnosed.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8" w:name="Holdings of Court_4"/>
            <w:bookmarkEnd w:id="58"/>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Strangway was not negligent in his diagnosis or his treatment of Daniels. He was not held to a standard of perfection. Based on the unusual presentation of Daniels' symptoms Strangway was not negligent because he did not diagnose the perforation before January 14. His subsequent treatment did not fall below the applicable standard of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9" w:name="Counsel_8"/>
      <w:bookmarkEnd w:id="5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9"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G.L. Crampton, for the plaintiff. P.M. Willcock,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0" w:name="Judgment_8"/>
      <w:bookmarkEnd w:id="60"/>
      <w:r>
        <w:pict>
          <v:line id="_x0000_s1070" style="position:absolute;z-index:25176985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1" w:name="SINCLAIR PROWSE J."/>
            <w:bookmarkEnd w:id="61"/>
            <w:r>
              <w:rPr>
                <w:rFonts w:ascii="arial" w:eastAsia="arial" w:hAnsi="arial" w:cs="arial"/>
                <w:b/>
                <w:color w:val="000000"/>
                <w:sz w:val="30"/>
                <w:lang w:val="en-US" w:eastAsia="en-US" w:bidi="ar-SA"/>
              </w:rPr>
              <w:t>SINCLAIR PROWSE J.</w:t>
            </w:r>
          </w:p>
        </w:tc>
      </w:tr>
    </w:tbl>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December 31, 1992, the Defendant, Dr. Strangway, perforated the oesophagus of the Plaintiff, Lillouette Hannah Daniels, while he was performing an oesophageal dilatation after removing a piece of food that had become lodged in her oesophagus. This perforation was not diagnosed until January 14,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As a result of this perforation, Mrs. Daniels developed a serious infection in her chest cavity. On February 11, 1993, she was flown, on an emergency basis, to Vancouver, British Columbia, where she underwent a bilateral thoracotomy, which is the opening and cleansing of both sides of her chest cavity by spreading her ribs, and decortication, which is the scraping off of the pus that had accumulated on her lungs. During this procedure, 1.3 litres of pus was removed from her chest cavity.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Mrs. Daniels contends that as a result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Dr. Strangway, she has suffered a number of ongoing symptoms, including, ongoing chest pain particularly in her left side, shortness of breath, fatigue, and an inability to lift or carry heavy objects.</w:t>
      </w:r>
      <w:r>
        <w:rPr>
          <w:rFonts w:ascii="arial" w:eastAsia="arial" w:hAnsi="arial" w:cs="arial"/>
          <w:sz w:val="20"/>
          <w:lang w:val="en-US" w:eastAsia="en-US" w:bidi="ar-SA"/>
        </w:rPr>
        <w:cr/>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For reasons which follow, I have concluded that the evidence did not prove that Dr. Strangway was negligent, or alternatively, that if he was negligent, that the evidence did not prove that Mrs. Daniels' symptoms were caused by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Having reached this conclusion, I found it unnecessary to address the issues arising with respect to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With respect to the issues raised regarding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is set out later in this Judgment, Mrs. Daniels conceded during the trial that Dr. Strangway had not been negligent in the manner in which he had performed the oesophageal dilatation. Therefore, the only issues pertaining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whether Dr. Strangway was negligent in failing to diagnose the perforation earlier than January 14, 1993; and/or whether he was negligent in the manner in which he treated Mrs. Daniels' perforation after he diagnosed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second issue was whether, if he was negligent, the evidence proved that this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Mrs. Daniels' present symptoms.</w:t>
      </w:r>
      <w:r>
        <w:rPr>
          <w:rFonts w:ascii="arial" w:eastAsia="arial" w:hAnsi="arial" w:cs="arial"/>
          <w:sz w:val="20"/>
          <w:lang w:val="en-US" w:eastAsia="en-US" w:bidi="ar-SA"/>
        </w:rPr>
        <w:cr/>
      </w:r>
    </w:p>
    <w:p>
      <w:pPr>
        <w:numPr>
          <w:numId w:val="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This incident occurred in Mills Memorial Hospital which is located in the small community of Terrace,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of the time of this incident, Dr. Strangway had been practicing in this community as a general surgeon for 21 years. He acquired this speciality in 1969.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Mrs. Daniels is a very pleasant, gentle, 50 year old woman who at all material times was living in a small community just outside of Terrace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December 31, 1992, Mrs. Daniels attended the Emergency Ward of the Mills Memorial Hospital in Terrace, B.C. because she had food lodged in her oesophagus and she had been unable to eat for four days. This food was lodged near the opening to her stomach.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is now known, but was not known at that time, that Mrs. Daniels' suffers from subclinical achalsia, a condition which makes her prone to food lodging in her lower oesophagus with probable weakening and thinning of the oesophageal wall proximal to the GEJ (opening to the stomach).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Prior to December 31, 1992, Mrs. Daniels had attended this hospital on three occasions with the same problem that she was experiencing on that date, namely, food lodged in her oesophagus. On each of these occasions, she had undergone a gastroscopy, which is a procedure to remove the food, and on two of the occasions, she had also undergone an oesophageal dilatation, which is a procedure to widen her oesophagus. On one of these earlier occasions, Dr. Strangway had performed the procedures. When he treated her on this earlier occasion, Dr. Strangway performed both a gastroscopy and an oesophageal dilatation. All of these earlier procedures had been performed without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December 31,1992, as the doctor on duty, Dr. Strangway performed the gastroscopy and oesophageal dilatation on Mrs. Daniels. He removed the lodged piece of food and then dilated her oesophagus.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was really no dispute in the evidence that the perforation probably occurred during the oesophageal dilatation.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Although it is now known that Mrs. Daniels' oesophagus was perforated during this procedure, nothing occurred at the time to indicate that this had happened. That is, although Mrs. Daniels "did experience some discomfort during the procedure" for which she given "supplemental intravenous analgesia", the dilators "passed into the stomach without difficulty". There were no tight strictures which is usually the situation when a perforation will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Within hours of this surgery, Mrs. Daniels had developed a fever, retrosternal pain, generalized pain, and a rapid pulse.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Strangway saw her again that night. In addition to prescribing medication for the pain, he ordered that x-rays be done the next day so that he could eliminate the possibility of a perforation.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Although a gastrografin swallow and a barium swallow are the definitive tests to identify a perforation, they could not be performed because they require a radiologist and the radiologist was not scheduled to return to Terrace until January 6,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As Dr. Strangway explained in his testimony, because a perforation is rare and because the procedure had gone without difficulty, he did not consider that it was likely that this had happened. Therefore, he did not ascertain whether a radiologist was available in nearby communities such as Prince Rupert or Smithers.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Chest x-rays were taken of Mrs. Daniels on both January 1 and 2,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These x-rays showed "a loss of translucency at both bases and a suggestion of fluid in the left pleural cavity" (January 1, 1993) and "[t]he disease noted yesterday at both bases is more extensive. There is now obvious fluid in the left pleural cavity" (January 2, 1993). As Dr. Strangway testified, these x-rays and the ones taken subsequently on January 3, 4, 6, and 8, 1993, indicated that Mrs. Daniels had developed an infection in her lung and chest cavity but they did not disclose the cause of that infection. There was no sign of air fluid in these x-rays.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January 2, 1993, Dr. Strangway concluded that the probable cause of this infection was aspiration pneumonia. This diagnosis was based on the fact that there was no sign of air fluid in the x-rays, there had been no difficulty in the oesophageal dilatation, and that Mrs. Daniels appeared to be improving. That is, although she still had a fever and was still experiencing the pain she had reported on January 1, 1993, it was less at 1:30 a.m. than it had been at 9:30 p.m. the night before. Further, at 6:50 a.m. on January 1, 1993, she reported that the pain was less than it had been the night before. In addition, on January 2, 1993, she went for at least three walks along the hall.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Both parties called experts to give opinions as to whether Dr. Strangway had met the requisite standard of care. Both of these experts testified that the fact that her pain decreased and the fact that she felt well enough to go for walks is unusual in patients with a perforation.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Before making this diagnosis on January 2, 1993, Dr. Strangway consulted one of his colleagues, Dr. Lin, an anaesthetist, regarding Mrs. Daniels. Dr. Lin was the anaesthetist for Mrs. Daniels' oesophageal dilatation on December 31,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After examining her, Dr. Lin also concluded, as his report shows,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lady demonstrates both clinically and laboratory-wise some evidence of ongoing pneumonic process in her left base. The reason for this I am not quite clear. ...I must admit that I am not quite sure why this sudden development of a chest infection. There is a possibility of aspiration pneumonitis, however, given the anatomy of the bronchial tree I would have thought it more likely for her to develop a right sided pnuemonitis rather than left. Otherwise I really cannot think of any other reason at this stage as to why she should have developed this chest infection.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January 14, 1993, fluid was drained from Mrs. Daniels' chest cavity that was "purulent-appearing material". One week earlier the fluid had been clear yellow. As is reflected in his hospital notes of January 14, 1993, it was at this time that Dr. Strangway changed his diagnosis. In particular, he wrote "as time goes on it appears more evident that she had suffered an oesophageal perforation with the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However, because she continued to improve, Dr. Strangway concluded that the perforation had probably sealed itself spontaneously. He then embarked on a conservative course of treatment, namely, that Mrs. Daniels' chest be drained as there had been fluid in both of her pleural cavities, and that she be kept on high doses of antibiotics.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January 21, 1993, Mrs. Daniels underwent a gastrografin swallow, which is an x-ray of the oesophagus and stomach using contrast material. As reported by the radiologist, it did not show any abnormality of the oesophagus, stomach, or duodenum. In particular, it did not indicate any leaking from the oesophagus.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Although a barium swallow would have conclusively identified the location of the perforation and the fact that it was still leaking, it was not ordered by Dr. Strangway, nor does it appear to have been recommended by the radiologist.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From the evidence it appears that Dr. Strangway did not order the barium swallow because he thought that the perforation had sealed. This conclusion appears to be based on the fact that the gastrografin swallow did not disclose a leak, that she appeared to be getting better, and that she was able to eat and drink fairly well. There was no evidence lead as to the radiologist's reasons for not recommending this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any event, Mrs. Daniels continued to improve. Mrs. Daniels was discharged from the hospital on January 30, 1993, even though she was still running low grade fevers and had a rapid pulse because she was feeling much better, she was swallowing well, there was only minimal fluid in her chest cavity, and her white blood cell count was normal. She was given antibiotics to continue to take at home and was advised that if she ran high fevers or had significant shortness of breathe she was to report back to the hospital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February 2, 1993, Mrs. Daniels was re-admitted because of continuing fever. Chest X-rays disclosed that she continued to have an infection in her chest cavity. She was given high doses of penicillin.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February 8, 1993, Mrs. Daniels underwent a barium swallow. This test revealed that the perforation was not completely sealed but rather that it was still leaking.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Strangway then made arrangements for Mrs. Daniels to be flown to Vancouver B.C. for an emergency thoracotomy and decortication. During this operation, 1 1/3 litres of pus were removed from Mrs. Daniels' chest cavity.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Also, during this operation the surgeon located the perforation but because it was already starting to heal, he did not repair it. Rather, he decided that it should be treated conservatively. Subsequent barium swallows disclosed a small contained leak that did not completely seal until the end of May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Mrs. Daniels was not released from hospital until March 23, 1993. During this stay in hospital, Mrs. Daniels spent approximately 16 days in the intensive care unit and underwent two further procedures, a tracheotomy and a feeding jejunostomy. To say the least, she was very sick.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During her testimony, Mrs. Daniels reported that since this operation she has developed a number of symptoms. In particular, she testified that she has suffered from ongoing symptoms which are consistent with post-thoracotomy syndrome, that is, the ongoing pain caused by the manipulation of the inter-costal nerve when the ribs are spread during the bilateral thoracotomy.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Since this operation Mrs. Daniels has also suffered from chest pain, particularly, on her left side, which increases in severity when she is exposed to cold and/or damp, shortness of breath, fatigue, and an inability to lift heavy objects.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Although Mrs. Daniels also suffers from pain and weakness in her left hand and arm and from headaches, she did not contend that these arose because of the perforation or its treatment. Rather, the weakness in her left arm arose from a break that she suffered a number of years ago and the headaches preceded her oesophageal dilatation on December 31, 1992.</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EVIDENCE PROVE THAT DR. STRANGWAY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was touched on at the beginning of these Reasons, during the trial Mrs. Daniels conceded that the evidence fell short of proving that Dr. Strangway was negligent in the manner in which he performed the oesophageal dilatation.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Mrs. Daniels had raised the issue as to whether Dr. Strangway was properly qualified to perform this operation as he had only taken a two week course. However, at the end of the trial, and after the testimony of Dr. James, Mrs. Daniels no longer contested his qualifications. Dr. James, a general surgeon practicing in Campbell River for the last ten years, testified that Dr. Strangway had more training than most. The evidence having disclosed that in the ten year period preceding this incident, Dr. Strangway had performed approximately four to five of these procedures per week (250 per year) without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Moreover, at the beginning of this trial, Mrs. Daniels contended that Dr. Strangway had used inappropriate methods in doing the oesophageal dilatation and in particular in failing to use fluoropscopy.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However, as Mrs. Daniels clarified at the end of this trial, she was no longer maintaining this contention. That is, she agreed that the evidence proved that there were two approved schools of thought regarding the necessity of this procedure. Dr. Strangway could not be found negligent because he had followed one approved school of thought rather than another Belknap v. Meakes </w:t>
      </w:r>
      <w:hyperlink r:id="rId140" w:history="1">
        <w:r>
          <w:rPr>
            <w:rFonts w:ascii="arial" w:eastAsia="arial" w:hAnsi="arial" w:cs="arial"/>
            <w:i/>
            <w:color w:val="0077CC"/>
            <w:sz w:val="20"/>
            <w:u w:val="single"/>
            <w:shd w:val="clear" w:color="auto" w:fill="FFFFFF"/>
            <w:lang w:val="en-US" w:eastAsia="en-US" w:bidi="ar-SA"/>
          </w:rPr>
          <w:t>(1989), 64 D.L.R.(4th) 452</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Lastly, there was no issue that perforation is a recognized, although rare, risk of an oesophageal dilatation and could occur even with the most competent of physicians. Therefore, perforation is not, in itself,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 Roe v. Ministry of Health, [1954] 2 All E.R. 131 at 136 and 139 (C.A.) and Fischer v. Waller, </w:t>
      </w:r>
      <w:hyperlink r:id="rId141" w:history="1">
        <w:r>
          <w:rPr>
            <w:rFonts w:ascii="arial" w:eastAsia="arial" w:hAnsi="arial" w:cs="arial"/>
            <w:i/>
            <w:color w:val="0077CC"/>
            <w:sz w:val="20"/>
            <w:u w:val="single"/>
            <w:shd w:val="clear" w:color="auto" w:fill="FFFFFF"/>
            <w:lang w:val="en-US" w:eastAsia="en-US" w:bidi="ar-SA"/>
          </w:rPr>
          <w:t>[1994] 1 W.W.R. 83</w:t>
        </w:r>
      </w:hyperlink>
      <w:r>
        <w:rPr>
          <w:rFonts w:ascii="arial" w:eastAsia="arial" w:hAnsi="arial" w:cs="arial"/>
          <w:color w:val="000000"/>
          <w:sz w:val="20"/>
          <w:lang w:val="en-US" w:eastAsia="en-US" w:bidi="ar-SA"/>
        </w:rPr>
        <w:t xml:space="preserve"> at 85 and 88 (Alta. Q.B.).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Given all of these circumstances, I was satisfied at the conclusion of the trial that the evidence proved, as Mrs. Daniels conceded, that Dr. Strangway was not negligent in the manner in which he had performed the oesophageal dilatation. That is, I was satisfied that this perforation was not caused by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Dr. Strangway during the dilatation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two issues regarding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remained to be addressed were:</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Dr. Strangway negligent in failing to diagnose the perforation earlier than January 14, 1993?</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Dr. Strangway negligent in the course of treatment that he followed with Mrs. Daniels after he made the perforation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To put these issues in context, the standard of care that Dr. Strangway is required to meet is that he "possess and use that reasonable degree of learning and skill ordinarily possessed by practitioners in similar communities in similar cases." Wilson v. Swanson, </w:t>
      </w:r>
      <w:hyperlink r:id="rId79"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xml:space="preserve"> at 817; Belknap v. Meakes, supra, at 473-474; and ter Neuzen v. Korn </w:t>
      </w:r>
      <w:hyperlink r:id="rId78" w:history="1">
        <w:r>
          <w:rPr>
            <w:rFonts w:ascii="arial" w:eastAsia="arial" w:hAnsi="arial" w:cs="arial"/>
            <w:i/>
            <w:color w:val="0077CC"/>
            <w:sz w:val="20"/>
            <w:u w:val="single"/>
            <w:shd w:val="clear" w:color="auto" w:fill="FFFFFF"/>
            <w:lang w:val="en-US" w:eastAsia="en-US" w:bidi="ar-SA"/>
          </w:rPr>
          <w:t>(1995), 11 B.C.L.R. (3d) 201</w:t>
        </w:r>
      </w:hyperlink>
      <w:r>
        <w:rPr>
          <w:rFonts w:ascii="arial" w:eastAsia="arial" w:hAnsi="arial" w:cs="arial"/>
          <w:color w:val="000000"/>
          <w:sz w:val="20"/>
          <w:lang w:val="en-US" w:eastAsia="en-US" w:bidi="ar-SA"/>
        </w:rPr>
        <w:t xml:space="preserve"> at 214 paragraphs 33 and 34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Dr. Strangway is not to be held to a standard of perfection Scrimgeour v. Singer, </w:t>
      </w:r>
      <w:hyperlink r:id="rId142" w:history="1">
        <w:r>
          <w:rPr>
            <w:rFonts w:ascii="arial" w:eastAsia="arial" w:hAnsi="arial" w:cs="arial"/>
            <w:i/>
            <w:color w:val="0077CC"/>
            <w:sz w:val="20"/>
            <w:u w:val="single"/>
            <w:shd w:val="clear" w:color="auto" w:fill="FFFFFF"/>
            <w:lang w:val="en-US" w:eastAsia="en-US" w:bidi="ar-SA"/>
          </w:rPr>
          <w:t>[1988] B.C.J. No. 31</w:t>
        </w:r>
      </w:hyperlink>
      <w:r>
        <w:rPr>
          <w:rFonts w:ascii="arial" w:eastAsia="arial" w:hAnsi="arial" w:cs="arial"/>
          <w:color w:val="000000"/>
          <w:sz w:val="20"/>
          <w:lang w:val="en-US" w:eastAsia="en-US" w:bidi="ar-SA"/>
        </w:rPr>
        <w:t>, January 8, 1988, Van.Reg. No. C860304 (S.C.). Rather, he is required to perform to the average of the particular group to which he belongs Wilson v. Swanson,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Neither a late diagnosis nor error in judgment are in themselves proof that a physician has been negligent Wilson v. Swanson, supra and Challand v. Bell </w:t>
      </w:r>
      <w:hyperlink r:id="rId143" w:history="1">
        <w:r>
          <w:rPr>
            <w:rFonts w:ascii="arial" w:eastAsia="arial" w:hAnsi="arial" w:cs="arial"/>
            <w:i/>
            <w:color w:val="0077CC"/>
            <w:sz w:val="20"/>
            <w:u w:val="single"/>
            <w:shd w:val="clear" w:color="auto" w:fill="FFFFFF"/>
            <w:lang w:val="en-US" w:eastAsia="en-US" w:bidi="ar-SA"/>
          </w:rPr>
          <w:t>(1959), 18 D.L.R. (2d) 150</w:t>
        </w:r>
      </w:hyperlink>
      <w:r>
        <w:rPr>
          <w:rFonts w:ascii="arial" w:eastAsia="arial" w:hAnsi="arial" w:cs="arial"/>
          <w:color w:val="000000"/>
          <w:sz w:val="20"/>
          <w:lang w:val="en-US" w:eastAsia="en-US" w:bidi="ar-SA"/>
        </w:rPr>
        <w:t xml:space="preserve"> (Alta. S.C.).</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Dr. Strangway Negligent In Failing To Diagnose The Perforation Earlier Than January 14,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Both parties presented witnesses whom I accepted as qualified to give opinions on general surgery and in particular on gastroscopies and oesophageal dilatations.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Cleator was the witness tendered by Mrs. Daniels. He is a general surgeon with a special interest in gastro-intestinal surgery, and in particular oesophageal dilatations and gastroscopies. He is a tenured Professor of Surgery at the University of British Columbia, with a consulting practice at St. Paul's Hospital. For the last 26 years, he has headed the St. Paul's Hospital gastro-intestinal clinic. Needless to say Dr. Cleator works in Vancouver,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James was the witness tendered by Dr. Strangway. As was mentioned earlier in these Reasons for Judgment, he is a general surgeon who has practised in the small community of Campbell River, B.C. for the last ten years. In the course of his practice, Dr. James performs approximately 250 gastroscopies and oesophageal dilatations per year, or about four to five a week. This is about the same number as Dr. Strangway performed during the ten year period preceding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his report dated April 25, 2000, Dr. James provided the following opinion with respect to Dr. Strangway's delay in diagnosing the perforation: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Strangway had no reason to suspect an oesophageal perforation and I think that his assumption that Mrs. Daniels had a pneumonitis, possibly secondary to aspiration, is understandable under the circumstances. Dr. Strangway appears from the records to have followed his patient closely and with diligence.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James confirmed this opinion during the trial. That is, he attested that because her symptoms were less florid and because she was improving, her symptoms were more suggestive of a pneumonic process such as aspiration pneumonia. He explained in his testimony that a pneumonic process is not how one would usually describe an oesophageal perforation.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James further testified that aspiration pneumonia is more common than a perforation. Because there had been no difficulty during the dilatation, he would have considered it before a perforation. He testified that the fact that there was no evidence of vomiting would not eliminate it as a diagnosis nor would the duration of her illness as he would not have expected her to recover more quickly with an aspiration pneumonia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During cross-examination, Dr. James did opine that given Mrs. Daniels' symptoms during the first few days, a competent physician would probably have ordered a gastrografin swallow followed by a barium swallow if the results of the gastrografin were negative. The barium swallow would have disclosed the perforation.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However, later in his testimony Dr. James expressed second thoughts about this opinion. On this later occasion, he again emphasized the difficulty in this case because Mrs. Daniels did not present in a manner in which patients usually present with a perforation. Further, he explained that he does not usually order a gastrografin swallow and a barium swallow unless there has been difficulty with the oesophageal dilatation and in this case, as has been mentioned a number of times, there was no difficulty in dilatation.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Cleator, on the other hand, opined that Dr. Strangway had fallen below the required standard of care because Mrs. Daniels had all of the symptoms of a perforation and he had failed to confirm it through a gastrografin swallow or a barium swallow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Cleator agreed that Mrs. Daniels' symptoms "were less so" than the usual symptoms presented by a patient with a perforation. He also conceded that the key symptom of a perforation is pain, and that it is unusual for the pain to decrease from time to time, as Mrs. Daniels' pain did. He also agreed that it was unusual for a patient with a perforation to be able to go for two to three walks up the hall as Mrs. Daniels did on January 2, 1993. He also agreed that it was unusual for a patient with a perforation to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Strangway testified, and the hospital notes confirmed, that although Mrs. Daniels was very sick for the first few days, after that she kept improving until she was released January 30,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However, because the consequences of a perforation are so serious, Dr. Cleator considered that Dr. Strangway should have ordered the gastrografin swallow and barium swallow (if necessary) before ruling out the perforation.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Given the unusual presentation of Mrs. Daniels' symptoms and the similarity of their practices, I relied on the opinion of Dr. James as to whether Dr. Strangway had met the required standard of care. Because of the circumstances in this case, and in particular the unusual presentation of Mrs. Daniels' symptoms, in my view the standard of care recommended by Dr. Cleator was a standard of perfection. That is, not the standard of care that Dr. Strangway must meet.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Having reached these conclusions, I was satisfied that Dr. Strangway had not been negligent in failing to diagnose the oesophageal perforation earlier than January 14, 1993.</w:t>
      </w:r>
      <w:r>
        <w:rPr>
          <w:rFonts w:ascii="arial" w:eastAsia="arial" w:hAnsi="arial" w:cs="arial"/>
          <w:sz w:val="20"/>
          <w:lang w:val="en-US" w:eastAsia="en-US" w:bidi="ar-SA"/>
        </w:rPr>
        <w:cr/>
      </w:r>
    </w:p>
    <w:p>
      <w:pPr>
        <w:numPr>
          <w:numId w:val="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Was Dr. Strangway Negligent In The Course Of Treatment That He Followed With Mrs. Daniels After The Perforation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As was set out earlier in this Judgment, Dr. Strangway placed Mrs. Daniels on a conservative course of treatment (non-operative) after making the perforation diagnosis on January 14,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Specifically, having concluded that the perforation was sealing spontaneously, he placed her on a regime in which her chest cavity was drained of the fluids that had built up and he prescribed high doses of antibiotics. The perforation was never repaired. Similarly, it was also the decision of the thoracic surgeon that did the bilateral thoracotomy that it should be treated in that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When her condition worsened in February 1993, Dr. Strangway ordered a barium swallow. When this test revealed on February 8, 1993, that the perforation was still leaking, he immediately made arrangements for her to fly to Vancouver for a thoracotomy.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his Report Dr. James opined that in his view this choice of treatment did not fall below the standard of care required of Dr. Strangway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did initially appear to be clinical improvement which likely would have encouraged Dr. Strangway to continue a non-operative course. Once it was clear that the conservative measures were no longer succeeding, appropriate referral to a chest surgeon in a tertiary care facility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It was Dr. Cleator's view, on the other hand, that although conservative treatment is appropriate in some cases, it can be dangerous. If the perforation is not sealed, there is always the danger that the infection will worsen.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Given that Mrs. Daniels appeared to be improving, I relied on Dr. James' opinion that to treat this perforation conservatively would be an appropriate treatment in the circumstances. Further, I accept his opinion that Dr. Strangway did not fall below the standard of care required of him. In my view, in the circumstances of this case, the standard of care suggested by Dr. Cleator was a standard of perfection. As was mentioned in the preceding section, that is not the standard that Dr. Strangway is required to meet.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Having reached this conclusion, I was satisfied that Dr. Strangway was not negligent in the course of treatment that he followed with Mrs. Daniels after the perforation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the present case, there was evidence on which Dr. Strangway could conclude that the perforation was sealing spontaneously and therefore conservative treatment was appropriate.</w:t>
      </w:r>
      <w:r>
        <w:rPr>
          <w:rFonts w:ascii="arial" w:eastAsia="arial" w:hAnsi="arial" w:cs="arial"/>
          <w:sz w:val="20"/>
          <w:lang w:val="en-US" w:eastAsia="en-US" w:bidi="ar-SA"/>
        </w:rPr>
        <w:cr/>
      </w:r>
    </w:p>
    <w:p>
      <w:pPr>
        <w:numPr>
          <w:numId w:val="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HE WAS NEGLIGENT, DID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 MRS. DANIELS TO DEVELOP HER PRESENT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As was set out in the previous section, I was not satisfied that the evidence proved that Dr. Strangway was negligent in failing to diagnose Mrs. Daniels' perforation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However, in the event that I am wrong in that conclusion, I have addressed the issue as to whether the delay in the diagnosis caused or contributed to Mrs. Daniels' present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There is no dispute that to succeed in a claim for damages based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 plaintiff must not only prove that the defendant was negligent but also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To prove causation, Mrs. Daniels must establish that on a balance of probabilities, Dr. Strangway's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her injuries Snell v. Farrell, </w:t>
      </w:r>
      <w:hyperlink r:id="rId144"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and Athey v. Leonati,[1996] 3 S.C.R. 458.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As was set out earlier, Mrs. Daniels' symptoms include ongoing chest pain, shortness of breath, fatigue, and an inability to lift and carry heavy objects.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evidence proved that the ongoing chest pain was probably caused by the bilateral thoracotomy. In her testimony, Mrs. Daniels testified that the chest pain that she experiences tracks her incision on the left side of her body made during the bilateral thoracotomy. This incision is located just above her waist and extends from her spine around her side to the middle of her chest at the front of her body. This pain is ongoing, increasing in severity when it is cold and/or damp.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As the evidence established, these symptoms are consistent with post-thoracotomy syndrome which some patients develop after a bilateral thoracotomy. The ongoing pain is the result of the manipulation of the intercostal nerve which occurs when the patient's ribs are spread during this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With respect to the shortness of breath, this also was shown to be related to the post-thoracotomy syndrome. Specifically, as is set out in the Report of Dr. Fleetham, a specialist in respiratory medicine, dated November 9, 2000, setting out his findings following his examination of Mrs. Daniels on June 15, 2000: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has subjective shortness of breath which I feel is more related to her chest pain than residual lung pleural disease. A CT chest performed two and half years ago revealed minimal pleural thickening and spirometry performed at the time of this examination was within normal limits.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As far as the fatigue was concerned, it appears to arise from the ongoing pain that Mrs. Daniels has. This pain not only includes the pain from the post-thoracotomy syndrome but also from her headaches and her left arm which are both unrelated to this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With respect to her inability to lift or carry heavy objects, there was no evidence as to the cause of this symptom. However, it is reasonable to conclude that this is related not only to the weakness in Mrs. Daniels' left arm, but also to her ongoing chest pain which is caused by the post thoracotomy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To conclude, aside from her headaches and pain and weakness in her left arm, which Mrs. Daniels concedes are unrelated to this incident, the evidence shows that Mrs. Daniels' symptoms are the result of post-thoracotomy syndrome, which in turn was caused by the bilateral thoracotomy.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issue therefore is whether it would have been necessary for Mrs. Daniels to have undergone a bilateral thoracotomy if her perforation had been diagnosed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As Dr. Cleator explained in his evidence, a thoracotomy is the usual treatment to repair a perforation, and that it probably would have been the procedure followed had the perforation been diagnosed earlier. Dr. Strangway agreed with this in his testimony. That is, he testified that if he had discovered the perforation earlier, he would have made arrangements to have Mrs. Daniels undergo a thoracotomy to repair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 thoracotomy is an operation in which the patient's chest cavity is opened so that the pleural space can be washed, the perforation can be repaired, and the chest cavity can be drained.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As Dr. Cleator testified, a thoracotomy need not be bilateral (opening both sides of the chest). Rather, perforations may be repaired through a thoracotomy in which just one side is opened. Whether it is bilateral, Dr. Cleator attested, will depend on the extent of the infection and in particular on whether it has spread to both sides of the chest cavity.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earliest possible date on which this perforation could have realistically been diagnosed was January 6, 1993, when the radiologist returned to Terrace. On that date, Mrs. Daniels could have undergone a gastrografin swallow and a barium swallow (if necessary). As was set out earlier in these Reasons, these tests would have identified the perforation.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Given the unusual presentation of her symptoms, and the fact that the oesophageal dilatation had proceeded without difficulty, it would not be reasonable to require Dr. Strangway to arrange for a radiologist to come in from another community, if in fact such a radiologist existed.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If the perforation had been diagnosed on January 6, 1993, Mrs. Daniels would then have been flown to Vancouver as soon as possible for the thoracotomy. Dr. Strangway testified that it would not have been done in Terrace.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evidence was consistent that a thoracotomy would have been done as quickly as possible. Therefore, Mrs. Daniels would probably have undergone this procedure on January 6, 7, or 8,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With respect to the status of the infection in her chest cavity, her chest x-ray on January 6, 1993, showed "[t]here is now a large effusion on the left side and a probable effusion on the right side. In addition there is diffuse consolidation in the right lung." The x-ray on January 8, 1993, disclosed "some clearing of the disease at the right base but accumulation of fluid in the left pleural cavity". There was no x-ray taken on January 7,1993.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These x-rays show that the infection had spread to both sides of Mrs. Daniels' chest cavity.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Consequently, even if the perforation had been discovered on January 6, 1993, as the infection extended to both sides of her chest cavity at that time, a bilateral thoracotomy would have had to have been performed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As her symptoms were caused by the bilateral thoracotomy, and as that procedure would have had to have been done even if the perforation diagnosis had been made at the earliest reasonable opportunity, the late diagnosis did not cause, or materially contribute, to Mrs. Daniels'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If I am mistaken in my understanding of the meaning of the x-rays of January 6 and 8, 1993, it does not change my conclusion regarding causation. That is, the onus is on Mrs. Daniels to prove that her symptoms would not have arisen but for the late diagnosis. To do this, she must establish that she would not have required a bilateral thoracotomy. She did not do this. Dr. Cleator's evidence did not go so far as to opine that she would not require a bilateral thoracotomy. Rather, when asked whether she would require a bilateral thoracotomy as early as January 3, 1993, he testified that he was not sure because he did not know what the fluid was on her right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For all of these reasons, I am not satisfied that Mrs. Daniels has proven causation. Therefore, even if Dr. Strangway was negligent in failing to diagnose her perforation earlier, Mrs. Daniels has not proven that her symptoms would not have arisen but for the late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the preceding section, I concluded that Dr. Strangway was not negligent in the treatment that he provided to Mrs. Daniels after the oesophageal perforation was diagnosed on January 14,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If I am wrong with respect to that conclusion, for the reasons set out above, I am satisfied that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did not cause, or materially contribute, to Mrs. Daniels' symptoms. That is, I am not satisfied that Mrs. Daniels has proven that her present symptoms would not have arisen but for the medical treatment that she received after the perforation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This action is dismissed.</w:t>
      </w:r>
      <w:r>
        <w:rPr>
          <w:rFonts w:ascii="arial" w:eastAsia="arial" w:hAnsi="arial" w:cs="arial"/>
          <w:sz w:val="20"/>
          <w:lang w:val="en-US" w:eastAsia="en-US" w:bidi="ar-SA"/>
        </w:rPr>
        <w:cr/>
      </w:r>
    </w:p>
    <w:p>
      <w:pPr>
        <w:numPr>
          <w:numId w:val="1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Costs were not addressed in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Although there was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this case, and although Dr. Strangway was shown to be a caring and conscientious physician, nevertheless Mrs. Daniels has suffered, and will continue to suffer, pain as the result of the accidental perforation of her oesophagus and its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Given this rather sad situation, it may be that costs will never be pursued. However, if they are to be pursued, an application should be set down through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SINCLAIR PROWSE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1" style="position:absolute;z-index:2518210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51" w:history="1">
        <w:r>
          <w:rPr>
            <w:rFonts w:ascii="arial" w:eastAsia="arial" w:hAnsi="arial" w:cs="arial"/>
            <w:b/>
            <w:bCs/>
            <w:i/>
            <w:color w:val="0077CC"/>
            <w:kern w:val="32"/>
            <w:sz w:val="28"/>
            <w:szCs w:val="32"/>
            <w:u w:val="single"/>
            <w:shd w:val="clear" w:color="auto" w:fill="FFFFFF"/>
            <w:lang w:val="en-US" w:eastAsia="en-US" w:bidi="ar-SA"/>
          </w:rPr>
          <w:t>Dawson Truck Repairs Ltd. v. Insurance Corp. of British Columbia, [2006] B.C.J. No. 1030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R.R. Holmes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18 - 19,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8,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S043474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1030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736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36 C.C.L.I. (4th) 263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148 A.C.W.S. (3d) 988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CarswellBC 1114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Dawson Truck Repairs Ltd., plaintiff, and Insurance Corporation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2"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2" w:name="Keywords_9"/>
      <w:bookmarkEnd w:id="62"/>
      <w:r>
        <w:rPr>
          <w:rFonts w:ascii="arial" w:eastAsia="arial" w:hAnsi="arial" w:cs="arial"/>
          <w:b/>
          <w:color w:val="000000"/>
          <w:sz w:val="20"/>
          <w:lang w:val="en-US" w:eastAsia="en-US" w:bidi="ar-SA"/>
        </w:rPr>
        <w:t xml:space="preserve">Insurance law — Liability insurance — Business and commercial insurance — Action by the plaintiff garage against the defendant insurance corporation allowed — Damage to customer's truck was primarily caused by plaintiff's negligent repairs — Alleged mechanical failure resulted from the plaintiff's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thus no exclusions from coverage were applicable — Award reduced by 15 per cent to reflect betterment to customer's vehicle — Insurance (Motor Vehicle) Act, Regulations, s. 132(1)(b).</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3" w:name="Case Summary_8"/>
            <w:bookmarkEnd w:id="6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Dawson Truck Repairs, against the defendant, the Insurance Corporation of British Columbia, for losses claimed under a garage policy of insurance -- The plaintiff undertook the repair of a customer's truck -- During the ensuing test drive, an engine malfunction resulted in an explosion and extensive damage that required a major rebuilding project to the vehicle -- The garage policy provided coverage for accidental loss without exclusion for legal liability for damage to customers' vehicles -- The defendant took the position that the majority of the damage was caused by mechanical failure and thereby excluded from coverage by s. 132 of the Insurance (Motor Vehicle) Act Regulations -- The defendant paid for coincidental damage -- The defendant submitted that the plaintiff did not prove that it was liable for the damage to the customer's truck, and therefore there was no further coverage under the policy -- HELD: Action allowed in part -- The evidence established that the plaintiff was negligent in the repair of the customer's vehicle, which was the proximate cause of the resulting damage -- Because the loss was accidental, coverage was available in the absence of an exclusion under the Regulations -- No such exclusion applied, because any mechanical failure was an effect or secondary cause that resulted from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repair process -- The damage award was based on the amount the plaintiff would have received if the employees' time allocated to the repair of the truck would otherwise have been utilized on remunerative work charged out at prevailing customer rates, rather than the actual wage paid to the employee who performed the work -- Payments made by the defendant and the plaintiff's insurer were deducted from the award -- The award was further reduced by 15 per cent to recognize that the major rebuild of the truck's engine constituted a betterment that increased the value of the vehicle beyond its pre-value worth.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4" w:name="Legislation Cited_6"/>
      <w:bookmarkEnd w:id="6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3"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(Motor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Insurance (Motor Vehicle) Act, Regulations, s. 117, s. 132 s. 132(1)(b), s. 134, s. 139, s. 141, s. 146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5" w:name="Counsel_9"/>
      <w:bookmarkEnd w:id="6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4" style="position:absolute;z-index:2517708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Janet S. DeVita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Chris J. Hope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6" w:name="Judgment_9"/>
      <w:bookmarkEnd w:id="66"/>
      <w:r>
        <w:pict>
          <v:line id="_x0000_s1075" style="position:absolute;z-index:25182208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7" w:name="R.R. HOLMES J."/>
            <w:bookmarkEnd w:id="67"/>
            <w:r>
              <w:rPr>
                <w:rFonts w:ascii="arial" w:eastAsia="arial" w:hAnsi="arial" w:cs="arial"/>
                <w:b/>
                <w:color w:val="000000"/>
                <w:sz w:val="30"/>
                <w:lang w:val="en-US" w:eastAsia="en-US" w:bidi="ar-SA"/>
              </w:rPr>
              <w:t>R.R. HOLMES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claim is under a Garage policy of insurance ("policy") with the defendant l.C.B.C. for the repair cost of labour, parts and supplies for a customer's truck damaged while it was in the plaintiff's care, custody and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main issue in this matter is whether the I.C.B.C. Garage policy provides coverage for more of the repair costs arising from the engine over-speed incident of June 27, 2003 beyond those paid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at the relevant time was insured under an I.C.B.C. Garage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Between June 24-27, 2003 a 1999 International truck tractor unit ("truck") owned by Northern Cartage was in the care custody and control of the plaintiff for repair to its turbocharger.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Following repair the truck was being removed from the garage on June 27 for purpose of a road test when the engine suddenly over-sped uncontrollably beyond its capacity resulting in an engine type explosion, extreme vibration, shattered projectiles of metal were hurled as far as 20 feet, and there was severe over-torque and stress of the transmission, drive shaft and drive train components.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damage to the truck was extensive. The top end of the engine was completely taken off, the transmission fell to the ground, and the clutch assembly exploded through the floor of the cab of the vehicle. The engine required a major rebuild.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denies coverage for the repair costs at issue on the following grounds:</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failed to establish it was negligent and therefore legally liable for the cost of repair.</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failed to report the incident promptly and the I.C.B.C. was thereby prejudiced [s. 134 of the Regulations].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repaired and disposed of parts prior to inspection and without permission to the prejudice of the defendant [s. 139 of the Regulations].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of any damage was mechanical fracture, failure, or breakdown, which losses are excluded under the policy [s. 132 of the Regulations].</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repair costs claimed are beyond the plaintiff's "actual costs" which is the claim limit under the policy [s. 141 of the Regulation].</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also seeks to limit its liability to one half the amount of the repair cost because the plaintiff had other insurance covering the same loss [s. 146 of the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also argues for a reduction for "betterment" of the vehicle due to the extensive engine rebuild. G.S.T. is also disputed as inappropriate as it would not be charged on repair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It is of note that the defendant neither pleads or identifies any of the above issues as specific defences except for s. 132 of the Regulations. The defence was a general denial of coverage and a general reliance upon the provisions of the </w:t>
      </w:r>
      <w:r>
        <w:rPr>
          <w:rFonts w:ascii="arial" w:eastAsia="arial" w:hAnsi="arial" w:cs="arial"/>
          <w:b/>
          <w:i/>
          <w:color w:val="000000"/>
          <w:sz w:val="20"/>
          <w:lang w:val="en-US" w:eastAsia="en-US" w:bidi="ar-SA"/>
        </w:rPr>
        <w:t>Insurance (Motor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and the Regulations thereto.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plaintiff complains of surprise at the several defences and issues now raised at trial. There were no particulars in support of the expanded defence under various of the Regulations to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plead nor was any amendment ever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claims it will be prejudiced if sections 117, 134, 139, 141 and 146 of the Regulations are now relied upon as the subject matter was not the subject of document disclosure, the subject of examination for discovery, and they might give rise to potential claims against third parties such as the broker who sold the plaintiffs the policy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plaintiff's position is well taken. The policy of insurance in issue is statutory with its terms and provisions found in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and Regulations. To provide no particularization as to the specific provisions relied upon would be the equal of a private insurer not providing the contractual provisions of an insurance contract upon which it relied in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 do not accept the defendant's position that a statute need not be pleaded. Wilson J. as he then was in 1952 gave a very lucid and concise explanation for specificity in respect of Regulations in </w:t>
      </w:r>
      <w:r>
        <w:rPr>
          <w:rFonts w:ascii="arial" w:eastAsia="arial" w:hAnsi="arial" w:cs="arial"/>
          <w:b/>
          <w:i/>
          <w:color w:val="000000"/>
          <w:sz w:val="20"/>
          <w:lang w:val="en-US" w:eastAsia="en-US" w:bidi="ar-SA"/>
        </w:rPr>
        <w:t>Granholm v. Western Canadian Greyhound Lines Ltd</w:t>
      </w:r>
      <w:r>
        <w:rPr>
          <w:rFonts w:ascii="arial" w:eastAsia="arial" w:hAnsi="arial" w:cs="arial"/>
          <w:color w:val="000000"/>
          <w:sz w:val="20"/>
          <w:lang w:val="en-US" w:eastAsia="en-US" w:bidi="ar-SA"/>
        </w:rPr>
        <w:t xml:space="preserve">. </w:t>
      </w:r>
      <w:hyperlink r:id="rId152" w:history="1">
        <w:r>
          <w:rPr>
            <w:rFonts w:ascii="arial" w:eastAsia="arial" w:hAnsi="arial" w:cs="arial"/>
            <w:i/>
            <w:color w:val="0077CC"/>
            <w:sz w:val="20"/>
            <w:u w:val="single"/>
            <w:shd w:val="clear" w:color="auto" w:fill="FFFFFF"/>
            <w:lang w:val="en-US" w:eastAsia="en-US" w:bidi="ar-SA"/>
          </w:rPr>
          <w:t>(1952), 6 W.W.R. (N.S.) 562</w:t>
        </w:r>
      </w:hyperlink>
      <w:r>
        <w:rPr>
          <w:rFonts w:ascii="arial" w:eastAsia="arial" w:hAnsi="arial" w:cs="arial"/>
          <w:color w:val="000000"/>
          <w:sz w:val="20"/>
          <w:lang w:val="en-US" w:eastAsia="en-US" w:bidi="ar-SA"/>
        </w:rPr>
        <w:t xml:space="preserve"> at [paragraph]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do not wish to make any such ruling. It is clear that a pleader need and should not ordinarily cite law whether it be common law or statute law: </w:t>
      </w:r>
      <w:r>
        <w:rPr>
          <w:rFonts w:ascii="arial" w:eastAsia="arial" w:hAnsi="arial" w:cs="arial"/>
          <w:b/>
          <w:i/>
          <w:color w:val="000000"/>
          <w:sz w:val="20"/>
          <w:lang w:val="en-US" w:eastAsia="en-US" w:bidi="ar-SA"/>
        </w:rPr>
        <w:t>Boyce v. Whitaker</w:t>
      </w:r>
      <w:r>
        <w:rPr>
          <w:rFonts w:ascii="arial" w:eastAsia="arial" w:hAnsi="arial" w:cs="arial"/>
          <w:color w:val="000000"/>
          <w:sz w:val="20"/>
          <w:lang w:val="en-US" w:eastAsia="en-US" w:bidi="ar-SA"/>
        </w:rPr>
        <w:t xml:space="preserve"> (1779) 1 Douglas 94, at 97, 99 E.R. 65; </w:t>
      </w:r>
      <w:r>
        <w:rPr>
          <w:rFonts w:ascii="arial" w:eastAsia="arial" w:hAnsi="arial" w:cs="arial"/>
          <w:b/>
          <w:i/>
          <w:color w:val="000000"/>
          <w:sz w:val="20"/>
          <w:lang w:val="en-US" w:eastAsia="en-US" w:bidi="ar-SA"/>
        </w:rPr>
        <w:t>Partridge v. Strange and Croker</w:t>
      </w:r>
      <w:r>
        <w:rPr>
          <w:rFonts w:ascii="arial" w:eastAsia="arial" w:hAnsi="arial" w:cs="arial"/>
          <w:color w:val="000000"/>
          <w:sz w:val="20"/>
          <w:lang w:val="en-US" w:eastAsia="en-US" w:bidi="ar-SA"/>
        </w:rPr>
        <w:t xml:space="preserve"> (1552) Plowden 77, at 84, 75 E.R. 123. But since the dates of those venerable decisions there has sprung up a whole new body of law made not by the legislature but by the Lieutenant-Governor in Council, or by other persons or bodies to whom the legislature has delegated power to make regulations. This law is not to be found in the statute books. It can be changed overnight by the ruling of the person or body to whom authority has been delegated. I do not think it fits well with the fairness and good sense of our system of pleading to hold that regulations made pursuant to statutes are so much of a piece with the statutes which father them that they, the regulations, need not be pleaded with particularity. On the contrary, I think that a litigant who intends to rely on any of the innumerable regulations and orders-in-council which now constitute such a large proportion of our laws should not only say so but should condescend to particularity in stating exactly what regulations or orders he intends to invoke. It goes without saying that he should also plead the facts which he alleges constitute a violation of the regulation or order cited.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plaintiff's Garage Policy is an all risk type policy of insurance which provides coverage for an accidental loss to which no exclusion applies. Comprehensive coverage would include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 cause of loss or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policy, Section 3, provides coverage for "Legal Liability for Own Damage Coverage to Customers Vehicles (Part 9 Div. 2). Comprehensive Coverage to Customers Vehicles has a limit of $1,000.000 with a $300 deductible.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 asserts that the plaintiff has not proved that it is liable to the owner of the truck for the damage to it and therefore there is no coverage under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find the plaintiff, specifically its employee Daryl Mailhot was negligent in the repair of the vehicle. Mr. Mailhot was the only mechanic who worked on the vehicle and he had removed the turbocharger unit, sent it for repair, and re-installed the repaired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Mailhot was instructed by his superior, Mr. Ken Newton, to fix the turbocharger and to check the "air to air" for any contaminants.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a qualified heavy duty mechanic Mr. Mailhot should know the importance of cleaning the turbocharger air system during a repair, whether specifically instructed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Exhibit 8 is a portion of the shop manual for Cummins engines, kept available in the plaintiff's facility, which instructs that for a turbocharger failure repair, the air system must be inspected and cleaned.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find the over-speed incident of June 27, 2003 following the start up of the truck after repair was caused by oil contaminant in the air system of the turbocharger.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cause of the over speed was Mr. Mailhot's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either failing to inspect and clean the air system of oil or that any inspection and cleaning done was inadequate.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occurred while the truck was in the care custody and control of the plaintiff and was the cause of the extensive damage to the vehicle making the plaintiff liable to the truck's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find no merit to the defendant's submission the truck owner was contributorily negligent for failing to advise the plaintiff of the likely presence of oil contaminant in the air system or that it misrepresented to the plaintiff facts which would alert the plaintiff to the presence of oil in the air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the loss was accidental the coverage will apply in the absence of an exclusion under the Regulations with the burden of proof under an exclusion on the defendant. [</w:t>
      </w:r>
      <w:r>
        <w:rPr>
          <w:rFonts w:ascii="arial" w:eastAsia="arial" w:hAnsi="arial" w:cs="arial"/>
          <w:b/>
          <w:i/>
          <w:color w:val="000000"/>
          <w:sz w:val="20"/>
          <w:lang w:val="en-US" w:eastAsia="en-US" w:bidi="ar-SA"/>
        </w:rPr>
        <w:t>Brown Fraser &amp; Co. Ltd. v. Indemnity Marine Assurance Co.</w:t>
      </w:r>
      <w:r>
        <w:rPr>
          <w:rFonts w:ascii="arial" w:eastAsia="arial" w:hAnsi="arial" w:cs="arial"/>
          <w:color w:val="000000"/>
          <w:sz w:val="20"/>
          <w:lang w:val="en-US" w:eastAsia="en-US" w:bidi="ar-SA"/>
        </w:rPr>
        <w:t xml:space="preserve"> (1958), 27 W.W.R. 31; </w:t>
      </w:r>
      <w:r>
        <w:rPr>
          <w:rFonts w:ascii="arial" w:eastAsia="arial" w:hAnsi="arial" w:cs="arial"/>
          <w:b/>
          <w:i/>
          <w:color w:val="000000"/>
          <w:sz w:val="20"/>
          <w:lang w:val="en-US" w:eastAsia="en-US" w:bidi="ar-SA"/>
        </w:rPr>
        <w:t>John Kmita Ltd. v. Saskatchewan Government Insurance Office</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[1978] 6 W.W.R. 44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EXCLUSION - S. 132 OF THE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Section 132(1)(b) of the Regulations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132(1) The corporation is not liable to indemnify any person under comprehensive or collision coverage for loss or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consisting of, or caused by, mechanical fracture, failure or breakdown of any part of a motor vehicle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unless the loss or damage is coincidental with other loss or damage for which indemnity is provided under comprehensive or collision coverage or is caused by fire, theft or malicious mischief.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This is the only exclusion specifically pleaded by the defendant and it was the exclusion relied upon by the defendant's staff in their dealing with the plaintiff in explaining their view as to coverage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position of the defendant is that the major portion of the damage to the truck was "... caused by mechanical fracture, failure or breakdown of any part of a motor vehicle ...", and thereby excluded from coverage by s. 132 of the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defendant's position is that it carefully adjusted for "coincidental" damage and has paid that loss under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my view the evidence and the law support the plaintiff's position that the damage to the truck in issue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plaintiff's employee and not as a result of "... mechanical fracture, failure, or breakdown of any part of a motor vehicle ..." as excluded from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onus on the defendant is to prove the excepted peril is the true or proximate cause for it to be excluded from coverage in an All Risk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An articulate definition of proximate cause in insurance coverage issues was quoted by Glube J. in </w:t>
      </w:r>
      <w:r>
        <w:rPr>
          <w:rFonts w:ascii="arial" w:eastAsia="arial" w:hAnsi="arial" w:cs="arial"/>
          <w:b/>
          <w:i/>
          <w:color w:val="000000"/>
          <w:sz w:val="20"/>
          <w:lang w:val="en-US" w:eastAsia="en-US" w:bidi="ar-SA"/>
        </w:rPr>
        <w:t>Aable Crane and Trucking Ltd. v. The Canadian Surety Co.</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(1979), 33 N.S.R. (2d) 529</w:t>
        </w:r>
      </w:hyperlink>
      <w:r>
        <w:rPr>
          <w:rFonts w:ascii="arial" w:eastAsia="arial" w:hAnsi="arial" w:cs="arial"/>
          <w:color w:val="000000"/>
          <w:sz w:val="20"/>
          <w:lang w:val="en-US" w:eastAsia="en-US" w:bidi="ar-SA"/>
        </w:rPr>
        <w:t xml:space="preserve"> (S.C.) from </w:t>
      </w:r>
      <w:r>
        <w:rPr>
          <w:rFonts w:ascii="arial" w:eastAsia="arial" w:hAnsi="arial" w:cs="arial"/>
          <w:i/>
          <w:color w:val="000000"/>
          <w:sz w:val="20"/>
          <w:lang w:val="en-US" w:eastAsia="en-US" w:bidi="ar-SA"/>
        </w:rPr>
        <w:t>Couch on Insurance</w:t>
      </w:r>
      <w:r>
        <w:rPr>
          <w:rFonts w:ascii="arial" w:eastAsia="arial" w:hAnsi="arial" w:cs="arial"/>
          <w:color w:val="000000"/>
          <w:sz w:val="20"/>
          <w:lang w:val="en-US" w:eastAsia="en-US" w:bidi="ar-SA"/>
        </w:rPr>
        <w:t xml:space="preserve"> (2nd Ed) p. 616-620: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direct and proximate cause is the active and efficient cause that sets in motion a train of events which bring about a result without intervention of any force, starting and working actively and efficiently from a new and independent source.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[P]roximate cause is not necessarily the last link in the chain of events, but that which is the procuring, efficient, and predominant cause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contrast, however, it is declared that where an earlier cause is the proximate cause because it has initiated a train of events, it follows that any of the later events are themselves not regarded as the 'proximate' cause even though they may be near in time and place to the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it has been recognized that if the secondary cause is set in motion or operation by the primary cause, or if such operation is controlled, directed, or influenced in its action or behaviour by the primary cause, then the secondary cause is not an independent cause nor a contributing cause operating in parallel, but operates in series and is a result of the first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An example of "true cause" of loss with a mechanical breakdown as an effect is illustrated in </w:t>
      </w:r>
      <w:r>
        <w:rPr>
          <w:rFonts w:ascii="arial" w:eastAsia="arial" w:hAnsi="arial" w:cs="arial"/>
          <w:b/>
          <w:i/>
          <w:color w:val="000000"/>
          <w:sz w:val="20"/>
          <w:lang w:val="en-US" w:eastAsia="en-US" w:bidi="ar-SA"/>
        </w:rPr>
        <w:t>Rust Tractor Co. v. Consolidated Constructors</w:t>
      </w:r>
      <w:r>
        <w:rPr>
          <w:rFonts w:ascii="arial" w:eastAsia="arial" w:hAnsi="arial" w:cs="arial"/>
          <w:color w:val="000000"/>
          <w:sz w:val="20"/>
          <w:lang w:val="en-US" w:eastAsia="en-US" w:bidi="ar-SA"/>
        </w:rPr>
        <w:t xml:space="preserve"> (1974), 86 N.M. 658; 526 P. (2d) 800 (C.A.) No. 1276.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Jeffrey v. Insurance Corporation of B.C.</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(1989), 44 C.C.L.I. 136</w:t>
        </w:r>
      </w:hyperlink>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[1989] B.C.J. No. 1875</w:t>
        </w:r>
      </w:hyperlink>
      <w:r>
        <w:rPr>
          <w:rFonts w:ascii="arial" w:eastAsia="arial" w:hAnsi="arial" w:cs="arial"/>
          <w:color w:val="000000"/>
          <w:sz w:val="20"/>
          <w:lang w:val="en-US" w:eastAsia="en-US" w:bidi="ar-SA"/>
        </w:rPr>
        <w:t xml:space="preserve"> (Co. Ct.), Oliver J. found that a fan was installed to close in proximity to a radiator which caused the engine to overheat, pistons melt and the engine was destroyed. Mr. Justice Oliver relied upon </w:t>
      </w:r>
      <w:r>
        <w:rPr>
          <w:rFonts w:ascii="arial" w:eastAsia="arial" w:hAnsi="arial" w:cs="arial"/>
          <w:b/>
          <w:i/>
          <w:color w:val="000000"/>
          <w:sz w:val="20"/>
          <w:lang w:val="en-US" w:eastAsia="en-US" w:bidi="ar-SA"/>
        </w:rPr>
        <w:t>Aable Crane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to find the proximate cause of the loss was the negligent installation of the fan and the fire was a secondary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Oliver J. also determined with reliance upon </w:t>
      </w:r>
      <w:r>
        <w:rPr>
          <w:rFonts w:ascii="arial" w:eastAsia="arial" w:hAnsi="arial" w:cs="arial"/>
          <w:b/>
          <w:i/>
          <w:color w:val="000000"/>
          <w:sz w:val="20"/>
          <w:lang w:val="en-US" w:eastAsia="en-US" w:bidi="ar-SA"/>
        </w:rPr>
        <w:t>Brown Fraser &amp; Co. Ltd. v. Indemnity Marine Assurance Co.</w:t>
      </w:r>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(1958), 16 D.L.R. (2d) 263</w:t>
        </w:r>
      </w:hyperlink>
      <w:r>
        <w:rPr>
          <w:rFonts w:ascii="arial" w:eastAsia="arial" w:hAnsi="arial" w:cs="arial"/>
          <w:color w:val="000000"/>
          <w:sz w:val="20"/>
          <w:lang w:val="en-US" w:eastAsia="en-US" w:bidi="ar-SA"/>
        </w:rPr>
        <w:t xml:space="preserve"> (B.C.C.A.), that although there was damage by "... fracture, failure or breakdown ..." it was not a "mechanical fracture" and the negligent installation of the fan was an operating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proximate cause of the damage to the truck here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repair process and the fracture, failure or breakdown of the engine was an effect or a secondary cause not independent but resulting from the initial or primary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repair process. The exclusion under s. 132 of the Regulations does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REPORTING AND PERMISSION TO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 now alleges prejudice as a result of late reporting by the plaintiff (s. 134 of the Regulations) and repair without the defendant's permission or ability to inspect parts replaced or supervise repair (s. 138). Neither defence was specifically pleaded. The defendant did however accept, adjust, and pay in part, a claim despite the alleged late filing. A part of the plaintiff's claim was paid and part rejected under s. 132 of the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evidence of Mr. Comey was that early attempts to report the claim to the ICBC through the Dial a Claim facility were not responded to by the defendant due apparently to some confusion over the truck being licensed in Alberta. The claim was reported by the plaintiff to the broker who sold the defendant the Garage Policy and who arranged for the Canadian Northern Shield policy to respond.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do not find the defendant was prejudiced as it now alleges due to the late reporting. Although the truck had been repaired and recently returned to its owner when the defendant's claims personnel were first advised of the incident, the truck was available locally if inspection had been desired.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Many of the parts replaced in the engine rebuild had been discarded before the defendant's adjuster was able to view and inspect them. The evidence of Mr. Bailey who prepared a Failure Analysis Report (Ex. 32) was that for most of the parts a visual observation would not easily disclose cracks or whether replacement was needed and that a scientific examination of the many parts would likely be equal or exceed the cost of replacement. As Mr. Bailey cogently testified the parts in issue had all been subjected to the same extreme forces and with obvious failure damage to many of the parts there must be a high degree of caution and judgment exercised regarding replacements during the engine rebuild. There is some overlap however in respect of issues involving labour charges and a betterment issue best dealt with in those contexts.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conclude late reporting by the plaintiff was neither pleaded nor proven. I do not find the defendant was unduly prejudiced by its inability to view parts or direct repair. Any prejudice that might be inherent in the process I intend to discuss under the issues of betterment and labour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damage claim arising from the over speed incident must be reduced by the $2,000 received under the Canadian Northern Shield policy and the $3,060.47 (net of the deductible) paid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consider it prejudicial to now raise specific plea at trial pursuant to s. 146 of the Regulations that the defendant's liability be limited to one-half of the repair cost on the basis the Canadian Northern Shield policy was other insurance covering the same loss. Properly pleaded in a timely manner it might well result in the plaintiff adding defendants or third parties as being implicated in the processing of the claim or the placement of insurance policies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There was no application made to amend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accept the evidence that the liability under the Canada Northern Shield policy had a loss limit of $2,000 for care, custody and control damage and the defendant's limit is $1,000,000 of available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number of hours for labour and the hourly rates for that labour are of concern in this matter. The plaintiff claims for a total of 137 hours at the hourly rate of $65/hour. Mr. Newton, who is not only a mechanic employee but is also a part owner of the plaintiff company, claimed 52 of 137 hours he worked on the truck were not recorded in writing, and no detail is shown. This block time was first noted by a single entry some time after the rebuild had been completed. He explains the lack of detail and failure to record the time, somewhat unsatisfactorily, on the basis it was work he did in the evenings and on week-ends outside of his regular working hours. It is obviously an estimate done in hindsight and its accuracy difficult to assess.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Newton at the time in question was paid a monthly salary of approximately $5000. The labour rate charged on the invoices that were prepared (Ex's 6 &amp; 7) indicate an hourly charge out rate for his work of approximately $60/hour.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evidence is that an industry standard to strip and rebuild a Cummins engine similar to that in issue here is 44 hours. I appreciate Mr. Newton did other work outside the stripping and rebuilding of the engine but the obvious significant discrepancy in the rebuild time disclosed by this evidence was not satisfactorily addressed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Conversely the defendant's submission that when Mr. Newton worked outside regular hours with no increase to his salary that work was without cost to the plaintiff I find without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 accept in principle that the plaintiff's claim should not be greater than actual cost otherwise the plaintiff would profit from its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the circumstances an actual cost to the plaintiff in my view can be taken as the amount the plaintiff would receive if the employees' time allocated to the repair of the truck would otherwise have been utilized on remunerative work charged out at prevailing customer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am satisfied on the evidence that Mr. Newton when not performing repair work on the truck could have been employed at a regular customer charge out rate of approximately $60/hour. The hours of work performed on his evenings and week-ends outside regular hours are not to be taken as gratuitous but rather they represent a deferred entitlement to compensation for work performed which if not done on an overtime basis would have necessitated payment to other employees within business hours or required retaining outside labour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defendant itself in the partial payment it made in this claim recognized the actual labour cost is the customer charge out rate and not the actual wage paid to the employee who performed the work. The defendant allowed for an hourly labour rate of $65. (Ex.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Taking these several factors into account I would reduce the plaintiff's claim in respect of labour from 137 hours charged at $65/hour to 100 hours charged at $60/hour, making the labour charge component $6,000.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allow the cost of parts appropriately replaced in the repair proven in the claimed amount of $23,265.25.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Shop supplies were disputed as being unproven, and in the absence of acquiescence by the defendant in payment of such charges I disallow that claim of $489.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also understand that G.S.T. is not payable on a claim of this nature and disallow the plaintiff's charge of $2,286.15.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plaintiff's allowable claim totals $29,265.25 less the payment by Canadian Northern Shield of $2,000 and $3,760.47 from the defendant (after provision of the policy deductible), for a total of $23,504.78 before consideration of a possible allowance for betterment.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BETTERMENT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There is no question that the major rebuild of the engine of the truck has extended both the useful engine life of the vehicle and decreased the progressive increase for cost of maintenance, repair and refurbishment. It is likely that some of the parts replaced were worn but not necessarily in need of replacement. I have commented that was appropriate in the circumstances but there has been a increase to the value of the truck beyond its value pre-accident.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All repair involves replacement of some new for old parts which cannot be avoided nor can it lead in every case to a deduction for betterment of the vehicle. The effect here however is substantial. An engine with 500,000 kilometres was completely rebuilt and the value of what was returned to the customer was tangibly increased.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Although a deduction is appropriate there is no set standard by which an allowance can be determined and no evidence was provided as to relevant market value comparison. [</w:t>
      </w:r>
      <w:r>
        <w:rPr>
          <w:rFonts w:ascii="arial" w:eastAsia="arial" w:hAnsi="arial" w:cs="arial"/>
          <w:b/>
          <w:i/>
          <w:color w:val="000000"/>
          <w:sz w:val="20"/>
          <w:lang w:val="en-US" w:eastAsia="en-US" w:bidi="ar-SA"/>
        </w:rPr>
        <w:t>Lepin v. Uniguard Mutual Insurance Co.</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[1976] B.C.J. No. 1044</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plaintiff's allowable claim will therefore be further reduced to $20,000 which is an approximate reduction of 15% which I allow to account for the vehicles improved value or betterment resulting from the extensive engine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is entitled to its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R.R. HOLMES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6"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64" w:history="1">
        <w:r>
          <w:rPr>
            <w:rFonts w:ascii="arial" w:eastAsia="arial" w:hAnsi="arial" w:cs="arial"/>
            <w:b/>
            <w:bCs/>
            <w:i/>
            <w:color w:val="0077CC"/>
            <w:kern w:val="32"/>
            <w:sz w:val="28"/>
            <w:szCs w:val="32"/>
            <w:u w:val="single"/>
            <w:shd w:val="clear" w:color="auto" w:fill="FFFFFF"/>
            <w:lang w:val="en-US" w:eastAsia="en-US" w:bidi="ar-SA"/>
          </w:rPr>
          <w:t>Ellis v. Bruch, [2005] B.C.J. No. 1545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Arnold-Bailey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3,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11,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S84363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1545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2005 BCSC 1026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141 A.C.W.S. (3d) 339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Betty Lynn Ellis, plaintiff, and Brenda Bruch and Kevin Robertson,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7"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8" w:name="Keywords_10"/>
      <w:bookmarkEnd w:id="68"/>
      <w:r>
        <w:rPr>
          <w:rFonts w:ascii="arial" w:eastAsia="arial" w:hAnsi="arial" w:cs="arial"/>
          <w:b/>
          <w:color w:val="000000"/>
          <w:sz w:val="20"/>
          <w:lang w:val="en-US" w:eastAsia="en-US" w:bidi="ar-SA"/>
        </w:rPr>
        <w:t xml:space="preserve">Civil procedure — Judgments and orders — Summary judgments —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9" w:name="Case Summary_9"/>
            <w:bookmarkEnd w:id="6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Bruch for summary judgment regarding an assessment of liability arising from a motor vehicle accident. Bruch was backing a vehicle out of a property while Ellis was backing out of the property across the street. The two vehicles collided. Bruch claimed she saw Ellis pull into the driveway and stop the car. Bruch claimed Ellis's vehicle was stopped and that it was safe for Bruch to back out of the driveway. Ellis claimed she pulled into the driveway in order to turn around and that she looked over her shoulder but did not see Bruch when she was backing out. Bruch sought a finding that Ellis was entirely liable for the collision. Ellis claimed each party was 50 per cent liable.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0" w:name="Holdings of Court_5"/>
            <w:bookmarkEnd w:id="70"/>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Both parties were 50 per cent liable for the collision. Based on the evidence, it was clear that Ellis stopped no more than a few seconds before backing out of the driveway and that she was looking over her right shoulder instead of looking directly behind her. Bruch saw Ellis in her vehicle in the driveway and incorrectly assumed that it would remain stationary.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1" w:name="Legislation Cited_7"/>
      <w:bookmarkEnd w:id="7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8"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Motor Vehicle Act s. 193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s. 1(2)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2" w:name="Counsel_10"/>
      <w:bookmarkEnd w:id="7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9" style="position:absolute;z-index:2517719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C.M.A. Bungay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 O'Mahony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3" w:name="Judgment_10"/>
      <w:bookmarkEnd w:id="73"/>
      <w:r>
        <w:pict>
          <v:line id="_x0000_s1080" style="position:absolute;z-index:25182310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4" w:name="ARNOLD-BAILEY J."/>
            <w:bookmarkEnd w:id="74"/>
            <w:r>
              <w:rPr>
                <w:rFonts w:ascii="arial" w:eastAsia="arial" w:hAnsi="arial" w:cs="arial"/>
                <w:b/>
                <w:color w:val="000000"/>
                <w:sz w:val="30"/>
                <w:lang w:val="en-US" w:eastAsia="en-US" w:bidi="ar-SA"/>
              </w:rPr>
              <w:t>ARNOLD-BAILEY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brought by the Defendants for an order for judgment, pursuant to Rule 18A of the Rules of Court, and costs, regarding an assessment of liability arising from a motor vehicle accident that occurred on May 16,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approximately 10:25 a.m. on May 16, 2002, the vehicles driven by Betty Ellis and Brenda Bruch collided on the street, immediately in front of the Bruch residence located in the 17700 block of 57th Avenue, Surrey, British Columbia. The collision occurred when Ms. Bruch was backing out of her driveway in a vehicle owned by Kevin Robertson, and Ms. Ellis pulled into the driveway of the property opposite, stopped briefly, and then she also backed out into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 to be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issues to be decided are:</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for the collision; and</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Evidence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determining this matter the Court considered the Affidavit evidence of John Forman and Jeff Morris, both employed by ICBC, as to the nature and location of damage, and amount of repairs required to each vehicle. The Court disregarded their opinions as to low impact, and considered the photographs taken of each vehicle. The Court also only considered the Discovery evidence of Ms. Bruch as tendered by the Plaintiff, but not further Examination for Discovery testimony of the Defendant, tendered by the Defendant, as found at tab 11. The Court did consider, as relevant, the statements of the Plaintiff and Defendant made to ICBC and included in the Houle Affidavit, in addition to the Affidavits of Ellis and Bruch, and the Ellis Examination for Discovery excerpt.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evidence of Ms. Bruch, as set out in her Affidavit, is that she was driving a 1992 Chev Baretta she co-owned with Kevin Robertson. She was very familiar with the area, as she had lived at the address in the block of 17700 57th Avenue, for approximately two years, at the time of the accident. As she was leaving the residence on this occasion she backed her vehicle up to the end of the driveway. At that time she saw a van driven by the Plaintiff going westbound on 57th Avenue, which then pulled into the neighbour's driveway across the street from her home, and stopped at the end of the driveway closest to the street. Ms. Bruch deposes that the van remained stationary in her neighbour's driveway. She did not notice any exhaust fumes coming from the van, did not see any reverse lights showing, and no one got out of the van. Ms. Bruch then indicates that she checked to her right and to her left and determined that there was no cross traffic on 57th Avenue, checked again in her rearview mirror, saw that the van had not moved, and then reversed in one movement in the eastbound lane of 57th Avenue and came to a stop. As Bruch reversed her car on to 57th Avenue, she indicated that she was looking over her right shoulder. As she was about to move forward, having shifted her car from reverse into drive, she indicated her vehicle was struck by the van she had seen in her neighbour's driveway, which had also reversed suddenly from the driveway into 57th Avenue. The rear portion of the van struck the right passenger door and side of her car. Bruch indicated she saw the van backing up to her right immediately before it hit her vehicle, but she did not hear any back up signals or the sound of a horn. She also indicated she did not have time to sound her horn or move her car out of the van's path. Bruch indicated that at the time of the collision, the passenger door of her car was directly in front of, and about three feet away from, the start of her neighbour's driveway. She indicated there was nothing blocking her view between her neighbour's driveway and her driveway, and it was possible when she stopped reversing that no more than the tire on the front driver's side of her car may have been slightly over the yellow line dividing 57th Avenue. However, Bruch indicated the rest of her car was fully in the eastbound lane facing east, and almost completely parallel with the dividing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Affidavit of John Forman employed by the Insurance Corporation of British Columbia, contains his estimate of damages to the motor vehicle owned by the Defendant Robertson. Damage to repair the right passenger door of the Defendant's motor vehicle were estimated to be approximately $831.00 for parts, and $679.30 for labour, plus tax. Photographs, numbered 2, 3, and 4, attached to his Affidavit, show a dent in the front portion of the right passenger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Betty Lynn Ellis, deposes in her Affidavit that she was taking her daughter to the doctor, and en route made a left turn on to 57th Avenue in order to approach the doctor's office from the same direction, as opposed to turning left across heavy traffic on 177B Street. Ms. Ellis indicated that she turned left into the driveway of a residence in the 17700 block of 57th Avenue, in order to turn around to travel east on 57th Avenue, back towards the doctor's office. She further indicated that once she turned left into the driveway, she stopped completely in the driveway by the street, looked carefully over her right shoulder and checked her mirrors. She saw no vehicles travelling on 57th Avenue, and when she was content there was no traffic behind her, she put her car into reverse and slowly proceeded to back her vehicle up so as to be able to proceed east on 57th Avenue. She estimated her entire stop in that driveway to be no more than a couple of seconds. Ms. Ellis indicated that as she backed her vehicle up onto 57th Avenue, she stayed in the eastbound lane of 57th Avenue, and at all times while backing out her head and body were turned to the right, and she was looking over her right shoulder, checking for vehicles in the lane she was planning to enter. Ellis indicated that as she had almost completed backing out she felt the impact of the collision. Her diagram shows her vehicle in the eastbound lane of 57th Avenue, in a position able to pull forward and travel eastward, with the Defendants' vehicle partially across the double yellow dividing line, also in a position indicating an intended eastbound route on 57th Avenue. The passenger's side of the Bruch vehicle is shown in contact with the left rear corner of the Ellis van. In Ms. Ellis' examination for discovery (p. 11) it is clear that she did not see the Defendants' vehicle prior to the impact. It is also clear from her responses to questions found at lines 95 to 101 (pp. 12-13) that while Ms. Ellis did check in all directions and proceeded to back up when she believed it was safe, as she was backing up, her head and body were turned to the right, and she was looking right towards her intended lane of travel, as opposed to directly behind her. It is also clear that upon pulling into the driveway she stopped only for enough time to go into reverse and change her direction of travel. This, she describes as "a pause" and then she says at Q/A 105 (p. 14 Examination for Discovery) "so at the moment when I pulled into the driveway there was just a pause. It wasn't more like I stopped there like I'm getting out to get my kid out of the car seat. I paused and then I looked and put my gear in reverse." She continues to say that she understood the street to be deserted and at Q/A 107 "when I proceeded to start backing out there was no one there. On both lanes there was no one there." The balance of her answers make it clear that at no time prior to the collision did Ms. Ellis see the Robertson vehicle operated by Ms. Bruch.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Affidavit of Jeff Morris, estimator with the Insurance Corporation of British Columbia, indicated that damages to the Ellis van, a 1987 Plymouth Voyager, were estimated to be approximately $137.75 for parts, and $111.45 for labour, plus tax, for repairs to the tail lamp and a dent on the right rear bumper.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Defendants seek a finding that the Plaintiff, Ms. Ellis, is solely liable for the collision. The Plaintiff, Ms. Ellis, seeks a finding that each party is 50%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Counsel for the Defendants, Ms. O'Mahony, relies s. 193 of the Motor Vehicle Act,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driver of a motor vehicle must not cause the vehicle to move backwards into an intersection or over a crosswalk, and must not in any event or at any place cause a vehicle to move backwards unless the movement can be made in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She also relies upon Heldt v. Jack Cewe Ltd., </w:t>
      </w:r>
      <w:hyperlink r:id="rId166" w:history="1">
        <w:r>
          <w:rPr>
            <w:rFonts w:ascii="arial" w:eastAsia="arial" w:hAnsi="arial" w:cs="arial"/>
            <w:i/>
            <w:color w:val="0077CC"/>
            <w:sz w:val="20"/>
            <w:u w:val="single"/>
            <w:shd w:val="clear" w:color="auto" w:fill="FFFFFF"/>
            <w:lang w:val="en-US" w:eastAsia="en-US" w:bidi="ar-SA"/>
          </w:rPr>
          <w:t>[1979] B.C.J. No. 741</w:t>
        </w:r>
      </w:hyperlink>
      <w:r>
        <w:rPr>
          <w:rFonts w:ascii="arial" w:eastAsia="arial" w:hAnsi="arial" w:cs="arial"/>
          <w:color w:val="000000"/>
          <w:sz w:val="20"/>
          <w:lang w:val="en-US" w:eastAsia="en-US" w:bidi="ar-SA"/>
        </w:rPr>
        <w:t xml:space="preserve"> (B.C.S.C.); Rinta v. Vanderbasch, </w:t>
      </w:r>
      <w:hyperlink r:id="rId167" w:history="1">
        <w:r>
          <w:rPr>
            <w:rFonts w:ascii="arial" w:eastAsia="arial" w:hAnsi="arial" w:cs="arial"/>
            <w:i/>
            <w:color w:val="0077CC"/>
            <w:sz w:val="20"/>
            <w:u w:val="single"/>
            <w:shd w:val="clear" w:color="auto" w:fill="FFFFFF"/>
            <w:lang w:val="en-US" w:eastAsia="en-US" w:bidi="ar-SA"/>
          </w:rPr>
          <w:t>[1996] B.C.J. No. 2834</w:t>
        </w:r>
      </w:hyperlink>
      <w:r>
        <w:rPr>
          <w:rFonts w:ascii="arial" w:eastAsia="arial" w:hAnsi="arial" w:cs="arial"/>
          <w:color w:val="000000"/>
          <w:sz w:val="20"/>
          <w:lang w:val="en-US" w:eastAsia="en-US" w:bidi="ar-SA"/>
        </w:rPr>
        <w:t xml:space="preserve"> (B.C.C.A.); Blehm v. Corby, </w:t>
      </w:r>
      <w:hyperlink r:id="rId168" w:history="1">
        <w:r>
          <w:rPr>
            <w:rFonts w:ascii="arial" w:eastAsia="arial" w:hAnsi="arial" w:cs="arial"/>
            <w:i/>
            <w:color w:val="0077CC"/>
            <w:sz w:val="20"/>
            <w:u w:val="single"/>
            <w:shd w:val="clear" w:color="auto" w:fill="FFFFFF"/>
            <w:lang w:val="en-US" w:eastAsia="en-US" w:bidi="ar-SA"/>
          </w:rPr>
          <w:t>[1994] B.C.J. No. 480</w:t>
        </w:r>
      </w:hyperlink>
      <w:r>
        <w:rPr>
          <w:rFonts w:ascii="arial" w:eastAsia="arial" w:hAnsi="arial" w:cs="arial"/>
          <w:color w:val="000000"/>
          <w:sz w:val="20"/>
          <w:lang w:val="en-US" w:eastAsia="en-US" w:bidi="ar-SA"/>
        </w:rPr>
        <w:t xml:space="preserve"> (B.C.C.A.); and Lam v. Lau, </w:t>
      </w:r>
      <w:hyperlink r:id="rId169" w:history="1">
        <w:r>
          <w:rPr>
            <w:rFonts w:ascii="arial" w:eastAsia="arial" w:hAnsi="arial" w:cs="arial"/>
            <w:i/>
            <w:color w:val="0077CC"/>
            <w:sz w:val="20"/>
            <w:u w:val="single"/>
            <w:shd w:val="clear" w:color="auto" w:fill="FFFFFF"/>
            <w:lang w:val="en-US" w:eastAsia="en-US" w:bidi="ar-SA"/>
          </w:rPr>
          <w:t>[1997] B.C.J. No. 3079</w:t>
        </w:r>
      </w:hyperlink>
      <w:r>
        <w:rPr>
          <w:rFonts w:ascii="arial" w:eastAsia="arial" w:hAnsi="arial" w:cs="arial"/>
          <w:color w:val="000000"/>
          <w:sz w:val="20"/>
          <w:lang w:val="en-US" w:eastAsia="en-US" w:bidi="ar-SA"/>
        </w:rPr>
        <w:t xml:space="preserve"> (B.C. Prov. Ct.). I note in relation to those submissions that s. 193 of the Motor Vehicle Act imposes a duty on any driver of a motor vehicle not to move backwards unless the movement can be made in safety. I also note the first three cases referred to are all distinctly different on their facts, and do not pertain to two vehicles both in the process of backing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only case on point is the decision of now Chief Judge Baird Ellan of the Provincial Court in Lam v. Lau. In that case the Plaintiff, Lam, backed his car up against the flow of traffic, whereas the Defendant, Lau, executed a u-turn from the opposite side of the road. The parties collided. Lam claimed he had checked for oncoming traffic prior to backing his car into a nearby parking space. Lau claimed he had completed his turn when struck by Lam. The Court held that liability was to be apportioned equally, as both parties were driving in a dangerous manner when they collided, and the evidence did not absolve either party from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that case, as in this case, the issue becomes one of timing. Both parties were performing manoeuvres that required them to keep a proper lookout for other persons using the road. In the event that neither driver may anticipate in advance what the other driver is going to do, the issue becomes whether either of the parties had sufficient warning to avoid the impact, or was negligent in failing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Counsel for the Plaintiff, Mr. Bungay, accepts that Ms. Ellis was negligent and is therefore liable for the collision, but submits that Ms. Bruch was also negligent. Counsel for the Plaintiff submits that it is most likely on the evidence that Ms. Bruch looked quickly behind her and then backed up, without seeing that the vehicle operated by Ms. Ellis was also in motion. He submits that Ms. Bruch moved her vehicle before she determined that it could be moved safely. Finally, he submits that it was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both motorists who contributed to the accident, and the only reasonable conclusion that the Court can come to on the evidence is that both parties were equally responsible. He submits that s. 1(2)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applies, as having regard to all the circumstances of the case, it is not possible to establish different degrees of fault, and therefore that liability must be apportioned equally.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Findings and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find, based on the admissible Affidavit and Examination for Discovery evidence before the Court, that both drivers backed up almost simultaneously. On the evidence of Ms. Ellis, she stopped no more than a couple of seconds in the driveway, and as she backed out to travel eastbound she looked over her right shoulder. At that time she backed into the vehicle driven by Ms. Bruch, which had backed out of the opposite driveway, also intending to travel eastbound. Ms. Bruch had seen the Ellis vehicle pull into the driveway and assumed incorrectly that the Ellis vehicle was going to remain stationary. Although the Bruch vehicle was further into the eastbound lane of travel when it was struck by the Ellis van, as confirmed by the relative locations of collision damage, I find Ms. Bruch to be 50% liable for the accident insofar as she saw the Ellis vehicle, assumed it to be remaining stationary, and backed out into the roadway herself. Therefore, on the evidence I find both parties to be 50% liable for the collision that occurred. I also find that each party should bear its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ARNOLD-BAILEY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1"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76" w:history="1">
        <w:r>
          <w:rPr>
            <w:rFonts w:ascii="arial" w:eastAsia="arial" w:hAnsi="arial" w:cs="arial"/>
            <w:b/>
            <w:bCs/>
            <w:i/>
            <w:color w:val="0077CC"/>
            <w:kern w:val="32"/>
            <w:sz w:val="28"/>
            <w:szCs w:val="32"/>
            <w:u w:val="single"/>
            <w:shd w:val="clear" w:color="auto" w:fill="FFFFFF"/>
            <w:lang w:val="en-US" w:eastAsia="en-US" w:bidi="ar-SA"/>
          </w:rPr>
          <w:t>F.G.M. Holdings Ltd. v. British Columbia (Workers' Compensation Board), [2000] B.C.J. No. 1630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Vickers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26,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4,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S002344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1630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1188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79 B.C.L.R. (3d) 271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98 A.C.W.S. (3d) 559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F.G.M. Holdings Ltd., plaintiff, and Workers' Compensation Board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2"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5" w:name="Keywords_11"/>
      <w:bookmarkEnd w:id="75"/>
      <w:r>
        <w:rPr>
          <w:rFonts w:ascii="arial" w:eastAsia="arial" w:hAnsi="arial" w:cs="arial"/>
          <w:b/>
          <w:color w:val="000000"/>
          <w:sz w:val="20"/>
          <w:lang w:val="en-US" w:eastAsia="en-US" w:bidi="ar-SA"/>
        </w:rPr>
        <w:t>Practice — Pleadings — Striking out pleadings — Grounds, failure to disclose a cause of action or defence — Trade regulation — Industrial safety — Statutes — Delegated legislation — Regulations — Enactment of regulations, procedure for — Failure to provide notice —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6" w:name="Case Summary_10"/>
            <w:bookmarkEnd w:id="7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Workers' Compensation Board to strike out an action by FGM Holdings for damages pursuant to the Class Proceedings Act in respect of a regulatory provision enacted by the Board. The Regulation, enacted in April 1998, purported to control the exposure of workers to second-hand smoke by regulating smoking in the workplace. An exemption was provided for public entertainment facilities such as restaurants, which included FGM Holdings, as long as exposure was limited in given ways. The Regulation provided that the exemption would expire in January 2000. FGM argued that the final form of the Regulation was passed in bad faith, since at the draft stage, no expiry of the exemption was shown. It argued that the affected employers had not had an adequate opportunity to respond to that issue prior to the enactment of the Regulation. In fact, on a previous application to the court, the provision was declared invalid on the grounds that the notice of public hearing was inadequate. FGM Holdings sought damages for the period of time between enactment and the order striking down the expiry provision, claiming that the Board acted negligently or fraudulently. The Board argued that no reasonable cause of action was disclosed.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7" w:name="Holdings of Court_6"/>
            <w:bookmarkEnd w:id="77"/>
            <w:r>
              <w:rPr>
                <w:rFonts w:ascii="arial" w:eastAsia="arial" w:hAnsi="arial" w:cs="arial"/>
                <w:color w:val="000000"/>
                <w:sz w:val="20"/>
                <w:lang w:val="en-US" w:eastAsia="en-US" w:bidi="ar-SA"/>
              </w:rPr>
              <w:t>HELD: Motion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Statutory breach was not actionable by itself and the mere breach of a notice provision could not give rise to a claim in damages. There was no pleading of material facts to support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any event, there was no duty of care in respect of the exercise of legislative functions. Allegations of bad faith or malice did not support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where there was no duty of care. The remedy available was setting aside the Regulation, which had already occurred. It was open to FGM Holdings to amend the claim to advance a cause of action for the tort of misfeasance of public office.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8" w:name="Legislation Cited_8"/>
      <w:bookmarkEnd w:id="7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3"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19(9.1),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Occupational Health and Safety Regulation, </w:t>
      </w:r>
      <w:hyperlink r:id="rId177" w:history="1">
        <w:r>
          <w:rPr>
            <w:rFonts w:ascii="arial" w:eastAsia="arial" w:hAnsi="arial" w:cs="arial"/>
            <w:i/>
            <w:color w:val="0077CC"/>
            <w:sz w:val="20"/>
            <w:u w:val="single"/>
            <w:shd w:val="clear" w:color="auto" w:fill="FFFFFF"/>
            <w:lang w:val="en-US" w:eastAsia="en-US" w:bidi="ar-SA"/>
          </w:rPr>
          <w:t>B.C. Reg. 296/97, s. 4.81</w:t>
        </w:r>
      </w:hyperlink>
      <w:r>
        <w:rPr>
          <w:rFonts w:ascii="arial" w:eastAsia="arial" w:hAnsi="arial" w:cs="arial"/>
          <w:color w:val="000000"/>
          <w:sz w:val="20"/>
          <w:lang w:val="en-US" w:eastAsia="en-US" w:bidi="ar-SA"/>
        </w:rPr>
        <w:t>, 4.82, 4.83, 4.83(3).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Workers' Compensation Act, R.S.B.C. 1996, c. 492, s. 71(1).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9" w:name="Counsel_11"/>
      <w:bookmarkEnd w:id="7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4" style="position:absolute;z-index:2517729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J.M. Poyner and P. Poyner, for the plaintiff. B.W. Dixon,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0" w:name="Judgment_11"/>
      <w:bookmarkEnd w:id="80"/>
      <w:r>
        <w:pict>
          <v:line id="_x0000_s1085" style="position:absolute;z-index:25182412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1" w:name="VICKERS J."/>
            <w:bookmarkEnd w:id="81"/>
            <w:r>
              <w:rPr>
                <w:rFonts w:ascii="arial" w:eastAsia="arial" w:hAnsi="arial" w:cs="arial"/>
                <w:b/>
                <w:color w:val="000000"/>
                <w:sz w:val="30"/>
                <w:lang w:val="en-US" w:eastAsia="en-US" w:bidi="ar-SA"/>
              </w:rPr>
              <w:t>VICKERS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action for damages brought pursuant to the provisions of the Class Proceedings Act,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The action arises out of the exercise of the defendant's legislative jurisdiction to make regulations relating to occupational health and safety of workers.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the exercise of the Board's legislative jurisdiction, the Occupational Health and Safety Regulation, </w:t>
      </w:r>
      <w:hyperlink r:id="rId178" w:history="1">
        <w:r>
          <w:rPr>
            <w:rFonts w:ascii="arial" w:eastAsia="arial" w:hAnsi="arial" w:cs="arial"/>
            <w:i/>
            <w:color w:val="0077CC"/>
            <w:sz w:val="20"/>
            <w:u w:val="single"/>
            <w:shd w:val="clear" w:color="auto" w:fill="FFFFFF"/>
            <w:lang w:val="en-US" w:eastAsia="en-US" w:bidi="ar-SA"/>
          </w:rPr>
          <w:t>B.C. Reg. 296/97</w:t>
        </w:r>
      </w:hyperlink>
      <w:r>
        <w:rPr>
          <w:rFonts w:ascii="arial" w:eastAsia="arial" w:hAnsi="arial" w:cs="arial"/>
          <w:color w:val="000000"/>
          <w:sz w:val="20"/>
          <w:lang w:val="en-US" w:eastAsia="en-US" w:bidi="ar-SA"/>
        </w:rPr>
        <w:t xml:space="preserve"> (the "Regulation") was enacted on September 8, 1997, effective April 15, 1998. The Regulation, as it concerns environmental tobacco smoke ("ETS"), required employers to control the exposure of workers by (a) prohibiting smoking in the workplace, or (b) restricting smoking to designated smoking areas or by other equally effective means. An exemption was provided for public entertainment facilities, including restaurants, bars and games rooms, if the exposure of workers to ETS was minimized in those facilities by the use of all reasonable and practicable controls, including administrative and engineering controls. The Regulation further provided that the exemption would expire on January 1, 2000: </w:t>
      </w:r>
      <w:hyperlink r:id="rId177" w:history="1">
        <w:r>
          <w:rPr>
            <w:rFonts w:ascii="arial" w:eastAsia="arial" w:hAnsi="arial" w:cs="arial"/>
            <w:i/>
            <w:color w:val="0077CC"/>
            <w:sz w:val="20"/>
            <w:u w:val="single"/>
            <w:shd w:val="clear" w:color="auto" w:fill="FFFFFF"/>
            <w:lang w:val="en-US" w:eastAsia="en-US" w:bidi="ar-SA"/>
          </w:rPr>
          <w:t>B.C. Reg. 296/97, ss. 4.81</w:t>
        </w:r>
      </w:hyperlink>
      <w:r>
        <w:rPr>
          <w:rFonts w:ascii="arial" w:eastAsia="arial" w:hAnsi="arial" w:cs="arial"/>
          <w:color w:val="000000"/>
          <w:sz w:val="20"/>
          <w:lang w:val="en-US" w:eastAsia="en-US" w:bidi="ar-SA"/>
        </w:rPr>
        <w:t>-4.83.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had been extensive consultations and public hearings regarding the proposed Regulation, including the ETS provisions, before enactment. A copy of the proposed Regulation had been published in advance of public hearings. The draft differed from the Regulation, as ultimately enacted, in that the draft did not include any provision for expiry of the exemption for public entertainment facilities. That provision, enacted as s. 4.83(3), was added following receipt of submissions made by the public and various working groups.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On March 22, 2000 Stromberg-Stein J. held that the "sunset clause", section 4.83(3), providing for the expiration of the exemption on January 1, 2000 was invalid. Because the draft published in advance of the public hearings did not include the "sunset clause", the notice of public hearing was inadequate and did not comply with the requirements of s. 71(1) of the Workers Compensation Act, </w:t>
      </w:r>
      <w:r>
        <w:rPr>
          <w:rFonts w:ascii="arial" w:eastAsia="arial" w:hAnsi="arial" w:cs="arial"/>
          <w:i/>
          <w:color w:val="000000"/>
          <w:sz w:val="20"/>
          <w:lang w:val="en-US" w:eastAsia="en-US" w:bidi="ar-SA"/>
        </w:rPr>
        <w:t>R.S.B.C. 1996, c. 492</w:t>
      </w:r>
      <w:r>
        <w:rPr>
          <w:rFonts w:ascii="arial" w:eastAsia="arial" w:hAnsi="arial" w:cs="arial"/>
          <w:color w:val="000000"/>
          <w:sz w:val="20"/>
          <w:lang w:val="en-US" w:eastAsia="en-US" w:bidi="ar-SA"/>
        </w:rPr>
        <w:t xml:space="preserve">: B.C. Liquor Licencees &amp; Retailers Association v. British Columbia (Workers' Compensation Board), </w:t>
      </w:r>
      <w:hyperlink r:id="rId179" w:history="1">
        <w:r>
          <w:rPr>
            <w:rFonts w:ascii="arial" w:eastAsia="arial" w:hAnsi="arial" w:cs="arial"/>
            <w:i/>
            <w:color w:val="0077CC"/>
            <w:sz w:val="20"/>
            <w:u w:val="single"/>
            <w:shd w:val="clear" w:color="auto" w:fill="FFFFFF"/>
            <w:lang w:val="en-US" w:eastAsia="en-US" w:bidi="ar-SA"/>
          </w:rPr>
          <w:t>[2000] B.C.J. No. 584</w:t>
        </w:r>
      </w:hyperlink>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2000 BCSC 505</w:t>
        </w:r>
      </w:hyperlink>
      <w:r>
        <w:rPr>
          <w:rFonts w:ascii="arial" w:eastAsia="arial" w:hAnsi="arial" w:cs="arial"/>
          <w:color w:val="000000"/>
          <w:sz w:val="20"/>
          <w:lang w:val="en-US" w:eastAsia="en-US" w:bidi="ar-SA"/>
        </w:rPr>
        <w:t>, (22 March 2000), Vancouver L000212.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This action was commenced April 26, 2000 as a proposed class action seeking damages alleged to have been incurred from January 1, 2000 to March 22, 2000 by certain persons subject to the ETS provisions of the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now seeks an order pursuant to the provisions of Rule 19(24)(a) striking out the Statement of Claim as disclosing no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Paragraphs 1 and 2 of the Statement of Claim describe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Paragraphs 3 to 14 are derived from, or restate, the factual background and conclusions set out in the reasons for judgment of Stromberg-Stein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Paragraphs 9, 10 and 11 read as follows:</w:t>
      </w:r>
      <w:r>
        <w:rPr>
          <w:rFonts w:ascii="arial" w:eastAsia="arial" w:hAnsi="arial" w:cs="arial"/>
          <w:sz w:val="20"/>
          <w:lang w:val="en-US" w:eastAsia="en-US" w:bidi="ar-SA"/>
        </w:rPr>
        <w:cr/>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a regulation can be adopted the Board must hold a public hearing and give proper notice to affected parties and in compliance with this requirement the Board mailed several thousand copies of the said draft regulations to members of the public in advance of the public hearings which were then held throughout the Province of British Columbia in 11 different venues and over a period of 13 days. Anyone wishing to make submissions, oral or written, were permitted to do so and submissions were made by a number of individuals and representatives of a variety of groups: some opposing the regulation of environmental tobacco smoke, some supporting it, and some recommending changes to eliminate any exemptions or separate standards.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the public hearings a panel of administrators made several changes to the draft regulations in accordance with the submissions made at the hearings and the recommendations of the working groups, including a submission that the regulation of environmental tobacco smoke in the workplace be extended to the public access areas of the facilities which had previously been exempted in the said draft regulation.</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further consultation with and without informing the affected facilities and without a further public hearing, the Board expanded the regulation to apply to the public access areas of the previously exempted facilities to be effective January 1st,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Paragraphs 15 to 17 of the Statement of Claim describe the plaintiff and paragraphs 18 and 19 describe the proposed class. Paragraphs 17 and 18 describe the damages alleged to have been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cause of action is set out in paragraph 20 as follows:</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Board, by extending the terms of the said regulation to include facilities previously exempted, without publication, consultation with, warning to or public hearings for the benefit of those affected, which included the Plaintiff and all members of the potential class, was in breach of its statutory authority as set out in s. 71(1) of the Workers Compensation Act, </w:t>
      </w:r>
      <w:r>
        <w:rPr>
          <w:rFonts w:ascii="arial" w:eastAsia="arial" w:hAnsi="arial" w:cs="arial"/>
          <w:i/>
          <w:color w:val="000000"/>
          <w:sz w:val="20"/>
          <w:lang w:val="en-US" w:eastAsia="en-US" w:bidi="ar-SA"/>
        </w:rPr>
        <w:t>R.S.B.C. 1996, ch.492</w:t>
      </w:r>
      <w:r>
        <w:rPr>
          <w:rFonts w:ascii="arial" w:eastAsia="arial" w:hAnsi="arial" w:cs="arial"/>
          <w:color w:val="000000"/>
          <w:sz w:val="20"/>
          <w:lang w:val="en-US" w:eastAsia="en-US" w:bidi="ar-SA"/>
        </w:rPr>
        <w:t xml:space="preserve"> and as a result thereof the Plaintiff and each of the members of the potential class have sustained and continue to sustain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Upon receiving notice of the defendant's application to strike for failing to disclose a cause of action, the plaintiff amended its Statement of Claim. Paragraph 20 of the Amended Statement of Claim reads as follows:</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Board, was negligent in extending the terms of the said regulation to include facilities previously exempted, without publication, consultation with, warning to or public hearings for the benefit of those affected, which included the Plaintiff and all members of the potential class, in breach of the provisions of s. 71 (1) of the Workers Compensation Act, </w:t>
      </w:r>
      <w:r>
        <w:rPr>
          <w:rFonts w:ascii="arial" w:eastAsia="arial" w:hAnsi="arial" w:cs="arial"/>
          <w:i/>
          <w:color w:val="000000"/>
          <w:sz w:val="20"/>
          <w:lang w:val="en-US" w:eastAsia="en-US" w:bidi="ar-SA"/>
        </w:rPr>
        <w:t>R.S.B.C. 1996, ch.492</w:t>
      </w:r>
      <w:r>
        <w:rPr>
          <w:rFonts w:ascii="arial" w:eastAsia="arial" w:hAnsi="arial" w:cs="arial"/>
          <w:color w:val="000000"/>
          <w:sz w:val="20"/>
          <w:lang w:val="en-US" w:eastAsia="en-US" w:bidi="ar-SA"/>
        </w:rPr>
        <w:t xml:space="preserve"> and as a result thereof the Plaintiff and each of the members of the potential class have sustained and continue to sustain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claims that it and members of the proposed class are entitled to general, special, punitive, aggravated and exemplary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When this motion came on for hearing, the plaintiff sought an order to further amend the Statement of Claim as follows:</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approximately 2 years prior to the enactment of the said Occupational Health and Safety Regulation </w:t>
      </w:r>
      <w:hyperlink r:id="rId178" w:history="1">
        <w:r>
          <w:rPr>
            <w:rFonts w:ascii="arial" w:eastAsia="arial" w:hAnsi="arial" w:cs="arial"/>
            <w:i/>
            <w:color w:val="0077CC"/>
            <w:sz w:val="20"/>
            <w:u w:val="single"/>
            <w:shd w:val="clear" w:color="auto" w:fill="FFFFFF"/>
            <w:lang w:val="en-US" w:eastAsia="en-US" w:bidi="ar-SA"/>
          </w:rPr>
          <w:t>B.C. Reg. 296/97</w:t>
        </w:r>
      </w:hyperlink>
      <w:r>
        <w:rPr>
          <w:rFonts w:ascii="arial" w:eastAsia="arial" w:hAnsi="arial" w:cs="arial"/>
          <w:color w:val="000000"/>
          <w:sz w:val="20"/>
          <w:lang w:val="en-US" w:eastAsia="en-US" w:bidi="ar-SA"/>
        </w:rPr>
        <w:t xml:space="preserve"> a committee of the B.C. &amp; Yukon Hotel Association ("the Hotel Association"), on behalf of the Plaintiff and many other owners and operators of public entertainment facilities, met on many occasions with the Board in an effort to negotiate the enactment of a regulation which would be mutually satisfactory to both the Board and the Hotel Association.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these protracted negotiations the Board was fully aware of the concerns of the Hotel Association, the Plaintiff and other affected operators of entertainment and long term residential facilities; the Board knew what they objected to in any regulation dealing with second hand smoke in the workplace, what they wanted to have included in any such regulation and that they were capable of and would be prepared to mount a powerful and effective force in opposition to the passage of any such regulation which was not mutually agreeable.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Board owed a duty of care to the Plaintiff and other owners/operators of entertainment and long term residential facilities to notify them pursuant to Section 71(1) of The Workers' Compensation Act of public hearings to be held relating to the enactment of the said regulation dealing with the regulation of second hand smoke in the workplace. The Board owed a duty of care to ensure that they had an opportunity to voice their objections and to be heard.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action taken by the Board in distributing the draft regulation which exempted public entertainment and long term residential facilities as aforesaid, was an action taken with extreme bad faith, dishonesty and malice, intending to lull the Plaintiff and other operators of public entertainment and long term residential facilities in British Columbia into a false sense of security by assuring them that it would not be necessary for them to attend the public hearings because they had been exempted. In this manner the Board sought to and did in fact eliminate what would have potentially been the largest and most powerful opposition in the Province to the passage of the said Occupational Health and Safety Regulation </w:t>
      </w:r>
      <w:hyperlink r:id="rId178" w:history="1">
        <w:r>
          <w:rPr>
            <w:rFonts w:ascii="arial" w:eastAsia="arial" w:hAnsi="arial" w:cs="arial"/>
            <w:i/>
            <w:color w:val="0077CC"/>
            <w:sz w:val="20"/>
            <w:u w:val="single"/>
            <w:shd w:val="clear" w:color="auto" w:fill="FFFFFF"/>
            <w:lang w:val="en-US" w:eastAsia="en-US" w:bidi="ar-SA"/>
          </w:rPr>
          <w:t>B.C. Reg. 296/97</w:t>
        </w:r>
      </w:hyperlink>
      <w:r>
        <w:rPr>
          <w:rFonts w:ascii="arial" w:eastAsia="arial" w:hAnsi="arial" w:cs="arial"/>
          <w:color w:val="000000"/>
          <w:sz w:val="20"/>
          <w:lang w:val="en-US" w:eastAsia="en-US" w:bidi="ar-SA"/>
        </w:rPr>
        <w:t xml:space="preserve"> dealing with the regulation of second hand smoke in the work place.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Board, acting in bad faith and with malice, was negligent in extending the terms of the said regulation to include facilities previously exempted, without publication, consultation with, warning to or public hearings for the benefit of those affected, which included the Plaintiff and all members of the potential class, in breach of the provisions of s. 71(1) of the Workers Compensation Act, </w:t>
      </w:r>
      <w:r>
        <w:rPr>
          <w:rFonts w:ascii="arial" w:eastAsia="arial" w:hAnsi="arial" w:cs="arial"/>
          <w:i/>
          <w:color w:val="000000"/>
          <w:sz w:val="20"/>
          <w:lang w:val="en-US" w:eastAsia="en-US" w:bidi="ar-SA"/>
        </w:rPr>
        <w:t>R.S.B.C. 1996, ch.492</w:t>
      </w:r>
      <w:r>
        <w:rPr>
          <w:rFonts w:ascii="arial" w:eastAsia="arial" w:hAnsi="arial" w:cs="arial"/>
          <w:color w:val="000000"/>
          <w:sz w:val="20"/>
          <w:lang w:val="en-US" w:eastAsia="en-US" w:bidi="ar-SA"/>
        </w:rPr>
        <w:t xml:space="preserve"> and as a result thereof the Plaintiff and each of the members of the potential class have sustained and continue to sustain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Upon the conclusion of counsel's argument on this motion on behalf of the defendant, counsel for the plaintiff advised that he sought a further amendment to the proposed Further Amended Statement of Claim as follows: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Board, acting in bad faith and with malice, extended the terms of the said regulation to include facilities previously exempted, without publication, consultation with, warning to or public hearings for the benefit of those affected, which included the Plaintiff and all members of the potential class, in breach of the provisions of s. 71(1) of the Workers Compensation Act, </w:t>
      </w:r>
      <w:r>
        <w:rPr>
          <w:rFonts w:ascii="arial" w:eastAsia="arial" w:hAnsi="arial" w:cs="arial"/>
          <w:i/>
          <w:color w:val="000000"/>
          <w:sz w:val="20"/>
          <w:lang w:val="en-US" w:eastAsia="en-US" w:bidi="ar-SA"/>
        </w:rPr>
        <w:t>R.S.B.C. 1996, ch.492</w:t>
      </w:r>
      <w:r>
        <w:rPr>
          <w:rFonts w:ascii="arial" w:eastAsia="arial" w:hAnsi="arial" w:cs="arial"/>
          <w:color w:val="000000"/>
          <w:sz w:val="20"/>
          <w:lang w:val="en-US" w:eastAsia="en-US" w:bidi="ar-SA"/>
        </w:rPr>
        <w:t xml:space="preserve"> and as a result thereof the Plaintiff and each of the members of the potential class have sustained and continue to sustain damages.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actions of the Board hereinbefore set out amounted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or deceit, or fraudulent misrepresentation, or abuse of public office, or a combination thereof.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On an application to strike a claim pursuant to Rule 19(24)(a) as disclosing no cause of action, it must be plain and obvious that the plaintiff's action cannot succeed: Endean v. Canadian Red Cross Society </w:t>
      </w:r>
      <w:hyperlink r:id="rId180" w:history="1">
        <w:r>
          <w:rPr>
            <w:rFonts w:ascii="arial" w:eastAsia="arial" w:hAnsi="arial" w:cs="arial"/>
            <w:i/>
            <w:color w:val="0077CC"/>
            <w:sz w:val="20"/>
            <w:u w:val="single"/>
            <w:shd w:val="clear" w:color="auto" w:fill="FFFFFF"/>
            <w:lang w:val="en-US" w:eastAsia="en-US" w:bidi="ar-SA"/>
          </w:rPr>
          <w:t>(1998), 157 D.L.R. (4th) 465</w:t>
        </w:r>
      </w:hyperlink>
      <w:r>
        <w:rPr>
          <w:rFonts w:ascii="arial" w:eastAsia="arial" w:hAnsi="arial" w:cs="arial"/>
          <w:color w:val="000000"/>
          <w:sz w:val="20"/>
          <w:lang w:val="en-US" w:eastAsia="en-US" w:bidi="ar-SA"/>
        </w:rPr>
        <w:t xml:space="preserve"> (B.C.C.A.). Assuming the facts as stated in the Statement of Claim can be proved, is it plain and obvious that the plaintiff's Statement of Claim disclosed no reasonable cause of action: Hunt v. Carey Canada Inc.,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Statutory breach is not, per se, actionable. The civil consequences of statutory breach are subsumed in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Queen v. Saskatchewan Wheat Pool, </w:t>
      </w:r>
      <w:hyperlink r:id="rId181"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 Accordingly, the first Statement of Claim did not disclose a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Amended Statement of Claim advances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Contrary to Rule 19(9.1), there is no pleading of the material facts supporting a conclusion that the defendant was negligent. In particular, there is no pleading of facts which are alleged to give rise to a duty of care. The Further Amended Statement of Claim and the proposed amendments to the Further Amended Statement of Claim suffer from the same deficiency.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any event, it is clear that no duty of care arises in respect of the exercise of legislative functions including procedural pre-conditions to enactment. The plea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bound to fail: Welbridge Holdings Ltd. v. Greater Winnipeg, </w:t>
      </w:r>
      <w:hyperlink r:id="rId182" w:history="1">
        <w:r>
          <w:rPr>
            <w:rFonts w:ascii="arial" w:eastAsia="arial" w:hAnsi="arial" w:cs="arial"/>
            <w:i/>
            <w:color w:val="0077CC"/>
            <w:sz w:val="20"/>
            <w:u w:val="single"/>
            <w:shd w:val="clear" w:color="auto" w:fill="FFFFFF"/>
            <w:lang w:val="en-US" w:eastAsia="en-US" w:bidi="ar-SA"/>
          </w:rPr>
          <w:t>[1971] S.C.R. 957</w:t>
        </w:r>
      </w:hyperlink>
      <w:r>
        <w:rPr>
          <w:rFonts w:ascii="arial" w:eastAsia="arial" w:hAnsi="arial" w:cs="arial"/>
          <w:color w:val="000000"/>
          <w:sz w:val="20"/>
          <w:lang w:val="en-US" w:eastAsia="en-US" w:bidi="ar-SA"/>
        </w:rPr>
        <w:t xml:space="preserve">. The closing comments of Hollinrake J.A. in Birch Builders Ltd. v. Esquimalt (Township) </w:t>
      </w:r>
      <w:hyperlink r:id="rId183" w:history="1">
        <w:r>
          <w:rPr>
            <w:rFonts w:ascii="arial" w:eastAsia="arial" w:hAnsi="arial" w:cs="arial"/>
            <w:i/>
            <w:color w:val="0077CC"/>
            <w:sz w:val="20"/>
            <w:u w:val="single"/>
            <w:shd w:val="clear" w:color="auto" w:fill="FFFFFF"/>
            <w:lang w:val="en-US" w:eastAsia="en-US" w:bidi="ar-SA"/>
          </w:rPr>
          <w:t>(1992), 66 B.C.L.R. (2d) 208</w:t>
        </w:r>
      </w:hyperlink>
      <w:r>
        <w:rPr>
          <w:rFonts w:ascii="arial" w:eastAsia="arial" w:hAnsi="arial" w:cs="arial"/>
          <w:color w:val="000000"/>
          <w:sz w:val="20"/>
          <w:lang w:val="en-US" w:eastAsia="en-US" w:bidi="ar-SA"/>
        </w:rPr>
        <w:t xml:space="preserve"> are appropriate. At p. 215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principles enunciated by Laskin J. in Welbridge negate any duty of care where the function is a legislative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Allegations of bad faith or malice do not support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where there is no duty of care: Birch Builders Ltd. v. Esquimalt (Township),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Counsel for the plaintiff argues that the court must give the Statement of Claim as proposed a "generous reading". As I understand his argument, the case he proposes to advance on behalf of the plaintiff focuses entirely on the procedure which was employed by the Board prior to the enactment of the Regulation. He says that following a lengthy consultation with the Hotel Association, the Board was fully aware of the concerns of the Hotel Association, the plaintiff and other affected operators of entertainment and long term residential facilities. At all material times, the Board was fully aware of the plaintiff's position and fully aware of what was required if a Regulation was to be acceptable. The draft Regulation sent to all interested parties did not contain a "sunset clause". It did not contain such a clause because the Board did not want to have strong opposition to it during the public hearing process. Furthermore, when the draft Regulation was delivered to interested parties, the Board knew that the final Regulation would contain a "sunset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Counsel says the plaintiff was lulled into a false sense of security because of the deceit, fraud and malice of the Board. As the plaintiff was content with the draft Regulation, it did not mount any opposition to a Regulation which would contain a "sunset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advancing the argument on behalf of the plaintiff, counsel relied heavily on the decision in Roncarelli v. Duplessis, </w:t>
      </w:r>
      <w:hyperlink r:id="rId184" w:history="1">
        <w:r>
          <w:rPr>
            <w:rFonts w:ascii="arial" w:eastAsia="arial" w:hAnsi="arial" w:cs="arial"/>
            <w:i/>
            <w:color w:val="0077CC"/>
            <w:sz w:val="20"/>
            <w:u w:val="single"/>
            <w:shd w:val="clear" w:color="auto" w:fill="FFFFFF"/>
            <w:lang w:val="en-US" w:eastAsia="en-US" w:bidi="ar-SA"/>
          </w:rPr>
          <w:t>[1959] S.C.R. 121</w:t>
        </w:r>
      </w:hyperlink>
      <w:r>
        <w:rPr>
          <w:rFonts w:ascii="arial" w:eastAsia="arial" w:hAnsi="arial" w:cs="arial"/>
          <w:color w:val="000000"/>
          <w:sz w:val="20"/>
          <w:lang w:val="en-US" w:eastAsia="en-US" w:bidi="ar-SA"/>
        </w:rPr>
        <w:t>. In that case, Rand J. said at p. 140: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public regulation of this sort there is no such thing as absolute and untrammelled "discretion", that is that action can be taken on any ground or for any reason that can be suggested to the mind of the administrator; no legislative Act can, without express language, be taken to contemplate an unlimited arbitrary power exercisable for any purpose, however capricious or irrelevant, regardless of the nature or purpose of the statute. Fraud and corruption in the Commission may not be mentioned in such statutes but they are always implied as exceptions. "Discretion" necessarily implies good faith in discharging public duty; there is always a perspective within which a statute is intended to operate; and any clear departure from its lines or objects is just as objectionable as fraud or corruption.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That case was a case of intentional tort, the tort of misfeasance of public office. In Alford v. Canada (Attorney General) </w:t>
      </w:r>
      <w:hyperlink r:id="rId185" w:history="1">
        <w:r>
          <w:rPr>
            <w:rFonts w:ascii="arial" w:eastAsia="arial" w:hAnsi="arial" w:cs="arial"/>
            <w:i/>
            <w:color w:val="0077CC"/>
            <w:sz w:val="20"/>
            <w:u w:val="single"/>
            <w:shd w:val="clear" w:color="auto" w:fill="FFFFFF"/>
            <w:lang w:val="en-US" w:eastAsia="en-US" w:bidi="ar-SA"/>
          </w:rPr>
          <w:t>(1997), 31 B.C.L.R. (3d) 228</w:t>
        </w:r>
      </w:hyperlink>
      <w:r>
        <w:rPr>
          <w:rFonts w:ascii="arial" w:eastAsia="arial" w:hAnsi="arial" w:cs="arial"/>
          <w:color w:val="000000"/>
          <w:sz w:val="20"/>
          <w:lang w:val="en-US" w:eastAsia="en-US" w:bidi="ar-SA"/>
        </w:rPr>
        <w:t xml:space="preserve"> (S.C.) at p. 244, Brenner J. (as he then was) outlined the three elements required for the tort of misfeasance of public office as follows: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defendants were acting either with malice or with a knowledge that they had no power to do what they were doing;</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defendants' actions were deliberately calculated to injure the plaintiffs;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damage resulted therefrom.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No such plea is advanced in this case, either in the Further Amended Statement of Claim or in the proposed changes to the Further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attacks procedural unfairness prior to enactment of the Regulation. Contrary to what appears to be pleaded in paragraphs 9 to 11 inclusive of the Statement of claim, the plaintiff now says, in effect, "the fix was in." When the draft Regulation was sent to interested parties, the Board knew it was a ruse and that ultimately the Regulation would contain a "sunset clause". The remedy for procedural unfairness is an order setting aside the Regulation, the precise remedy already granted by Stromberg-Stein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 am invited to speculate on what would have happened if the Hotel Association and like-minded organizations had advanced opposition to a "sunset clause". I am invited to speculate that the "sunset clause" would not have been a part of the Regulation. In my view, such speculation is too hypothetical and uncertain to sustain a cause of action: Operation Dismantle Inc. v. The Queen, </w:t>
      </w:r>
      <w:hyperlink r:id="rId186" w:history="1">
        <w:r>
          <w:rPr>
            <w:rFonts w:ascii="arial" w:eastAsia="arial" w:hAnsi="arial" w:cs="arial"/>
            <w:i/>
            <w:color w:val="0077CC"/>
            <w:sz w:val="20"/>
            <w:u w:val="single"/>
            <w:shd w:val="clear" w:color="auto" w:fill="FFFFFF"/>
            <w:lang w:val="en-US" w:eastAsia="en-US" w:bidi="ar-SA"/>
          </w:rPr>
          <w:t>[1985] 1 S.C.R. 441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conclude the Statement of Claim in its current form, in the further amended form and with the proposed changes to the further amended form, all disclose no cause of action and there is nothing to be tried. The remedy was the setting aside of the Regulation and that has already taken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It may well be that the plaintiff will seek an amendment to allege an intentional tort, in this case the intentional tort of misfeasance or abuse of public office. To do so, the plaintiff would have to apply to amend the pleadings alleging that the defendant was acting either with malice or with knowledge that they had no power to do what they were doing in the circumstances, that their actions were deliberately calculated to injure the plaintiff, and that damages resulted therefrom. Such a course of action would require careful consideration of the risks of an award of special costs should the action fail. Similar considerations arose in Cooper v. British Columbia (Registrar of Mortgage Brokers) </w:t>
      </w:r>
      <w:hyperlink r:id="rId187" w:history="1">
        <w:r>
          <w:rPr>
            <w:rFonts w:ascii="arial" w:eastAsia="arial" w:hAnsi="arial" w:cs="arial"/>
            <w:i/>
            <w:color w:val="0077CC"/>
            <w:sz w:val="20"/>
            <w:u w:val="single"/>
            <w:shd w:val="clear" w:color="auto" w:fill="FFFFFF"/>
            <w:lang w:val="en-US" w:eastAsia="en-US" w:bidi="ar-SA"/>
          </w:rPr>
          <w:t>(2000), 184 D.L.R. (4th) 287</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summary, I conclude no cause of action is disclosed by the current Statement of Claim or by the proposed Statement of Claim. The action against the defendant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procedural unfairness is dismissed. I propose to leave it open to the plaintiff to seek leave to amend its Statement of Claim to allege a cause of action if it is so advised. I note a similar course followed in Cooper v. British Columbia (Registrar of Mortgage Brokers),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summary, the motion is allowed. The action as presently pleaded, and as proposed to be pleaded,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VICKERS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6"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Forge v. Canada (Attorney General), [2000] B.C.J. No. 2147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Thackray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4 - 7, 10 - 14, 17 - 19, October 10 - 13,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16, 17 and 19,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26,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C955059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2147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1574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100 A.C.W.S. (3d) 512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John Aaron Forge, plaintiff, and Attorney General of Canada, Canada Mortgage and Housing Corporation,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(217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7"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2" w:name="Keywords_12"/>
      <w:bookmarkEnd w:id="82"/>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Damages — Entitlement — Requirement of loss — General damages — Elements of general damages — Loss of plaintiff's corporation or business.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3" w:name="Case Summary_11"/>
            <w:bookmarkEnd w:id="8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Forge against the Attorney General of Canada, and the Canada Mortgage and Housing Corporation for damages as a result of injuries caused when he was hit on the head by a chair on September 11, 1993. Forge had just come out of a food building on Granville Island when he was hit on the head by a plastic chair that had blown of the roof of the building. The defendant Federal Government owned the building, and the Corporation was responsible for its maintenance. The chairs were on a roof-top deck adjoining the Corporation's office. There was no barrier in the area. Forge was injured on a very windy day. He alleged that his life and business went into a tailspin after the accident, and that the blow to the head caused his troubles. At the time, it was seen to be a minor injury. There was no loss of consciousness and a skull x-ray was negative. Forge was diagnosed with depression in late 1994. Some medical evidence suggested brain damage arising from Forge's injury. Forge had bought an insurance business in 1987. The business was in worse financial shape than he had thought. He admitted to being under significant stress at that time. However, he stated that the situation had improved. A major account was lost in the fall of 1994. Forge was then in serious financial difficulty. His business eventually went bankrupt. Forge went into personal bankruptcy. He claimed that these difficulties arose from the injury.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4" w:name="Holdings of Court_7"/>
            <w:bookmarkEnd w:id="84"/>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chair blew off the roof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However, the medical evidence did not establish that Forge sustained anything more than a bump on the head with short- lived minor consequences. Opinions to the contrary relied heavily on Forge's self-reporting. This was unreliable. Forge's depression was not related to the injury. There were many other factors contributing to the depression. Further, the timing was not consistent. The injury did not cause a business loss. Forge was awarded $5,000.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5" w:name="Counsel_12"/>
      <w:bookmarkEnd w:id="8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8"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Steven, for the plaintiff. R.B. Lindsay and W.D. Mussio,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6" w:name="Judgment_12"/>
      <w:bookmarkEnd w:id="86"/>
      <w:r>
        <w:pict>
          <v:line id="_x0000_s1089" style="position:absolute;z-index:2517739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7" w:name="THACKRAY J."/>
            <w:bookmarkEnd w:id="87"/>
            <w:r>
              <w:rPr>
                <w:rFonts w:ascii="arial" w:eastAsia="arial" w:hAnsi="arial" w:cs="arial"/>
                <w:b/>
                <w:color w:val="000000"/>
                <w:sz w:val="30"/>
                <w:lang w:val="en-US" w:eastAsia="en-US" w:bidi="ar-SA"/>
              </w:rPr>
              <w:t>THACKRAY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is for damages as a result of injuries caused when the plaintiff was hit on the head by a chair on September 11, 1993. It is submitted that thereafter his life and business went into a tailspin. The plaintiff attributes this to the blow to the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defendants make no admissions that would allow for an award of damages. They submit that there was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if there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resulting in the blow to the head there was no brain damage; that the cause of the plaintiff's problems was and is depression; that if there was brain damage it did not cause the depression and that the depression was not caused by the blow from the 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further submit that the financial status of the plaintiff's insurance agency and its eventual bankruptcy, together with any loss of income past or future, were not caused by anything attributable to the incident of September 11,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EVENTS OF SEPTEMBER 11,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Forge, together with his son Michael and a friend, had been boating but because of high winds had docked at the Granville Market. Mr. Forge bought some fast food and had just emerged from the building when he was hit on the head by a plastic chair. The chair, that had been on the roof of the Granville Market, apparently blew off and struck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Johanna Hastings, the senior market co-ordinator for Granville Market, was examined for discovery as the authorized representative of the defendant Canada Mortgage and Housing Corporation. According to Ms. Hastings, September 11 was "windy enough that I made comment on the daily report ... it was blowing very hard." By 12:30 p.m. Ms. Hastings heard the flapping of awnings. Ms. Donalda Mooney was riding a bicycle on the Stanley Park seawall. She testified that it was an "incredibly" windy day, the worst she could remember in Vancouver. The incident happened at about 1:35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Hastings said that the Federal Government owns the building in question and that CMHC, as a federal Crown corporation, operates Granville Island and the public market for the government. She testified that while part of the building is leased to the Arts Club, CMHC retained control of the building as landlord. Further, she said that "CMHC is responsible for the maintenance and safety of that area where we see all those pedestrians." "That area" is depicted in photographs as being on the ground level where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One division of CMHC occupied an office on the top of Granville Island Market. It had access to the roof as of September 11, 1993. The CMHC policy was to have the door locked but that policy was not "necessarily a policy followed all the time." On the roof was a small deck with chairs similar to the one involved in the incident. Ms. Hastings did not know if Arts Club personnel had access to that seating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Hastings testified that she "believes" that "somebody moved a chair" from its usual place. She does not believe that the chair blew from its usual location. Ms. Hastings expects that a photographer, who had been on the roof a few days earlier, had moved the chair. She said that there was no regular maintenance or inspection of the roof and that the chair likely remained in a position near the edge of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Counsel for the defendants submitted that no one knows whose chair it was. However, he conceded that it came off the roof, that the roof in the area immediately above where the accident happened is under the control of the defendants and that if the Court concludes that there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not having some form of barrier in that area, then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attaches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 do find such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it attaches to the defendants. Consequently, the defendants are liable for all injuries caused by the chair falling from the roof and striking Mr. Forge.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Forge joined Nunns &amp; Spray Insurance Agency as an employee in 1981. In 1982 Mr. Forge obtained an insurance agent's licence and bought into the agency. This cost him about $200,000. Mr. Forge also incorporated a company called John Forge Holdings Ltd. In 1987 Mr. Forge bought the balance of Mr. Nunn's interest for about $350,000. (This indicates a purchase price of $550,000 but Mr. Forge agreed in cross-examination that the purchase "was in the realm of $700,000".)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October 1987 Mr. Forge learned that he "had to come up with $225,000 to meet the accounts payable at the end of the month." In an examination for discovery Mr. Forge said that this amount "was in addition to our anticipated company payables for the end of the month and it was money that we did not have." He added that this amount "was not far off what our total commission revenues were for a year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Forge conceded that in order to pay off this indebtedness he "used premiums belonging to insurance companies that were not yet due." He said that this payable came as a surprise. He lost weight and sleep. He was also concerned about the electronic transfer of funds. He felt he was being informed of something that he did not believe.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 fall of 1987 Mr. Forge also discovered that there had been an overstatement of the income of the agency by $28,000 annually and that payables had been understated by some $220,000. Mr. Forge borrowed money from his in-laws and arranged a line of credit. According to Mr. Forge, the agency "got over this crisis in about 12 to 18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Forge had agreed to pay Mr. Nunns $6,000 a month on the balance outstanding on the purchase price. The balance of the purchase price, being $104,000, was payable on January 1, 1992 and he needed another year to pay it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1987 a Mr. Finch-Noyes joined the agency as a private contractor. He brought his clients into the agency but he shared the commission equally with the agency. He played a large role in the acquisition of the Loewen account whose premium payment eventually grew to an annual amount of over $4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Tanner testified that there was an awareness in the agency that the Loewen account was large and that the agency should get a broader base. In that regard the Funeral Society of America was considered which, if obtained, would make Loewen "look like small potatoes." It was obtained but Mr. Finch-Noyes said that only one premium was received before the account was lost. The Funeral Society account was lost because the Continental Insurance Company was bought by another insurance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By 1989 Mr. Forge realized that the 50/50 split of commission with Mr. Finch-Noyes was not equitable. By about 1992 or 1993 he thought that changes had to be made to this arrangement. For some time Mr. Forge was aware of competition for the Loewen account from other agencies. This was particularly so in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Nevertheless, Mr. Forge testified that as of September 11, 1993 he had a healthy and growing insurance agency. He agreed that the agency was in a cash deficit position in 1987 but submitted that this situation was remedied. In an examination for discovery it was suggested to Mr. Forge that he made the decision to take money from bank accounts to pay "old premiums". He answered: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Well, I suppose, naively perhaps, I had not been fully aware of the ramifications of taking the money that we had sitting in the premium - premiums on deposit in the bank ... and what date those happen to be effective or payable to the insurance company. I simply had to take, you know, whatever we had in the bank account to pay the bills.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 same examination it was suggested to him that what happened in 1987 "never really got remedied, in that you were continuously taking new money to pay old money?" He answered: "I suppose it was." He went on to agree that even years later the deficit of 1987 "was still there to some degree ... still in approximately the same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a letter to the Royal Bank of July 22, 1991 Mr. Forge requested financing to "replace cash which we have borrowed from our receivables to fund the growth of the firm." He enclosed a statement that shows, under the heading "liabilities", a "deficit" of $250,000. Mr. Forge said that this was not a carry-over from 1987 but rather incurred in 1990 - 91 when the agency moved offices. However, in answers given in an examination for discovery he agreed that in 1991 "the deficit that [he] discovered in 1987 was still a substantial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Price Waterhouse report of November 3, 1999 shows a deficit of $262,547 at December 31, 1990 increasing to $303,065 in 1991, $425,223 in 1992 and $551,047 as of December 1993. The balance sheet for December 31, 1993 shows cash of $1.46 million compared to $568,000 the previous year. Accounts payable were $6.4 million compared to $3.5 million in the previous year. However, accounts receivable were $4.4 million compared to $2.6 million one year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income statement shows that in 1993 gross profit had risen to over $1 million, an increase of over $100,000 from 1992. However, net income had gone down from $62,000 to $34,000. The major item of expense, being salaries, had increased from $470,000 to $592,000 in the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Forge testified that he thought that the agency could make up the loss of Loewen through other clients. The agency had been working on obtaining accounts from the National Funeral Directors of America and from Impark. Mr. Forge testified that the Funeral Directors matter was a Finch-Noyes project and that "it was never a project that I was interested in pursuing myself individually." Mr. Forge, in 1994, "didn't see at that point that there was any benefit to try and carry on a working relationship with Mr. Finch-Noyes, and I gave him a letter saying that." Impark, according to Mr. Forge, was never any more than an expense to the 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While he was on his boat in September 1994 Mr. Forge received a telephone call from an employee, Mr. Thompson. Mr. Thompson informed him that the Loewen account had been lost. Mr. Forge was not surprised. He said that he knew there were "political affiliations to other brokers."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Forge testified that Loewen was not a large profit account. He nevertheless acknowledged that the loss of Loewen "had a substantial impact" on the agency. Mr. Forge testified that he felt that there had to be staff reductions but he did not implement such a plan. He said that this was because he was "not on top of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Forge continued to have meetings with Mr. Finch-Noyes and other insurance people but "tried to narrow [his] world down to where it was in control." He said that when he received a letter from his accountants with recommendations he "did not implement these - not able to grasp and concentrate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Finch-Noyes testified that the Loewen account took a great amount of effort to service. As well there was always competition for it so both he and Mr. Forge focused upon it. He said that as the workload went up Mr. Forge "became focused, maybe too focused, on Loewen."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At the time of the loss of the Loewen account the money for the 1994 Loewen endorsements had not been paid to the Continental. On December 2, 1994 Mr. Forge received a letter from the Continental informing him that the agency owed it $660,397 payable by December 31. When this notice was received the agency only had $14,000 in the U.S. bank account. Mr. Forge acknowledged that the agency suffered a loss of about $234,000 in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Forge was "surprised" by the amount allegedly owing. He did not sleep well that week-end and on Monday, December 5, 1994 he broke down in tears and talked to his wife. He told her about the notice from the Continental and that Tina Boolinoff said that this figure might be correct. Further, she had told him that the agency did not have that kind of money.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Subsequent letters from the Continental contained varying figures as to the amount owing. On March 28, 1995 Continental issued a demand for $509,000 to be paid by April 7. The trustee in bankruptcy approved these claims at over $800,000 but Mr. Forge is of the opinion that the trustee approved them at too high a figure.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December 9 Mrs. Forge went to the agency. Ms. Boolinoff informed Mrs. Forge of a plan that had been devised by Mr. Forge and they set out to put it in place. In conversations with Mr. Thompson, Mrs. Forge came to the conclusion that she could not trust him. She therefore gave him notice of termination. She also found Mr. Finch-Noyes uncooperative and similarly gave him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May 1, 1995 the agency went into voluntary bankruptcy. It was sold to Shaw Sabey &amp; Associates Ltd. Mr. Forge testified that the bankruptcy was partly a result of his head injury and but for that he would still be in business as an insurance broker. He conceded that the loss of the Loewen account was a factor in the bankruptcy as was a lack of proper accounting.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Anthony Thompson described the Loewen business as a "life or death" account. Loewen was buying two or three funeral businesses a week. "It was like grabbing a tiger by the tail." When he started with the agency the premium income from Loewen was about $70,000 a year but by 1994 it was over $4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November 1993 a Mr. Schuley was retained by Loewen as an independent risk management consultant. This, according to Mr. Thompson, put the agency under a great deal of pressure. The work load tripled. Mr. Schuley established a reporting deadline of December 8, 1993 that forced Mr. Forge and Mr. Thompson to work until midnight on that date. Consequently, other accounts received less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L.J. McDonald owns Shaw Sabey Ltd., the company that bought Nunns &amp; Spray on June 1, 1995. He met with Mr. Forge to discuss hiring him. However, as Mr. Forge did not have an insurance broker's licence this did not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PLAINTIFF'S HEALTH PRIOR TO SEPTEMBER 11,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Forge testified that in 1992 and 1993 he had some right shoulder and low back pain. He said that mentally he was sound and that he enjoyed his work and "life". Mr. Forge admitted to a business crisis in 1987 over which he lost some weight and sleep. However, he said that he continued with his athletic hobbies and continued to "have a lot of fun".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Michael Forge, the plaintiff's now fourteen year old son, testified that before the incident his father regularly took him fishing. He said that Mr. Forge was level-headed and would do almost anything and was almost always doing something. He gave examples such as gardening, playing tennis, and fishing.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Forge testified that Dr. Salvakone, a psychiatrist, came to the wrong conclusion in his report of May 1995 when he said that he "found that John's depression started around the year 1987." Mr. Forge said that he "absolutely" did not suffer depression from that date onwards.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Gable, Mr. Forge's general practitioner, in a report dated January 9, 1995 said that on December 8, 1994 Mr. Forge, on questioning, "admits to having been under stress since 1987 when, shortly after he bought an insurance agency, he found that it had huge, undisclosed debts." Mr. Forge said that this is incorrect. He said that the stress was "in" 1987. He testified that he told Dr. Gable that the 1987 business problems were a "stressor"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Gable testified that Mr. Forge had been a patient of his since 1989. He became better acquainted with Mr. Forge through the Vancouver Executive Club. Dr. Gable said that until 1993 the plaintiff's health had been good to excellent. He said that Mr. Forge was "always smiling and spoke easily." Dr. Gable's clinical notes between 1989 and 1993 record recurrent upper back pain, left eye weeping, and plugged 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Forge testified that he attended a chiropractor, Dr. Hargreaves, in 1992 and 1993. He saw him 39 times in 1992 and 10 times in 1993 before September 11. Mr. Forge testified that this was "primarily" for right shoulder and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Hargreaves' clinical record commences on September 1, 1992. He records that Mr. Forge had physiotherapy on his back in 1991. Dr. Hargreaves had many x-rays taken of Mr. Forge's spine and they revealed, to him, misalignment in the entire spine. There was slight lipping throughout the spine as well as spondylosis, i.e. alterations to the shape of the vertebrae. Dr. Hargreaves categorized these as degenerative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September 1, 1992 Dr. Hargreaves had Mr. Forge complete a questionnaire. In it he acknowledged loss of memory, fatigue, occasional muscle spasm in the neck, tightness of the shoulder muscles, neuritis in the shoulders and arms (with a question mark), mid and low back pain and pain in the lower left leg when he had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Throughout the time that Mr. Forge saw Dr. Hargreaves in 1992 Mr. Forge complained of problems with his back and right arm. There was one complaint regarding the neck. In 1993 prior to September 11 there were shoulder complaints and back complaints. There were continuing thoracic and pelvic adjustments. On August 31 Mr. Forge's low back was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Kvalheim is also a chiropractor. Mr. Forge started with him in May 1994. His clinical records for May 13, 1994 note that he was told by Mr. Forge that he "had severe upper back then low back ... started two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Forge testified that he had been to Mr. Komarnicky, an optometrist, at times before the accident. Mr. Komarnicky's records show this to have been in 1990 and 1993. Mr. Forge said that he had a peripheral vision problem and that glasses were prescribed. After the accident he again saw Mr. Komarnicky, but this was not until March 15,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TESTIMONY AS TO THE CONDITION OF MR. FORGE SUBSEQUENT TO SEPTEMBER 11,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St. Paul's Hospital emergency record shows that Mr. Forge attended at 2:21 p.m. and was discharged at 4:10 p.m. It records no loss of consciousness, a normal Glasgow Coma Scale response, a normal mental status and no back or neck problems. The diagnosis was "minor head injury."</w:t>
      </w:r>
      <w:r>
        <w:rPr>
          <w:rFonts w:ascii="arial" w:eastAsia="arial" w:hAnsi="arial" w:cs="arial"/>
          <w:sz w:val="20"/>
          <w:lang w:val="en-US" w:eastAsia="en-US" w:bidi="ar-SA"/>
        </w:rPr>
        <w:cr/>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Lay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Hastings testified on her examination for discovery that Mr. Forge looked "very dazed" and "unfocused" when she saw him immediately after the incident. She added that he seemed "woozy" and "did not appear to be fully conscious."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Mrs. Forge went to Granville Island and saw Mr. Forge sitting on a cot with an ice bag on his head. He had his head down between his legs. Mrs. Forge took her husband to St. Paul's Hospital. On his discharge she was given a "concussion sheet" that listed symptoms to note with respect to a head injury. She did not see any of the listed symptoms over the next 24 hours. Two days later Mrs. Forge noticed a jagged line on the left side of Mr. Forge's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J. McGregor saw Mr. Forge in the parking lot at the hospital on September 11, 1993. He looked pale and in shock. His speech was coherent but he did not say much. In the spring of 1994 Ms. McGregor went to Hawaii with the Forges. She thought that Mr. Forge "seemed a little lost" but she said that she got her impression mostly from what was said to her by Mrs. Forge. She has not seen much of the Forges since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Forge's son, Michael Forge, testified in accordance with his mother's evidence as to how his father was sitting, etc. at the scene of the incident. He said that in the week after the incident his father was not very talkative, that he would take a long time to answer and that his answers would not be helpful.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Forge has little recollection of being at St. Paul's Hospital. He said that over the next two days he had an excruciating headache. Mr. Forge testified that he was off work for a few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T.G. Seeton has known Mr. Forge since 1980. He testified that until 1993 Mr. Forge was a "detail man". He said that he could do almost anything and gave as an example Mr. Forge's repair of a tractor. He said that he was equally good at taking care of details in his business. Mr. Seeton found Mr. Forge to be outgoing and fun with a willingness to help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Seeton staged retreats and had one planned for Mr. Forge's insurance agency for October 1993. Mr. Forge told Mr. Seeton about the chair incident. Shortly thereafter Mr. Seeton and Mr. Forge drove together to Lord Jim's, the site of the retreat on the Sunshine Coast.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Seetons had a home at Sproat Lake. The Forges visited them at least once each year but have not done so since 1993. Mr. Seeton regarded Mr. Forge to be an avid boater and recalled that in November 1993 Mr. Forge bought a 48 foot yacht. Mr. Seeton said that Mr. Forge handled it much the same as his previous boat although "his knots were not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There was a second retreat in June 1994. Mr. Forge was there with his new boat. Mr. Forge was not experiencing any problems of which Mr. Seeton was aware but Mr. Seeton again felt that Mr. Forge had lost "spark". Nevertheless, he noticed that Mr. Forge participated in business discussions and in social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B. Adams met Mr. Forge in 1981. They socialized and became friends. Mr. Adams lived out of the country between 1988 and 1992 but on occasion he would see Mr. Forge. In 1994 they met at a party and he noticed that Mr. Forge "did not circulate as formerly." He found this "strange, different". When they met again in 1995 Mr. Adams found Mr. Forge to be aloof. Because of their infrequent contact Mr. Adams did not know of Mr. Forge's 1994 business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C. Flint is a cousin of the plaintiff. He worked in the plaintiff's agency in 1991. He found Mr. Forge to be a "very sharp individual." In September 1993 he dropped in at the agency and Mr. Forge looked terrible. He said that he had been hit by a chair. Mr. Flint said that Mr. Forge was not the same person. His attention span was limited and he was not able to explain how the insurance business worked.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Ross Tanner went to work for Nunns &amp; Spray, Mr. Forge's insurance agency, in 1991. Mr. Tanner said that there was nothing about Mr. Forge's behaviour that made an impression upon him after September 1993. He saw nothing different about Mr. Forge in 1993 after the chair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the spring of 1994 the agency was very busy and Mr. Tanner noticed that Mr. Forge was not getting things done. He and another employee, Ms. Mooney, would have to keep after him to do such things as renewals. He was also aware in the summer of 1994 that Mr. Forge was attending less at the office. However, at the monthly meetings Mr. Tanner saw no difference in Mr. Forge in his conversation about commercial insurance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At the two retreats at Lord Jim's Mr. Tanner noted that Mr. Forge participated. Mr. Tanner saw no difference in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Donalda Mooney commenced employment with Mr. Forge in 1991. She was called as a witness by the plaintiff but was introduced as a person hostile to the Forges. She agreed that she has "bad feelings" towards the Forges because of her termination from employment on January 6, 1995. However, I could detect no hint of unfairness in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Mooney, after having a suggestion made to her in late 1993, thought that Mr. Forge was taking longer to process files. On the other hand, she said that no "overt" problems arose and that he "procrastinated" even before the incident. She testified that it was only upon the loss of the Loewen account that he "was noticeably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Peter Clarke met Mr. Forge at a Vanex meeting. At a dinner in November 1993 Mr. Forge casually mentioned that he had been hit on the head by a chair. Mr. Clarke noted that Mr. Forge was bragging and he thought this was not in character. However, apart from this he saw nothing different about Mr. Forge.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D. Schindle is a life insurance agent and estate planner. He had a business relationship with Mr. Forge. He phoned him on September 13, 1993 and was told about the incident. Thereafter, their regular meetings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 meeting took place in June 1994 in Mr. Schindle's office. Mr. Forge had called about plans for the agency saying that he had paid off debts and wanted advice. Mr. Schindle described this as a good meeting lasting up to three hours. Mr. Schindle said that he made recommendations and that Mr. Forge "emphatically" did not want shareholders in the agency in the immediate future. Mr. Schindle did not see anything different about Mr. Forge at this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 week later there was another meeting at which "lo and behold" there was a discussion about employees becoming shareholders. A few days later Mr. Schindle spoke on the telephone with Mr. Forge about changes but Mr. Forge "did not give a good answer".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Schindle said that in 1994 Mr. Forge tended to be preoccupied from time to time. However, there was nothing unusual about this in business people: "they are busy". He noted that the plaintiff could be distant in some meetings but Mr. Schindle did not take this to suggest anything wrong or unusual.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W.C. Carson met Mr. Forge in 1986. Mr. Carson was with Federation Insurance Company and had a business relationship with the plaintiff. On October 5, 1993 Federation had an office opening party. Mr. Forge attended and spoke with Mr. Carson. Mr. Carson did not notice anything different about him. On November 12, 1993 he met with Mr. Forge to have Mr. Forge sign an agreement. They reviewed the agreement and he saw nothing different about Mr. Forge.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On February 1, 1994 Mr. Carson had lunch with Mr. Forge at which they discussed insurance coverage for the R.C.M.P. Mr. Carson testified that Mr. Forge did not "come through" with a coverage proposal. Mr. Carson said that this was out of character. As for his observations of Mr. Forge, he saw nothing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Carson did not hear of the chair incident until late in 1994. He saw Mr. Forge occasionally but in late 1994 Mrs. Forge asked him to quit communicating with her husband. She said that it would be better for Mr. Forge's health if he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There were other witnesses called by the plaintiff that are related to him. Mr. John S. Forge, the plaintiff's father, spoke of his son's work ethic and mechanical aptitude as being exceptional. He testified that the day after the incident he spoke with his son on the telephone and could detect a difference, that difference being vagueness.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plaintiff's mother, Mrs. Helen Forge, testified that after the incident her son became less communicative. He told her that he had a loss of memory that affected his work. She said that he had never been a procrastinator.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Mrs. Cheryl Forge, the wife of the plaintiff, testified that her husband returned to work within a few days of the incident. In February 1994 Mrs. Forge noticed conduct from Mr. Forge that was out of character. In particular, she said that while she was incapacitated due to a wrist injury he brought home "just enough food for dinner." Mrs. Forge asked Tina Boolinoff to keep an eye on him but never heard from Ms. Boolinoff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After he bought the 48 foot boat he "was never home ... never, ever home after that." Mrs. Forge thought that he was spending the days at work and the evenings on the boat. They went to Hawaii with the McGregors in the spring of 1994. Mr. Forge spent money to an unusual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Before the accident Mrs. Forge was aware of a good relationship between Mr. Forge and their children. She said that he had a good balance between work and family. Since the incident he has been short tempered with the children and "is in Christine's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However, in cross-examination it was suggested to her that when she took her husband to see Dr. Gable in December, 1994 he had symptoms that she had not seen before. These were tearfulness, no appetite and being "asleep for a few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She said that was correct and agreed that they caused her great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According to Mrs. Forge, her husband was a "ball of energy" before the incident. He used to design items and "could do anything." It is only recently that she has noticed him returning to some hobbies such as painting and playing the drums. Mrs. Forge testified that Mr. Forge now takes regular chiropractic treatment and attends Dr. Wild every second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Other witnesses were called by the defence. Mr. Anthony Thompson was hired by Nunns &amp; Spray on November 9, 1992. He was told that Mr. Forge had a heavy volume of work and needed assistance. Mr. Thompson worked on the Loewen account, the largest of the agency's accounts, along with Mr. Forge and Mr. Finch-Noyes. He testified that on the Monday after the accident Mr. Forge said that he had not been well on the weekend and that he had a headache. After two or three days the "issue seemed to go away and it was on with business". Mr. Thompson "definitely" does not remember Mr. Forge taking time off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October 1993 the agency held a retreat. Mr. Forge participated and was, according to Mr. Thompson, his "usual self". Up until December 1993 Mr. Thompson saw no change of personality or change in the working ability of the plaintiff. In early 1994 Mr. Schuley made further demands that increased the agency's workload. Mr. Thompson thereafter saw Mr. Forge for up to two hours a day. In June 1994 there was another retreat and once again Mr. Thompson saw Mr. Forge as an active participant.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It was not until Loewen terminated its business with the agency that Mr. Thompson saw a change in Mr. Forge. Mr. Forge became depressed and was less attentive to his work: "he lost the spring in his step." Mr. Thompson testified that the agency "died" after losing the Loewen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cross-examination it was suggested to him that he was hostile to the Forges because Mr. Forge terminated his employment. He agreed that he was unhappy and commenced a wrongful dismissal lawsuit. Nevertheless, I did not find Mr. Thompson to be vengeful. Mr. Thompson struck me as being an honest and reliable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testimony of Ms. Caroline Horne, an employee of Nunns &amp; Spray, was that she could not recall Mr. Forge taking any time from work after the accident nor did she see any change in his work habits or personality. He continued "the same as ever ... no difference." When the Loewen account was lost Mr. Forge was "no longer around." She met with him occasionally afterwards. She does not recall Mr. Forge suggesting that the accident caused business problems. He did suggest that Tina Boolinoff was a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Ms. Yvonne Flora worked at Nunns &amp; Spray from 1992 to 1995. She was an account manager and worked primarily on the Loewen account. She rarely had dealings with Mr. Forge but she saw him everyday in the office. They "talked together" and she saw no changes in him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G. Finch-Noyes was a commission salesman for Nunns &amp; Spray from 1987 until 1995. He played a major role in the acquisition of the Loewen account and he spent a large part of his time working on it. As such he was in contact on a daily basis with Mr. Forge.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He thinks that it was on the day of the accident that Mr. Forge came to the office with a "fairly obvious cut on his forehead." Mr. Forge was agitated but otherwise no different. Mr. Finch-Noyes cannot recall the plaintiff being off work thereafter because of the accident. Mr. Forge's involvement with Loewen remained the same with discussions between Mr. Forge and Mr. Finch-Noyes taking place on a daily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Finch-Noyes testified that until September of 1994, when the Loewen account was lost, there was no change whatsoever in Mr. Forge's personality or ability to handle business. He said that the loss of Loewen was a "huge blow" and that there was no contingency plan in place. He recalls that Mr. Forge did not come to work on December 6, 1994, nor did he attend the annual Christmas party on December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M.S. Cairns was the director of risk management for the Loewen Group in 1993 and 1994 and as well a vice-president. He had known Mr. Forge since 1987. Shortly after September 11, 1993, he had breakfast at a Delta hotel with the plaintiff, Mr. Thompson and Mr. Finch-Noyes. A joke was made about a plastic chair hitting Mr. Forge. He said that there was no obvious injury and that as to Mr. Forge, "I wouldn't have recognized any difference."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Cairns met with the plaintiff at business meetings in the United States between the fall of 1993 and the fall of 1994. He saw no changes in the plaintiff.</w:t>
      </w:r>
      <w:r>
        <w:rPr>
          <w:rFonts w:ascii="arial" w:eastAsia="arial" w:hAnsi="arial" w:cs="arial"/>
          <w:sz w:val="20"/>
          <w:lang w:val="en-US" w:eastAsia="en-US" w:bidi="ar-SA"/>
        </w:rPr>
        <w:cr/>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Treating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Gable saw Mr. Forge on September 13, 1993 for what he understood to be a blow to the head with no loss of consciousness. Mr. Forge made no complaints regarding vision or photophobia but did express the opinion that his skull had been fractured.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Forge testified that at the time of this visit he was suffering severe headaches, sensitivity to bright light, double peripheral vision and a grinding sensation in his neck. Dr. Gable recorded a headache for which tylenol was prescribed, a "goose" bump on the right temporo-occipital region, a sharp pain over the left temple, no loss of consciousness and a contracoup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Forge attended a chiropractor, Dr. Hargreaves, on September 16, 1993 for what he described as a clogged ear and for a "light problem" regarding his vision. Dr. Hargreaves' clinical notes say "different vision - left eye feels like squinting ... plugged ears, neck feels O.K." On palpation Dr. Hargreaves noted "very sensitive over lower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Gable saw the plaintiff on September 21, 1993 at which time Mr. Forge was not lethargic and showed no slowness of speech. Dr. Gable "reassured" Mr. Forge. Mr. Forge testified that he went to Dr. Gable on that date because of pain in the region of his temple and for a grinding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Hargreaves saw Mr. Forge frequently in the first three months. Dr. Hargreaves recorded on October 1 that Mr. Forge's low mid back was sore but his "other symptoms pretty well gone." He quoted Mr. Forge as saying that his neck was grinding. Mr. Forge terminated his relationship with Dr. Hargreaves on November 16, 1993 in that he found Dr. Hargreaves' adjustments too aggressive.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Gable saw Mr. Forge on November 1, 1993 but this was for an unrelated problem and no mention was made of the accident. It was not until September 14, 1994 that Dr. Gable again saw Mr. Forge. This was also for an unrelated problem and once again nothing was said about the accident. On September 17, 1994 Dr. Gable recorded that Mr. Forge looked healthy.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Gable's first medical notation of a mental problem was on December 8, 1994. Mr. Forge attended with Mrs. Forge who gave the history. She said that her husband was under stress and not very functional. Mr. Forge was close to tears. Dr. Gable's clinical notes for that date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Sudden severe financial problem 3 days ago. Not sleeping. Loss of appetite. On verge of tears. Home lying in bed per wife ... worrying to point of incapacity. Under stress since 1987 shortly after buying business, found huge debt. Lost huge account in September. Late insomnia for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cross-examination Dr. Gable agreed that before December 1994 Mr. Forge made no complaints of memory loss, tearfulness, insomnia, low energy, abdominal problems, loss of appetite, night sweats, bowel problems, tremors or peripheral vision. He said that the plaintiff did not have a "flat" presentation. In that same period of time Mr. Forge did not complain to Dr. Gable of business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response to a suggestion that he would have recorded these if they had been brought to his attention by Mr. Forge, Dr. Gable said that he is "obsessive" about recording significant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On December 8, 1994 Dr. Gable prescribed an anti-depressant medication. In January 1995 Dr. Gable suggested a referral to a neurologist and made a referral to a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Kvalheim was the next chiropractor to see Mr. Forge. He recorded on May 13, 1994 that he was told by Mr. Forge that since the chair incident he had a "crunching noise in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On August 17, 1995 Mr. Forge completed an application for disability benefits. He stated that he had severe clinical depression but he left blank the spaces provided for information as to "other health-related conditions" and as to difficulties or limitations with "walking, lifting, reaching or bending."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However, in a disability claim to an insurer in March 1995 Mr. Forge said that the chair had caused "head and neck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Dr. Mamacos took over Dr. Gable's practice and saw Mr. Forge for the first time in July 1995. He wrote reports saying that Mr. Forge had been suffering from depression. Mr. Forge filled in a form for Dr. Mamacos saying that he had been suffering from depression since December 6, 1994.</w:t>
      </w:r>
      <w:r>
        <w:rPr>
          <w:rFonts w:ascii="arial" w:eastAsia="arial" w:hAnsi="arial" w:cs="arial"/>
          <w:sz w:val="20"/>
          <w:lang w:val="en-US" w:eastAsia="en-US" w:bidi="ar-SA"/>
        </w:rPr>
        <w:cr/>
      </w:r>
    </w:p>
    <w:p>
      <w:pPr>
        <w:numPr>
          <w:numId w:val="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Medical-legal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Dr. J. Oger is a neurologist who saw the plaintiff only once. That was on January 27, 1995. With respect to vision, Mr. Forge complained to him of only some photophobia. However, he also complained of headaches. Dr. Oger said that his complaints together with the fact that he was knocked down suggested some short brain dysfunction. He noted that Dr. Gable diagnosed depression and he testified that depression can be a symptom of brain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Taking into account the photophobia, Dr. Oger "would have been of the opinion" that Mr. Forge had a subarachnoid hemorrhage. Dr. Oger, when pressed on cross-examination, said that while he is not positive, he is of the opinion that there is an 80% chance that Mr. Forge had a subarachnoid hemorrhage. He ordered a CT scan when he saw Mr. Forge and it was read as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Dr. Gordon Robinson is also a neurologist. His cranial nerve examination of the plaintiff was negative. He said that regardless of what documentation he was given he would find that there was no traumatic brain injury. He testified that the key to this diagnosis is that the plaintiff had good recall of events immediately after the blow to the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G. Hirsch is a rehabilitation and physical medicine specialist. His cranial nerve examination of the plaintiff was negative. He said, in his report, that the plaintiff's "primary problem is a depression and not due to primarily a cognitive deficit as a consequence of the mild traumatic brain injury in the fall of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J. Lindley is an opthamologist who saw the plaintiff for the first time on April 20, 1999. In her medical-legal report she says that she diagnosed "broken pursuit" and says that it is more prominent in the plaintiff than is normal for his age group. Broken pursuit is the inability of the brainstem to smoothly follow an object. In her report Dr. Lindley said that this condition is "probably secondary to a closed head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In her trial testimony Dr. Lindley said that a host of conditions can produce broken pursuit. However, she saw none of those in Mr. Forge. She agreed that broken pursuit is a "soft sign", meaning that some medical people will "pick it up, some will not." It is a "subtle" diagnostic symptom with "no localizing value as an assessment tool." Dr. Lindley explained that this means that she "can't be very specific as to its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her report Dr. Lindley said that Mr. Forge has "slowed accommodation possibly secondary to head injury." At trial she said that accommodation is the ability to change focus from an item far afield to an item that is close. She said that a head injury is but one of the possibilities for this condition. She looked for but could not find any central nervous system abnormalities.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Dr. Lindley ordered a CT scan that was subsequently reported as normal with respect to bony aspects of the head and brain tissue. At trial Dr. Lindley said that it was his reaction time that was her concern. However, she stated that if visual field problems were from the chair incident they would have arisen shortly after the blow, not 5 years later. In any event, she said that these visual field "matters" are not the problem; the problem is the broken pursuit.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D.H. Zackon is an opthamologist. He testified that broken pursuit is not of much significance in diagnosing brain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Dr. Ursula Wild is a registered psychologist. She first saw Mr. Forge on December 8, 1997. In a report dated April 16, 1999 Dr. Wild said that "symptoms and complaints" were consistent with a post-concussion disorder. She added that "five and a half years post injury, it is difficult to pin-point exact causation of his ongoing problems." She speculated that they are "most likely" a "complex interaction" of the "acute effect" of a head injury and his emotional reaction thereto.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Dr. Wild testified that the major limiting factors in Mr. Forge's vocational functioning are his cognitive difficulties, emotional reactivity, low stress tolerance and easy fatigueability. Dr. Wild said that she sees a head injury as "a very important factor in the causation." She said that while it is "very difficult" to say, her thinking is that the symptomotology started when Mr. Forge "received a head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Wild said that she determined the "acute effects" from Mr. Forge's self-reports, from talking to Mrs. Forge and from reading medical information. Similarly, her "initial impression" that there was a mild traumatic brain injury was "based primarily" upon Mr. Forge's self-reports.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Dr. David Crockett is a psychologist. He interviewed and tested Mr. Forge in February 1999. He had a lengthy telephone interview with Mrs. Forge. He prepared a forty-eight page report dated February 26, 1999 that concluded with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Thus, although the physical affects [sic] of his injury were not large, the psychological and emotional consequence of his involvement of [sic] the accident in question has been enormous for Mr. Forge.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Dr. Crockett's "Summary and Conclusions" commence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opinion Mr. Forge's difficulties stemmed from his being accidentally struck by a chair. While the seeming consequence [sic] of this accident outweigh the medical significance, it is also true that Mr. Forge was vulnerable to the effects of accumulated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Dr. Crockett goes on to deal at length with what he was told by Mr. Forge. In cross-examination Dr. Crockett agreed that the "self-reporting" of Mr. Forge was an important element of his report. The stressful events in Mr. Forge's life were put to Dr. Crockett. He conceded that he knew of none of these and that these could account for a major depression and that all of them would be "significant stressors".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Summary to Dr. Crockett's report contains comments upon some of the testing, for instance: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Forge functioned within the intact Average range on both measures of abstract reasoning, indicating an absence of signs of diffused generalized changes in Mr. Forge's problem solving abilities and cognitive flexibility. This would be consistent both with the type and with location of injury Mr. Forge likely experienced to his head and his medical history since the accident. That is, rather than reporting generalized dysfunction, Mr. Forge's problems of adjustment to everyday life and competitive situations stemmed from a pattern of subtle and variable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self-reporting by Forge has, according to Dr. Crockett, "an overriding emotional component. It could be depression or it could be a blow to the person's self-esteem putting the person on a slippery slope." Dr. Crockett testified that he would have expected Mr. Forge to be able to "bounce back" from the blow to the head. He said that the reason for having not done so might be because "he is older, the pressure cooker just blew."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D. Coen is a psychologist. He was retained by the defendants to give an opinion as to the mental status of Mr. Forge and as to the cause thereof. However, Dr. Coen came to the opinion that tests on Mr. Forge were so suspect as to validity that there was no point in carrying on with the testing. Dr. Coen gave several examples of how the test results indicated invalidity: for instance, scores on memory that improved with the passage of time, something that he called a "striking inconsistency".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He gave examples of the possible reasons for the invalidity as a lack of motivation on the part of Mr. Forge, a psychosis, medication, sleep deprivation, fatigue, or malingering. The reason therefore might be any one or combination of these and Dr. Coen left that determination to the Court. His important conclusion is that because of the lack of validity in testing "no psychologist can say if Mr. Forge has a mild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R. Freeman is a neuropsychologist who gave evidence by the filing of his report. He examined and tested Mr. Forge on two occasions in 1997. He concluded that Mr. Forge suffers "a significant psychosocial and vocational impairment resulting from a combination of factors. He concluded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I am of the opinion that a mild head injury may well have contributed to the initial disturbance in psychosocial functioning, I think that this is a relatively less important issue in terms of his current status and prognosis. Whatever impairment might have been produced by mild head injury initially, his loss of a sense of mental acuity combined with his perfectionistic tendencies caused him great anxiety, with which he appears to have coped by withdrawal, avoidance and denial.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r>
        <w:rPr>
          <w:rFonts w:ascii="arial" w:eastAsia="arial" w:hAnsi="arial" w:cs="arial"/>
          <w:sz w:val="20"/>
          <w:lang w:val="en-US" w:eastAsia="en-US" w:bidi="ar-SA"/>
        </w:rPr>
        <w:cr/>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Mr. Forge testified that "a few days after" the incident he went to work and thereafter he went to the office every day although not full time. He said that he needed quiet. He would take files to his boat and would work on them individually. He said that he could not handle interruptions and telephone calls. Mr. Forge said that for the first three months after the incident he suffered headaches and double vision. He also said that when writing letters he would lose his train of thought.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There is also evidence from others that Mr. Forge was not the same person in 1994. However, neither the point of embarkation nor the reason therefore is clear. There is uncontroverted evidence that Mr. Forge has depression. The time of the onset of that condition and the cause are what must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 found Ms. Horne, Ms. Flora, Mr. Finch-Noyes and Mr. Thompson, all of whom worked with Mr. Forge, to be credible witnesses. I did not sense that they were hostile towards the plaintiff. They testified, in my opinion, as to what they saw and heard. The general tenor of their evidence was that until the loss of the Loewen account Mr. Forge "was the same as 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 Tanner, who worked for the agency, saw no behavioural differences in Mr. Forge in 1993. It was not until the spring of 1994 that he noted that Mr. Forge was "not getting things done." Even then, he saw no difference in Mr. Forge at the monthly meetings.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Schindle saw nothing wrong or unusual in Mr. Forge in 1994. Mr. Carson did not notice anything different about Mr. Forge in October and November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All of this evidence must be weighed against the evidence of those who saw differences in him. Mr. Seeton noticed a lack of spark in Mr. Forge in June 1994. However, in October 1993 he did not notice any difference in Mr. Forge. In 1994 Mr. Adams thought that Mr. Forge was "different" at a party in that he did not circulate.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 Forge's relatives testified as to differences in Mr. Forge's behaviour. However, it must be kept in mind that Mr. Forge's mental problem is depression. Mrs. Forge testified that it was in December 1994 that for the first time she saw symptoms of depression in her husband. This was by way of tearfulness, loss of appetite and staying in bed to the point of incapacity. She said that these were new symptoms that caused her great concern. She therefore took Mr. Forge to Dr. Gable on December 8, 1994. This was the first time since September 21, 1993 that Dr. Gable had seen Mr. Forge for symptoms that could be relevant to the matter of this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Dr. Gable's early observations and records are important. On September 13, 1993 Dr. Gable understood that there had been no loss of consciousness and there were no complaints regarding vision. A skull x-ray was negative. Mr. Forge next visited Dr. Gable on September 21, 1993. Dr. Gable concluded that "it was a minor matter and expected it to clear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On November 1, 1993 Mr. Forge saw Dr. Gable for an unrelated matter but made no mention of anything related to the blow to the head. It is significant that Mr. Forge did not see Dr. Gable again until September 14, 1994 at which time he made no mention of any injuries from the accident. On September 17, 1994 Dr. Gable recorded that Mr. Forge looked healthy.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Mr. Forge testified that he did not go to Dr. Gable between September 21, 1993 and December 8, 1994 regarding his mental condition because he had a friend with similar problems who suffered rebuffs from revealing them. Mr. Forge said that people lost confidence in the man. Mr. Forge testified that he "was under the illusion" that he could "do it on [his]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Even should I accept this unusual explanation, the fact remains that there was no medical attention or even a complaint to a medical person for a year, a year that must be regarded as critical in the assessment of the alleged brain injury and resulting sequelae.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Dr. Gable's report of January 8, 1995 states that the "problem is complicated by the diagnosis (made by me) of severe clinical depression on December 8, 1994." He went on to detail what he had been told by Mr. Forge and that Mr. Forge "admits to having been under stress since 1987." Mr. Forge is also recorded as saying that he had been suffering from "late insomnia for years and had had another business setback in September,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At trial Dr. Gable testified that he believes that he was in error in his original diagnosis of only a mild head injury. He said that this is because of self-reports from Mr. Forge and because he has read expert reports. However, he agreed that those reports are also based upon self-reports from Mr. Forge.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There has been an admitted rethinking of this case by Dr. Gable. However, in a report to Mr. Forge's insurer dated March 16, 1995 Dr. Gable detailed the depressive symptoms, reiterated his diagnosis of depressive illness and said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Forge has been my patient since August 18, 1989. I first saw him with regard to this illness on December 8,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All of the expert witnesses testified that depression can have many causes. One of the precipitating factors can be stress. Mr. Forge had many "stressors" in his life. Some of these were present before the chair incident, some after but before the diagnosis of depression and some after the diagnosis.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Those stressors commenced in 1987 when Mr. Forge discovered that he had been betrayed by Mr. Nunns as to the net income of the agency and had not been fully informed as to the agency's indebtedness. Mr. Forge classified this as a "business crisis". He testified that the business deficit for that year was resolved but also acknowledged that the deficit continued. The evidence corroborates the latter.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There is evidence, denied by Mr. Forge, that his depression started in 1987. Regardless, there is no doubt that business problems commenced in that year and continued. The Loewen account and how it was to be handled was a concern of Mr. Forge and, unfortunately, he never resolved the problem. He knew that the account "was under attack". It was lost to the agency in the fall of 1994 and Mr. Forge saw it coming.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Forge attributes this, in part, to the head injury but other evidence outweighs that opinion. The letter from Loewen of March 15, 1995 to Mr. Forge indicates that there were problems since 1993 although not uncovered by Loewen at the time. Furthermore, counsel for Mr. Forge said that it was not being asserted that the loss of the Loewen account could be attributed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 Stevens said, and I agree with him, that the evidence does not bear out such a contention. That being the case it is significant that Mr. Forge still holds the view that his head injury contributed to the loss of the account. This is supportive of evidence that suggests that Mr. Forge fastened upon the accident to explain his problems in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Mr. Forge testified that the loss of the Loewen account in September 1994 was not of great concern. I do not accept that to be the case. The assertion by Mr. Forge as to his lack of concern is not only contrary to the whole of the evidence and common sense but reflects poorly upon Mr. Forge's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 Stevens referred to evidence that when Mr. Forge received the information when he was on his boat that the Loewen account had been lost he showed no surprise. Mr. Forge might have hidden his concern, but the loss of Loewen must have been a blow and must have been stressful.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Mr. Forge had considerable stress to deal with before the incident in September 1993 and much more afterwards. In November 1993 Mr. Forge purchased a 48 foot boat for $275,000. He secured a $225,000 bank loan, $5,000 from Mrs. Forge and the balance from the agency. The boat expenses from then until February, 1995 show in the documents as being $21,593 and they were paid by the agency. The boat was put up for sale in late 1995 but not before there had been a seizure of the boat. Mr. Forge acknowledged that the seizure was a shock to him and was upsetting.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In December 1993 Mr. Forge agreed to share equally with Tina Boolinoff in a condominium for Ms. Boolinoff. The deposit of $60,000 was taken out of the agency. Mr. Forge testified that he "ended up paying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A writ of summons was issued by The Continental Insurance Company in September, 1995. Mr. Forge said that he realized that the insurance company was looking to him personally and to his assets. A certificate of pending litigation was placed against his home. Mr. Forge acknowledged that this litigation caused him "considerable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On October 25, 1995 a writ was issued by the trustee in bankruptcy of John Forge Holdings Ltd. The claim was for $336,874. The trustee was attempting to recover money from artwork owned by the company that had been in the Forge home and Boolinoff condominium. Mr. Forge agreed that this caused him "considerable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On January 16, 1996 The Federation Insurance Company brought action against the Forges for a return of premiums of $71,000. Judgment was rendered against Mr. Forge on May 7, 1996 for $91,000. Mr. Forge testified that this did not help to relieve the stress that "had been going on for a couple of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In August 1996 the trustee in bankruptcy made a petition to put Mr. Forge into personal bankruptcy. This caused Mr. Forge "considerable stress". Further stress was caused by the refusal of Mr. Forge's disability insurer to make disability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In cross-examination at the trial, Dr. Mamacos, in the context of the loss of Mr. Forge's business, agreed that the stresses faced by Mr. Forge were significant factors that could lead anyone to be depressed. He further agreed that those stresses could have brought about the major depression from which Mr. Forge suffers.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Dr. Oger was concerned by Mr. Forge's depression. He said that Mr. Forge had "all the elements of a major monopolar depressive disorder". So much so that he elected to have him seen by the psychiatry service on an emergency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Dr. Oger is of the opinion that Mr. Forge probably suffered a "fairly benign traumatic subarachnoid hemorrhage." He said that "benign" means that the hemorrhage is of the lowest grade within which the symptoms are not accompanied by neurological deficits.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Dr. Oger's opinion that Mr. Forge had a subarachnoid hemmorrhage is based on hindsight and upon the history as given to him by Mr. Forge. He seemed to come to his decision based, at least to a significant degree, upon his understanding that the results of the blow were such that Mr. Forge "went down". He explained that the "knock down" meant a loss of tone therefore a fall. The fact is that neither the force of the blow nor the results of the blow caused Mr. Forge to be either knocked down or to fall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Dr. Robinson testified that Dr. Oger's opinion regarding a subarachnoid hemmorrhage causing brain damage is "a preposterous opinion." He testified that such a hemmorrhage causes headaches, maybe for a few days, but does not and cannot cause brain tissue damage. This accords with Dr. Mamacos' opinion in 1997 that Mr. Forge's condition was not such as would gain him admission to a brain injury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Dr. Zackon said that he had reviewed Dr. Oger's reports but that he, that is Dr. Zackon, had no evidence of a subarachnoid hemmorhage. He noted that there is no evidence of bilateral optic neuropathy. Dr. Lindley noted a pale appearance of the optic nerve but Dr. Zackon said that this was not at the relevant period of time, that is in or about 1993 or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find it not proven that Mr. Forge suffered a subarachnoid hemmorrhage.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In spite of the enormous effort put into this matter by Dr. Crockett, I do not find his product of assistance in deciding this case. Dr. Crockett was referred to the conclusion in his report that Mr. Forge had suffered frontal lobe damage. He responded that Mr. Forge had suffered a mild traumatic brain injury that, in the circumstances in which he found himself, had dire results. However, Dr. Gable, a medical doctor, testified that if his original diagnosis of a minor head injury is correct, then there is little chance of neuro-psychological impairment arising therefrom.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In not according weight to Dr. Crockett's opinion I should note that I was of that frame of mind at the conclusion of the plaintiff's case. However, that decision was reinforced by the evidence of Dr. S. Anderson who "had difficulty fully understanding Dr. Crockett's conclusions" and by the testimony of Dr. Coen.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 do not find Dr. Freeman's report to be of assistance. Most of his findings appear to be based more upon self-reports from Mr. Forge and what he was told by Mrs. Forge than upon his testing. Explanations of the tests are set out in the report but nothing is said as to their results or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Dr. Ursula Wild, a psychologist, similarly based her opinion upon self-reports. This weakens her opinion. Mr. Stevens, in his closing submissions, made specific reference to the answers to a series of questions put to Dr. Wild by the Court. A transcript was produced of that exchange. A review of that transcript confirms the conclusion that I came to at the conclusion of Dr. Wild's evidence, that is that she was unsure of her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In his written report of April 14, 1999, Dr. Robinson said that the "blow to the head did nothing more than precipitate the emotional crisis that was about to happen." During cross-examination he reflected on his original report and testified that he would not even accede to the suggestion that the chair incident was a precipitant of "anything". He said that in considering this case in preparation for giving evidence at the trial he had come to the opinion that the blow "was not a pivotal point" in the plaintiff's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Dr. Robinson said that in neurological medical terms Mr. Forge did not suffer even a concussion. His testimony was that the time immediately after the blow is the critical time for assessment and that the plaintiff's memory was "exquisite" for that time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Dr. Robinson said that Mr. Forge has focused on the accident as the trigger to his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was impressed with the evidence of Dr. Robinson.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 was also impressed with the bearing and evidence of Dr. S. Anderson. Dr. Anderson is a psychiatrist and he has particularly good qualifications upon which to base his testimony. He is a consultant to the trauma unit at Vancouver General Hospital. As such he is intimately involved with cases involving head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Dr. Anderson testified that the necessary criteria for a diagnosis of post concussion syndrome are not present. He said that this is a diagnosis that falls into the speciality of psychiatry. He articulated the criteria, referred specifically to the post-accident medical history of the plaintiff and concluded that the criteria are not fulfilled.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criteria include cognitive deficits. The plaintiff had such but they were short lived. Dr. Anderson said that with a blunt head injury, which is what Mr. Forge experienced, "it is most unusual to have ongoing cognitive problems." He has only seen this in patients who have suffered repeated head injuries. Dr. Anderson's report expands on this oral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 was impressed with Dr. Coen's conclusions regarding the lack of validity of psychological tests on Mr. Forge and with his opinion that "no psychologist can say if Mr. Forge has a mild traumatic brain injury." I questioned Dr. Coen as to how to apply the evidence to the factors that he had enumerated that might account for Mr. Forge's false test results. Dr. Coen said that the "Court should get an overall biographical picture and set aside the competing psychological reports." This approach struck me, in the context of this case, as most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This approach gains stature from the comments of Dr. D.J. Magrega, also a psychologist. Dr. Magrega's report points out that a "basic difficulty with assessing someone in this situation is that we typically have to rely on their self-report both verbally and how they present on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As is not uncommon in personal injury cases, the medical reports are no better than the material on which they rely. In this case the reports rely to a particularly great extent upon what Mr. Forge reported. This is because there is almost no physical, that is objective, evidence. Consequently, as suggested by Dr. Coen, the Court is in a better position than the doctors in that it has heard more evidence, and particularly evidence that has been challenged by cross-examination, than was available to the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plaintiff's expert on the claim for damages from a business loss was Mr. G.F. Taunton of PETA Consultants Ltd. Mr. Taunton prepared a report dated February 25, 1999 that provides "estimates of loss ... primarily for illustrative purposes." In round figures it sets forth the past loss at $1 million, the future income loss at $3.8 million and the loss of a business asset at between one and two million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 do not find Mr. Taunton's report to be of assistance in establishing the cause of the business going downhill nor as to the damages. It is based upon many assumptions. The first two are that Mr. Forge would have continued with his business until age 65 and that as a result of injuries he was unable to return to his previous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Mr. Taunton further assumed that additional revenue "could have been achieved through acquisitions of other existing agencies", and that "Mr. Forge would have been capable of replacing the sales revenue lost due to the foregone Loewen account, absent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Other assumptions made by Mr. Taunton were that "Mr. Forge's absence allowed for the premium income to be appropriated in an improper manner." Mr. Taunton said that he "was instructed to assume that, absent the incident, this improper behavior would not have taken place, since Mr. Forge would have been active in the day-to-day operation of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Mr. Taunton further said that it was his "understanding" that following the incident Mr. Forge was unable to operate his firm effectively and that his neglect, "due to injuries" resulted in the firm's bankruptcy. Mr. Taunton agreed in cross-examination that he did his calculations based upon the assumptions given to him. I am not critical of Mr. Taunton for his acceptance of the assumptions. Mr. Taunton was bound to act in accordance with his instructions and counsel for the plaintiff was proceeding with confidence, or at least hope, that he could establish the assumptions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Unfortunately for the plaintiff, I cannot find in the evidence substantiation for the majority of the assumptions. It might be argued that substantiation could be found by inferences, but such inferences would necessarily ignore the evidence. Mr. Taunton's said that his figures were "for illustrative purposes". That is about the extent of their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Mr. Taunton conceded in cross-examination that the "current assets" of the agency were, in some years, less than the "current liabilities" and that there was a potential liquidity problem. The only offsetting factor that Mr. Taunton could see was that in 1993 there was a line of credit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Mr. Taunton testified that "all [he] had to work on" were year-end financial statements. That is, he did not have available to him the working documents or the bankruptcy documents. He said that he "spoke only to Mr. Forge and looked at the Forges' income tax statements" and it was "only" these that formed the basis of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Mr. Taunton agreed that his figure for past income loss is for Mr. Forge's holding company and does not take into account dividends to the plaintiff. As to the future income loss, it does not take into account possible income earned by Mr. Forge.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A calculation by Mr. Taunton of a 12.15% growth rate for the agency did not include specific accounts. He did not know of the significant growth of the Loewen account. Mr. Taunton said that he "just looked at the history of the growth rate pattern." Consequently, I must pay little heed to his calculations for future income loss into which that growth rate is a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Mr. Taunton testified that as to the business asset value, he "simply" relied upon the way Mr. Forge had purchased the business, i.e. sales multiples. He did not investigate how insurance agencies generally sell nor the history of sales in the industry. Nor did he take into account that in the plaintiff's agency there were independent contractors.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Mr. Taunton prepared a second report dated April 20, 1999. It is a response to a report from Price Waterhouse. In cross-examination Mr. Taunton conceded that he did not know of the large potential of the claim from Continental. He also agreed that he did not know that the U.S. account of the plaintiff contained only a small amount of money. Mr. Taunton said that "we had no knowledge of other obligations. If we had I might have had another opinion." I find that to be a telling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Price Waterhouse opinion was authored by Mr. R. Sandy. He concluded that the "primary reason for the bankruptcy ... was the working capital crisis brought on by the loss" of the Loewen account. This deficiency started as early as "at least 1987."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Mr. Sandy testified that the amounts collected from Loewen were "not being promptly remitted to the Continental Insurance Company." He referred to the report that shows the amount owing to have been $1.4 million at the end of 1993 and $1.107 million at the end of 1994. He further referred to the report that says that the agency "was contravening the agency agreement with Continental by financing its operations using a 'lapping' scheme on the Loewen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report further noted that in 1994 the Forges "withdrew $436,087 even though the company's operations generated a negative flow of $162,000." It further states that if Mr. Forge had been "managing the company properly before the accident he and his wife would not have 'drained out' large portions of the available cash flow for their own personal use or financed the operations using trust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Mr. Cairns testified that Mr. Forge's role in obtaining the Loewen account for his agency was "significant." He continued to deal with the plaintiff over the time that the account was with Nunns &amp; Spray. He said that Loewen paid one-third down on insurance contracts and the balance over nine installments. He testified that "it came to light" from the Continental that "we were actually on a twelve month schedule." Mr. Cairns spoke to Mr. Forge about this and "got a story" supporting the "balloon" schedule. Mr. Cairns said that "Nunns &amp; Spray had totally misrepresented this to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Acquisition premiums were paid within sixty days. He said that "we ended up fronting Nunns &amp; Spray on premiums for acquisitions" in that the agency was not paying Continental until the end of each year "but we were paying on acquisition."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He also testified that Loewen was "shocked" to find that the commission payable to Nunns &amp; Spray was not as high as had been represented. Further, he said that contrary to what was held out by the agency, the commission was not non-refundable and non-pro rateable and fully earned at the beginning of the year. He categorized this as a "ludicrous" suggestion.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Ernst &amp; Young is the trustee in bankruptcy for John Forge Holdings Ltd. Mr. L. Prentice, a chartered accountant with Ernst &amp; Young, gave oral evidence. He noted that the Proof of Claim filed by the Continental was $833,219, a figure that was confirmed by the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He further said that the agency invoiced Loewen for acquisitions but that no "timely" obligation existed for the agency to pay the Continental. The Continental was not paid until the "following"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Mr. Prentice said that the agency's accounting records were "in a shambles" for 1994. It was necessary for Ernst &amp; Young to go through all of the banking records in order to determine the financial picture. Mr. Stevens submitted that the condition of the agency's financial records was a direct result of the inadequate work effort of Ms. Boolinoff and that the failure of Mr. Forge to see to their quality was due to his damaged mental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That contention I can accept only as conjecture. While there is some evidence that Mr. Forge paid less attention to some accounts in the year after the accident, there is no satisfactory evidence that he was mentally or physically unable to oversee the financial affairs of the agency. Mr. Stevens pointed to a memorandum from Mr. Finch-Noyes to Mr. Forge making many suggestions with respect to the administration of the agency. He submitted that this indicates that the affairs of the agency were unsatisfactory and that the reason was Mr. Forge's inability to be "mentally present." I do not accept this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 have tried to review and assess all of the evidence, not just those portions that I have included in these reasons. I have also assessed the witnesses as to credibility and, even where credibility remained intact, have assigned various degrees of weight to segments of evidence. For the most part the credibility of the witnesses in this case was not undermined. Rather, the weight of their evidence was weakened by various factors, many of which I have tried to set forth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It was only Mr. Forge who came under direct attack as to credibility. There were such matters as his spinal condition before the incident, his assertion that the agency was not "lapping" and his failure to declare a portion of a $253,537 draw on a shareholder's loan as income in his 1994 income tax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 found some curious turns in his testimony. Furthermore, Mr. Forge's testimony must be weighed against all of the other evidence. In many instances there is other evidence that is more reliable. The contradictions between Mr. Forge's evidence as to his physical and mental condition after the accident viewed in the context of the evidence of many other witnesses raises a concern as to the reliability of his testimony. Plaintiff's counsel attempted to illustrate that several of Mr. Forge's business associates had reason to be unhappy with Mr. Forge. That was established but it did not emerge that they were less than honest in their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Mr. Forge's credibility was also weakened by his evidence regarding business practices and by his testimony regarding the Loewen account. He strove to keep the account yet he testified that it was of little value to the agency. This assertion is, in my opinion, suspect.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It was suggested to Mr. Forge in cross-examination that as of May 1995 the agency did not have funds to meet its obligations to insurers. Mr. Forge answered by referring to a line of credit and to other matters. Examination for discovery questions and answers were then put to Mr. Forge in which he acknowledged the proposition that had been put by defence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These findings of weaknesses in Mr. Forge's credibility affect not only his trial testimony, but undermine the medical reports. As I pointed out, many of them depended to a large degree on self-reports from Mr. Forge.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"Depression" is the medical diagnosis of Mr. Forge's condition. The evidence of his business associates is overwhelmingly in favour of a conclusion that between the time of the accident and the loss of the Loewen account Mr. Forge's personality and business ability were "as usual".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It was on December 8, 1994 that Dr. Gable first had any reason to make a clinical record of any mental problem with Mr. Forge. The timing of the onset of depression was coincidental with the loss of the Loewen account. Defence counsel assert that the loss of the account "never was" attributed to the accident. That was not known to me until the closing moments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 find in accordance with the evidence of Mr. Finch-Noyes and Mr. Thompson that the loss of the Loewen account was devastating to the agency and to Mr. Forge.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It is not surprising that Mr. Forge became depressed. Mr. and Mrs. Forge had been living on money not yet secure in their wallets. Because of the financial schemes of the agency much of Mr. Forge's income was on an unstable foundation. If the call came to account he would be in a tight financial corner. It came and he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contention is that Mr. Forge would have been able to overcome that loss "but for" the effects of the accident. That has not been established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 evidence from Price Waterhouse, Ernst &amp; Young and Mr. Cairns paints a picture of questionable business practices. The agency was in a precarious position and this had to be known to Mr. Forge. This knowledge and the potential for the house of cards coming down must have been a significant strain upon Mr. Forge. When the house did come down he had to have some ready explanation, and the chair incident was seized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Dr. Robinson's opinion that Mr. Forge has focused on the accident and created it as the "trigger" is in accord with my conclusion. The following statement form Dr. Magrega is compatible: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etiology of his depression, the picture is somewhat clouded, although the weight of the evidence in my mind suggests that there were enough financial pressures with insufficient medical documentation in the critical first few months post-injury to suggest concern over sequelae from the head trauma, that financial pressures be considered the real problem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medical speculation, and with respect that is what it is, does not establish any significant head injury nor any brain damage. The further medical speculation that whatever happened in the accident was a factor in the depression does not accord with the overall evidence in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With respect to the plaintiff's claim that he received a back and neck injury, the evidence does not establish such an injury. There is a history of spine and shoulder problems pre-dating the accident in question. Dr. Hargreaves testified that the treatments that he gave to Mr. Forge before the incident were the same as the treatments that he gave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Mr. Lindsay summarized the defendants' position as being that the plaintiff's "condition today is totally unrelated to the events of September 11, 1993. He suffers depression unrelated to the accident." I agree with that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The result is that the plaintiff fell far short of establishing that his depression and business losses were caused or contributed to by the accident. He did not satisfy the onus upon him of proving, on a balance of probabilities, that the accident was a "trigger, pivotal point or a precipitating event" in his condition or losses. Consequently, the legal principles articulated in Athey v. Leonati, </w:t>
      </w:r>
      <w:hyperlink r:id="rId9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are not 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xml:space="preserve">  If it were necessary to determine the quantum of the business loss I would not find Mr. Taunton's figures to be helpful. If it were found that liability rested with the defendants, their responsibility, as articulated in Athey, would be to place the plaintiff "in the position 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'original position'). However, the plaintiff is not to be placed in a position better than his original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Mr. Stevens has submitted the business loss at Mr. Taunton's figures. They are, in round figures, $1.2 million for past income loss, $3.7 million for lost capacity to earn and $1 million for a lost business asset. These figures would place Mr. Forge in a position infinitely "better than his original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The amount claimed for special damages is also unsupportable at law. They are claimed at $200,000 to the end of 1999 with a further $140,000 claimed for future expenses. It might be that there are some special damages attached to the head injury. If they cannot be agreed upon I will hear further from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What the plaintiff has succeeded in doing is establishing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upon the defendants resulting in a minor head injury. This injury was of short duration and did not precipitate or cause depression or a business loss. Mr. Lindsay suggested a figure of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If the injury was as he painted it, and as I have found it to be, that is a bump to the head with short-lived minor consequences, that figure is generous. However, it is a figure to which the defendants agree and is so ordered.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THACKRAY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0" style="position:absolute;z-index:2518251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Hadden v. Lynch, [2008] B.C.J. No. 418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R.J. Bauman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18-19,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7,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M064633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418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295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165 A.C.W.S. (3d) 759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Paul Hadden, Plaintiff, and Juston Barrie Lynch and the City of Coquitlam,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1"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8" w:name="Keywords_13"/>
      <w:bookmarkEnd w:id="88"/>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Action by plaintiff cyclist for damages arising from a collision with defendant truck driver dismissed — Plaintiff wholly liable — Defendant met duty of care — Plaintiff did not meet duty of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9" w:name="Case Summary_12"/>
            <w:bookmarkEnd w:id="8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plaintiff cyclist for damages arising from a collision with the defendant truck driver -- Plaintiff claimed defendant turned into him as he rode bicycle into crosswalk -- Defendant argued he did not see plaintiff until after collision -- Witness testified plaintiff rode into side of defendant's truck -- HELD: Action dismissed -- Plaintiff was wholly at fault for collision -- Defendant met duty of care -- Defendant did not see plaintiff -- Defendant could not have seen plaintiff -- Plaintiff did not dismount before entering crosswalk -- Plaintiff was not wearing helmet -- Plaintiff was illegally riding on the sidewalk -- Plaintiff did not meet duty of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0" w:name="Legislation Cited_9"/>
      <w:bookmarkEnd w:id="9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2"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B.C. Reg. 221/90, Rule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202" w:history="1">
        <w:r>
          <w:rPr>
            <w:rFonts w:ascii="arial" w:eastAsia="arial" w:hAnsi="arial" w:cs="arial"/>
            <w:i/>
            <w:color w:val="0077CC"/>
            <w:sz w:val="20"/>
            <w:u w:val="single"/>
            <w:shd w:val="clear" w:color="auto" w:fill="FFFFFF"/>
            <w:lang w:val="en-US" w:eastAsia="en-US" w:bidi="ar-SA"/>
          </w:rPr>
          <w:t>R.S.B.C. 1996, c. 318, s. 183</w:t>
        </w:r>
      </w:hyperlink>
      <w:r>
        <w:rPr>
          <w:rFonts w:ascii="arial" w:eastAsia="arial" w:hAnsi="arial" w:cs="arial"/>
          <w:color w:val="000000"/>
          <w:sz w:val="20"/>
          <w:lang w:val="en-US" w:eastAsia="en-US" w:bidi="ar-SA"/>
        </w:rPr>
        <w:t>(2)(a), s. 183(2)(b), S. 184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1" w:name="Counsel_13"/>
      <w:bookmarkEnd w:id="9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3" style="position:absolute;z-index:2517749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M.G. Bolda.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B.S. Beazley.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2" w:name="Judgment_13"/>
      <w:bookmarkEnd w:id="92"/>
      <w:r>
        <w:pict>
          <v:line id="_x0000_s1094" style="position:absolute;z-index:2518261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3" w:name="R.J. BAUMAN J."/>
            <w:bookmarkEnd w:id="93"/>
            <w:r>
              <w:rPr>
                <w:rFonts w:ascii="arial" w:eastAsia="arial" w:hAnsi="arial" w:cs="arial"/>
                <w:b/>
                <w:color w:val="000000"/>
                <w:sz w:val="30"/>
                <w:lang w:val="en-US" w:eastAsia="en-US" w:bidi="ar-SA"/>
              </w:rPr>
              <w:t>R.J. BAUMAN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claim has been prosecuted under Rule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It concerns an accident which occurred on 17 December 2004, when a bicycle ridden by the plaintiff collided with a truck owned by the City of Coquitlam and operated by the defendant, Lynch.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Liability and damages are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 I have concluded that the plaintiff was wholly at fault in the collision, I will focus on the liability discussion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will relate the evidence of the three principal witnesses. They include the plaintiff, Paul Hadden, the defendant, Juston Barrie Lynch, and an eyewitness, Joan Annan.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Then I will turn to certain expert evidence tendered by the defendant through a Collision Investigation Report prepared by Bradley Heinrichs and dated 17 October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note that a fourth eyewitness gave evidence - one Sandra Boleak. I did not find her evidence of assistance. I do not in any way question her credibility and good faith, I simply find that she did not see much of the collision, only its aftermath.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turn to Mr. Hadden's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17 December 2004, Mr. Hadden was working for a courier company. He testified that he borrowed a friend's bicycle to pedal to his place of employment to pick up his pay cheque.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He discussed the bike in direct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sort of shape was the bike in?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 in good shape, brakes worked and everything.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Were all of the brakes working?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Just the back ones, I believe. Still, it was safe to ride.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Hadden set off without a helmet.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Hadden was riding west along the north sidewalk of the Lougheed Highway. This was unlawful, as I will relate.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Hadden initially testified at trial that he came off the curb to cross Westwood Street within the pedestrian crosswalk where he soon saw the nose of the truck being driven by the defendant, Lynch, turning right into the pedestrian crosswalk across Westwood.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Hadden maintained that he banged on the truck to alert its driver but the collision nevertheless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Later in chief, Mr. Hadden was asked if he saw the truck before it hit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 answered: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remember going by it, it must have sped up or something because I went by it [suggesting that he biked past the truck]. I wasn't going that fast. I just saw the green light and I went a little faster to get across the green light. And that's when he came.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came off the curb onto the crosswalk the nose of the truck was right there, I was turning with it because otherwise it might have hit 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came off the curb ... the side of it was right there. That's why I turned with it because that was the safest thing to do and the back of it hit me down.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banging like this "stop stop stop"; he didn't hear me I guess. I was yelling and banging really loud. I had control of the bike ... the side hit me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cross-examination Mr. Hadden's statement to investigators taken on 22 December 2004 was put to him and he adopted this version of the impact as accurate: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WAS RIDING ON THE SIDEWALK AND AS I CAME UP TO WESTWOOD THE LIGHT WAS GREEN. I WAS RIDING ALONG AND I WAS ABOUT A THIRD OR A QUARTER OF THE WAY INTO THE CROSSWALK WHEN THIS TRUCK TURNED IN FRONT OF ME. THIS TRUCK HAD BEEN ON LOUGHEED COMING FROM THE SAME DIRECTION AS ME, AND IT WAS TURNING RIGHT ONTO WESTWOOD. I YELLED AND THE TRUCK KEPT GOING, I TRIED VEERING OFF BUT HE HIT ME. I FLEW BACK AND SMASHED THE BACK OF MY HEAD ON THE ROAD AND MY RIGHT ARM ONTO THE ROAD. I LOOKED UP AND SAW THAY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THE RIGHT REAR WHEEL OF THE TRUCK WAS HEADING FOR MY LEFT LEG SO I PULLED IT OUT OF THE WAY JUST IN TIME.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Further, in cross-examination, Mr. Hadden said that when he came off the curb that he was travelling at possibly 20 miles per hour [32 kilometres per hour]. He discussed the moments before he fell, in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hit the middle right hand side of the truck hard or just brush?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he. Uh. it was a little past the middle. It was the side of it that hit me and knocked me down, I had no chance.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you were able to carry on with him, banging on the side?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For a little bit, yeah, banging on the side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How far? How far along did you travel with the truck?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I'd say about 15 feet, maybe 20 feet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carried along with him, banging on the side?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yell too?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Oh yeah, I was yelling my head off.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trial, Mr. Hadden maintained that the truck drove over his right arm, although he made no mention of that in the noted statement and I conclude on the evidence that that did not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relate the driver, Mr. Lynch's evidence on the critical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Lynch first described the mirrors on the City truck as including two side mirrors, one on each of the driver's and passenger's doors. Each side mirror contained a smaller mirror which gave a wider view to the side and behind.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truck had two further mirrors mounted over each front wheel well. These assisted the driver seeing behind him as he drove. This was a small garbage truck, so there was no view of the rear from the cab of the truck without use of the various mirrors.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Lynch testified that he was driving west on Lougheed, intending to make a right turn onto Westwood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Lougheed consists of a dedicated left turn lane, three lanes for westerly travel and a dedicated right turn only lane into Westwood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Lynch testified that it was about mid-day, that it was clear and the street was 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 was an SUV vehicle stopped in front of Mr. Lynch. This vehicle did not turn right on Westwood but, illegally, drove straight through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Lynch testified that he checked his mirrors, began his right hand turn and "established himself" "already heading straight on Westwood" when he heard a scream or yell. He looked in his right side mirrors and saw the plaintiff on the pavement.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Lynch testified that in making his turn into Westwood, he accelerated to about 15 kilometres per hour; that he crossed the Westwood crosswalk when it was clear of pedestrians; that he did not see the cyclist on the sidewalk; that he checked his mirrors and saw nothing.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Lynch maintained at trial that his truck was "3 empty parking spaces into Westwood" before he heard the yell and spied the plaintiff "pretty much back at the corner".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cross-examination, his contemporaneous statement was put to him wherein he indicated that he checked "both side mirrors" to ensure the way was clear for his right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It was suggested that this referred to the mirrors on either door. Mr. Lynch said that it did not; that it referred to the mirrors on the passenger side of the truck, that is at the door and at the front right wheel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He firmly stated that he did not see the cyclist before he made his right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Joan Annan gave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She was stopped at the light in the left hand turn lane on Westwood Street, waiting to turn left onto Lougheed. She testified that she had a clear view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Annan testified that she saw the cyclist going quite fast on his bike on the sidewalk of Lougheed Highway. She saw the truck moving slowly around the corner. She recalls that the cyclist was just coming off the sidewalk when she first saw him. At that moment, the truck was just around the corner, approximately five feet past the sidewalk. She says that she saw the cyclist hit the curb, lose control of his bike in some manner and then slam into the back of the truck. She said that the truck was moving slowly at the time that the cyclist slammed into it. She then saw the cyclist remain motionless on the ground for a few seconds and then crawl or roll to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Next, she saw the driver of the truck walking towards the cyclist with a cell phone in his hands.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Annan was pressed in cross-examination on the exact location that she saw the cyclist lose control of his bike. She insisted that the cyclist was coming off the sidewalk when he hit the curb and lost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defence led the evidence of Mr. Heinrichs, who prepared his Collision Investigation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This is interesting evidence and if fully accepted, not very helpful to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At paragraph 6.2, the witness provides this opinion (based on assumptions which I will relate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6.2 </w:t>
      </w:r>
      <w:r>
        <w:rPr>
          <w:rFonts w:ascii="arial" w:eastAsia="arial" w:hAnsi="arial" w:cs="arial"/>
          <w:b/>
          <w:color w:val="000000"/>
          <w:sz w:val="20"/>
          <w:u w:val="single"/>
          <w:lang w:val="en-US" w:eastAsia="en-US" w:bidi="ar-SA"/>
        </w:rPr>
        <w:t>Speed and Timing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there was one car in front of the stopped City of Coquitlam vehicle, then the truck was probably about 7 m from the stop line, and would have to travel about 28 m to impact in the crosswalk. Accelerating at 0.1 g and levelling off at 15 km/h, the truck would have taken about 8.8 seconds to reach the point of impact. If Mr. Hadden was travelling at a constant 15 km/h, the bicycle would have been about 37 m from impact when the truck started to accelerate (Figure 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westbound pedestrian walk sign was 7 seconds long. Therefore, Mr. Hadden probably entered the intersection on the flashing don't walk signal.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vehicle engagement and speeds, the City of Coquitlam truck would have entered the crosswalk about 1 second before Mr. Hadden left the sidewalk. The bicycle would have been about 4 m from entering the intersection when the truck entered the crosswalk (Figure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Under conclusions we find: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8.0 </w:t>
      </w:r>
      <w:r>
        <w:rPr>
          <w:rFonts w:ascii="arial" w:eastAsia="arial" w:hAnsi="arial" w:cs="arial"/>
          <w:b/>
          <w:color w:val="000000"/>
          <w:sz w:val="20"/>
          <w:u w:val="single"/>
          <w:lang w:val="en-US" w:eastAsia="en-US" w:bidi="ar-SA"/>
        </w:rPr>
        <w:t>CONCLUSIONS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bicycle was about 4 m (1 second travel time at 15 km/h) from leaving the sidewalk when the City of Coquitlam vehicle entered the crosswalk.</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bicycle operated by Mr. Hadden was probably visible in the right convex mirror from the time the City of Coquitlam vehicle accelerated until impact.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bicycle operated by Mr. Hadden was probably not visible in the right flat mirror or through the right window of the City of Coquitlam vehicle at any time during this event.</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lack of front brakes would at least double the distance required for a typical mountain bike to brake to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But of course this reconstruction is totally dependent on the expert's assumptions.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These assumptions are set out in paragraph 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4.0 </w:t>
      </w:r>
      <w:r>
        <w:rPr>
          <w:rFonts w:ascii="arial" w:eastAsia="arial" w:hAnsi="arial" w:cs="arial"/>
          <w:b/>
          <w:color w:val="000000"/>
          <w:sz w:val="20"/>
          <w:u w:val="single"/>
          <w:lang w:val="en-US" w:eastAsia="en-US" w:bidi="ar-SA"/>
        </w:rPr>
        <w:t>ASSUMPTIONS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generating this report, the author relied on field investigations and staged collisions performed by MEA Forensic, as well as his training, expertise, and the pertinent body of scientific literature.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following assumptions were made in the preparation of this report:</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of Coquitlam vehicle, a 1995 Ford F-SuperDuty garbage truck, was westbound on Lougheed Highway.</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of Coquitlam vehicle was stopped in the right turn lane, one vehicle back from the stop line at Westwood Street.</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Justin Lynch was the driver and sole occupant of the City of Coquitlam vehicle.</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Paul Hadden was riding a bicycle westbound on the north sidewalk of Lougheed Highway.</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light turned green for westbound traffic on Lougheed Highway, and Mr. Lynch accelerated after a typical perception-response time.</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Both vehicles were travelling at about 15 km/h when at speed.</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Hadden took the ramp from the sidewalk down to the crosswalk.</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Hadden may have swerved right in an attempt to avoid the collision.</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bicycle and the City of Coquitlam vehicle collided in the intersection.</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bicycle was driven over by the rear wheels of the City of Coquitlam vehicle, and/or Mr. Hadden had to move his legs in order to avoid having them run over by the rear wheels of the City of Coquitlam vehicle.</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of Coquitlam vehicle was not repaired between the collision and the date of the MEA examination.</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mirrors on the City of Coquitlam vehicle were substantially in the same positions at the MEA examination as during the incident.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data and materials provided completely and accurately describe damage to the bicycle, and this damage is related to this collision unless otherwise indicated.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As Mr. Heinrichs notes, however, in paragraph 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timing analysis is entirely dependent on the assumed vehicle speeds before impact. Altering the assumptions would change the results of the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most telling opinion expressed by Mr. Heinrichs is that contained in these paragraphs:</w:t>
      </w:r>
      <w:r>
        <w:rPr>
          <w:rFonts w:ascii="arial" w:eastAsia="arial" w:hAnsi="arial" w:cs="arial"/>
          <w:sz w:val="20"/>
          <w:lang w:val="en-US" w:eastAsia="en-US" w:bidi="ar-SA"/>
        </w:rPr>
        <w:cr/>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bicycle operated by Mr. Hadden was probably visible in the right convex mirror from the time the City of Coquitlam vehicle accelerated until impact.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bicycle operated by Mr. Hadden was probably not visible in the right flat mirror or through the right window of the City of Coquitlam vehicle at any time during this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So clearly the whole reconstruction exercise is largely subject to the assumed vehicle speeds.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Hadden's evidence is that he sped up when he saw the green light at Westwood. He said that he was possibly going 20 miles per hour, well in excess of the assumed 15 kilometres per hour used by Mr. Heinrichs.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was very impressed with Mr. Lynch as a witness. He was frank and clearly endeavoured to give accurate evidence of what he saw and what he did not see.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the important point of where his truck was at the likely point of impact, his evidence is corroborated by that of Ms. Annan, a disinterested eyewitness in a very good position to see matters unfold.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Ms. Annan said that the truck was just around the corner approximately five feet past the sidewalk, when the cyclist hit the curb, lost control of the bike and slammed into the back of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This is consistent with Mr. Lynch's evidence that he was "already heading straight on Westwood" when he heard a yell and saw the plaintiff down in his right side mirror.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do not accept Mr. Hadden's evidence that he arrived at the crosswalk as the nose of Mr. Lynch's vehicle entered it. Nor do I accept his version of events in his statement after the accident that he was "about a third or a quarter of the way into the crosswalk when this truck turned in front of me". This claim affects my assessment of Mr. Hadden's credibility. I did not find him credible in explaining the dynamics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Heinrichs' assumed speeds and distances are incorrect (if Hadden's speed is understated this would obviously affect the distance measurements). Mr. Lynch had completed virtually all of his right hand turn into Westwood when he was struck by Mr. Hadden. I do not accept that the collision happened as depicted in Figure 10 of Mr. Heinrichs'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accept Mr. Lynch's evidence that he never saw Mr. Hadden and his bike in his mirrors and that, as he started from his stop and negotiated the right hand turn, he, indeed, looked in his mirrors.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speed of the two vehicles and the distances involved clearly prevented Mr. Lynch from spying Mr. Hadden in his mirrors or through the right window as he made the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assessing the credibility/reliability of the witnesses before the court, I have been reminded of the court's off-cited advice in </w:t>
      </w:r>
      <w:r>
        <w:rPr>
          <w:rFonts w:ascii="arial" w:eastAsia="arial" w:hAnsi="arial" w:cs="arial"/>
          <w:b/>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at 357: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credibility of interested witnesses, particularly in cases of conflict of evidence, cannot be gauged solely by the test of whether the personal demeanour of the particular witness carried conviction of the truth. The test must reasonably subject his story to an examination of its consistency with the probabilities that surround the currently existing conditions. In short, the real test of the truth of the story of a witness in such a case must be its harmony with the preponderance of the probabilities which a practical and informed person would readily recognize as reasonable in that place and in those conditions.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turn to discuss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Both the plaintiff and the defendant had duties to take care while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An individual who is violating a traffic law assumes a heightened duty of care. In </w:t>
      </w:r>
      <w:r>
        <w:rPr>
          <w:rFonts w:ascii="arial" w:eastAsia="arial" w:hAnsi="arial" w:cs="arial"/>
          <w:b/>
          <w:i/>
          <w:color w:val="000000"/>
          <w:sz w:val="20"/>
          <w:lang w:val="en-US" w:eastAsia="en-US" w:bidi="ar-SA"/>
        </w:rPr>
        <w:t>Ivanoff v. Bensmiller</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2002 BCCA 173</w:t>
        </w:r>
      </w:hyperlink>
      <w:r>
        <w:rPr>
          <w:rFonts w:ascii="arial" w:eastAsia="arial" w:hAnsi="arial" w:cs="arial"/>
          <w:color w:val="000000"/>
          <w:sz w:val="20"/>
          <w:lang w:val="en-US" w:eastAsia="en-US" w:bidi="ar-SA"/>
        </w:rPr>
        <w:t>, the trial judge discussed the duties on a cyclist who was riding on the wrong side of the road. The trial judge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having chosen to depart from the usual pattern, I find that the plaintiff had a duty to take greater care in travelling on the wrong side of the road. I would expect him to know that the users of the road may be surprised by his presence there and would expect him to proceed cautiously as a result. ... In my view, having chosen to ride on the wrong side, it was incumbent upon the plaintiff to take care that drivers see him in this unexpected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Court of Appeal upheld the trial judge's findings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 think the reasoning in </w:t>
      </w:r>
      <w:r>
        <w:rPr>
          <w:rFonts w:ascii="arial" w:eastAsia="arial" w:hAnsi="arial" w:cs="arial"/>
          <w:b/>
          <w:i/>
          <w:color w:val="000000"/>
          <w:sz w:val="20"/>
          <w:lang w:val="en-US" w:eastAsia="en-US" w:bidi="ar-SA"/>
        </w:rPr>
        <w:t>Ivanoff</w:t>
      </w:r>
      <w:r>
        <w:rPr>
          <w:rFonts w:ascii="arial" w:eastAsia="arial" w:hAnsi="arial" w:cs="arial"/>
          <w:color w:val="000000"/>
          <w:sz w:val="20"/>
          <w:lang w:val="en-US" w:eastAsia="en-US" w:bidi="ar-SA"/>
        </w:rPr>
        <w:t xml:space="preserve"> applies to this case. There is no doubt that the plaintiff was violating several traffic laws in the moments before the incident. First, and most importantly, he was riding on the sidewalk, contrary to s. 183(2)(a)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It is common ground that no bylaw or sign authorized bicycle riding on the subject sidewalk. Second, he was entering a crosswalk on his bike, contrary to the prohibition in s. 183(2)(b) of the </w:t>
      </w:r>
      <w:r>
        <w:rPr>
          <w:rFonts w:ascii="arial" w:eastAsia="arial" w:hAnsi="arial" w:cs="arial"/>
          <w:b/>
          <w:i/>
          <w:color w:val="000000"/>
          <w:sz w:val="20"/>
          <w:lang w:val="en-US" w:eastAsia="en-US" w:bidi="ar-SA"/>
        </w:rPr>
        <w:t>MVA</w:t>
      </w:r>
      <w:r>
        <w:rPr>
          <w:rFonts w:ascii="arial" w:eastAsia="arial" w:hAnsi="arial" w:cs="arial"/>
          <w:color w:val="000000"/>
          <w:sz w:val="20"/>
          <w:lang w:val="en-US" w:eastAsia="en-US" w:bidi="ar-SA"/>
        </w:rPr>
        <w:t xml:space="preserve"> against riding a bicycle in a crosswalk. Finally, he was not wearing a helmet, in contravention of s. 184 of the </w:t>
      </w:r>
      <w:r>
        <w:rPr>
          <w:rFonts w:ascii="arial" w:eastAsia="arial" w:hAnsi="arial" w:cs="arial"/>
          <w:b/>
          <w:i/>
          <w:color w:val="000000"/>
          <w:sz w:val="20"/>
          <w:lang w:val="en-US" w:eastAsia="en-US" w:bidi="ar-SA"/>
        </w:rPr>
        <w:t>MVA</w:t>
      </w:r>
      <w:r>
        <w:rPr>
          <w:rFonts w:ascii="arial" w:eastAsia="arial" w:hAnsi="arial" w:cs="arial"/>
          <w:color w:val="000000"/>
          <w:sz w:val="20"/>
          <w:lang w:val="en-US" w:eastAsia="en-US" w:bidi="ar-SA"/>
        </w:rPr>
        <w:t>. In my opinion, once the plaintiff chose to ride on the sidewalk, he took upon himself a heightened duty to take care and to ensure that he was seen by drivers.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Plaintiff's counsel referred me to several other cases involving bikers being hit by cars. In all of those cases, the courts rested liability on a finding that the biker ought to have been seen by the driver. In </w:t>
      </w:r>
      <w:r>
        <w:rPr>
          <w:rFonts w:ascii="arial" w:eastAsia="arial" w:hAnsi="arial" w:cs="arial"/>
          <w:b/>
          <w:i/>
          <w:color w:val="000000"/>
          <w:sz w:val="20"/>
          <w:lang w:val="en-US" w:eastAsia="en-US" w:bidi="ar-SA"/>
        </w:rPr>
        <w:t>Niitamo v. ICBC</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2003 BCSC 608</w:t>
        </w:r>
      </w:hyperlink>
      <w:r>
        <w:rPr>
          <w:rFonts w:ascii="arial" w:eastAsia="arial" w:hAnsi="arial" w:cs="arial"/>
          <w:color w:val="000000"/>
          <w:sz w:val="20"/>
          <w:lang w:val="en-US" w:eastAsia="en-US" w:bidi="ar-SA"/>
        </w:rPr>
        <w:t>, Ballance J. apportioned 85% of the liability to a defendant driver. The defendant hit the plaintiff bicyclist as he was biking across a crosswalk. Ballance J. found that although the plaintiff did not have a statutory right of way through the crosswalk, he was in a well-lit crosswalk where he should have been seen by the defendant. As Ballance J. reasoned, a crosswalk is precisely the place where a motorist could reasonably expect to encounter another user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Kerr (Litigation Guardian of) v. Creighton</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2007 BCSC 208</w:t>
        </w:r>
      </w:hyperlink>
      <w:r>
        <w:rPr>
          <w:rFonts w:ascii="arial" w:eastAsia="arial" w:hAnsi="arial" w:cs="arial"/>
          <w:color w:val="000000"/>
          <w:sz w:val="20"/>
          <w:lang w:val="en-US" w:eastAsia="en-US" w:bidi="ar-SA"/>
        </w:rPr>
        <w:t>, the court did not accept the defendant's reasons for not seeing a plaintiff bicyclist as he biked across the crosswalk. The court concluded that the defendant had not kept an adequate lookout, and failed to see what was apparent to see.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Shepherd v. Campbell</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[1993] B.C.J. No. 1615</w:t>
        </w:r>
      </w:hyperlink>
      <w:r>
        <w:rPr>
          <w:rFonts w:ascii="arial" w:eastAsia="arial" w:hAnsi="arial" w:cs="arial"/>
          <w:color w:val="000000"/>
          <w:sz w:val="20"/>
          <w:lang w:val="en-US" w:eastAsia="en-US" w:bidi="ar-SA"/>
        </w:rPr>
        <w:t xml:space="preserve"> (QL) (S.C.), the court concluded that the defendant driver would have seen the plaintiff bicyclist if he had made adequate use of his mirrors.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Kerr</w:t>
      </w:r>
      <w:r>
        <w:rPr>
          <w:rFonts w:ascii="arial" w:eastAsia="arial" w:hAnsi="arial" w:cs="arial"/>
          <w:color w:val="000000"/>
          <w:sz w:val="20"/>
          <w:lang w:val="en-US" w:eastAsia="en-US" w:bidi="ar-SA"/>
        </w:rPr>
        <w:t xml:space="preserve"> was appealed and the trial decision was overturned at </w:t>
      </w:r>
      <w:hyperlink r:id="rId208" w:history="1">
        <w:r>
          <w:rPr>
            <w:rFonts w:ascii="arial" w:eastAsia="arial" w:hAnsi="arial" w:cs="arial"/>
            <w:i/>
            <w:color w:val="0077CC"/>
            <w:sz w:val="20"/>
            <w:u w:val="single"/>
            <w:shd w:val="clear" w:color="auto" w:fill="FFFFFF"/>
            <w:lang w:val="en-US" w:eastAsia="en-US" w:bidi="ar-SA"/>
          </w:rPr>
          <w:t>2008 BCCA 75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Justice Levine, for the court, wrote (at para. 32-34):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The finding that the collision took place in the crosswalk was crucial to the respondent's claim. The respondent had to prove that the appellant was negligent, and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accident. There is no dispute that the appellant had the right-of-way on Mount Seymour Road, a through street. The question for the trial judge was whether after the appellant became aware, or by the exercise of reasonable care should have become aware, of the respondent's disregard of his right-of-way, the appellant had sufficient opportunity to avoid the accident of which a reasonably careful and skilful driver would have availed himself. Any doubts should not be resolved in favour of the respondent, "whose unlawful conduct was </w:t>
      </w:r>
      <w:r>
        <w:rPr>
          <w:rFonts w:ascii="arial" w:eastAsia="arial" w:hAnsi="arial" w:cs="arial"/>
          <w:i/>
          <w:color w:val="000000"/>
          <w:sz w:val="20"/>
          <w:lang w:val="en-US" w:eastAsia="en-US" w:bidi="ar-SA"/>
        </w:rPr>
        <w:t>fons et origo mali</w:t>
      </w:r>
      <w:r>
        <w:rPr>
          <w:rFonts w:ascii="arial" w:eastAsia="arial" w:hAnsi="arial" w:cs="arial"/>
          <w:color w:val="000000"/>
          <w:sz w:val="20"/>
          <w:lang w:val="en-US" w:eastAsia="en-US" w:bidi="ar-SA"/>
        </w:rPr>
        <w:t xml:space="preserve">" [the source and origin of the evil]: see </w:t>
      </w:r>
      <w:r>
        <w:rPr>
          <w:rFonts w:ascii="arial" w:eastAsia="arial" w:hAnsi="arial" w:cs="arial"/>
          <w:b/>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at 461 (cited by the trial judge at para. 44).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The trial judge could only find the appellant liable if he found that the appellant saw or should have seen the respondent crossing the road in sufficient time to have stopped before impact. If the respondent crossed Mount Seymour Road before he reached the crosswalk, there was clearly no evidence to support, and the expert evidence was contrary to, a finding that the appellant could have stopped in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Thus, the trial judge's errors in finding that the collision occurred in the crosswalk had a material effect on the outcome of the trial. The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appellant's part cannot be supported without that crucial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Plaintiff's counsel also referred me to the seminal case </w:t>
      </w:r>
      <w:r>
        <w:rPr>
          <w:rFonts w:ascii="arial" w:eastAsia="arial" w:hAnsi="arial" w:cs="arial"/>
          <w:b/>
          <w:i/>
          <w:color w:val="000000"/>
          <w:sz w:val="20"/>
          <w:lang w:val="en-US" w:eastAsia="en-US" w:bidi="ar-SA"/>
        </w:rPr>
        <w:t>Walker v. Brownlee and Harmon</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which discusses the duties of dominant and servient drivers. The dominant driver is the one who has the right-of-way to proceed, and the servient driver is the one who is proceeding without yielding the right of way. Cartwright J. wrote at 461: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decision of every motor vehicle collision case must depend on its particular facts, I am of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w:t>
      </w:r>
      <w:r>
        <w:rPr>
          <w:rFonts w:ascii="arial" w:eastAsia="arial" w:hAnsi="arial" w:cs="arial"/>
          <w:color w:val="000000"/>
          <w:sz w:val="20"/>
          <w:lang w:val="en-US" w:eastAsia="en-US" w:bidi="ar-SA"/>
        </w:rPr>
        <w:t xml:space="preserve"> mali.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Bedwell v. McGill</w:t>
      </w:r>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2008 BCCA 6</w:t>
        </w:r>
      </w:hyperlink>
      <w:r>
        <w:rPr>
          <w:rFonts w:ascii="arial" w:eastAsia="arial" w:hAnsi="arial" w:cs="arial"/>
          <w:color w:val="000000"/>
          <w:sz w:val="20"/>
          <w:lang w:val="en-US" w:eastAsia="en-US" w:bidi="ar-SA"/>
        </w:rPr>
        <w:t xml:space="preserve">, decided after the close of evidence in the case at bar, the Court of Appeal commented on the application of the rule in </w:t>
      </w:r>
      <w:r>
        <w:rPr>
          <w:rFonts w:ascii="arial" w:eastAsia="arial" w:hAnsi="arial" w:cs="arial"/>
          <w:b/>
          <w:i/>
          <w:color w:val="000000"/>
          <w:sz w:val="20"/>
          <w:lang w:val="en-US" w:eastAsia="en-US" w:bidi="ar-SA"/>
        </w:rPr>
        <w:t>Walker</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Bedwell</w:t>
      </w:r>
      <w:r>
        <w:rPr>
          <w:rFonts w:ascii="arial" w:eastAsia="arial" w:hAnsi="arial" w:cs="arial"/>
          <w:color w:val="000000"/>
          <w:sz w:val="20"/>
          <w:lang w:val="en-US" w:eastAsia="en-US" w:bidi="ar-SA"/>
        </w:rPr>
        <w:t>, the defendant was attempting to turn left out of a Mall parking lot. To make the left turn, the defendant had to cross two North-bound lanes of traffic. The plaintiff was driving in the left-most lane of Northbound traffic when the two cars collided. At trial, liability was split 50-50 between the plaintiff and the defendant. On appeal, the majority reduced the plaintiff's liability to 25%, based on an analysis of the duties affecting dominant and servient drivers. Newbury J.A. for the majority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well-known case of </w:t>
      </w:r>
      <w:r>
        <w:rPr>
          <w:rFonts w:ascii="arial" w:eastAsia="arial" w:hAnsi="arial" w:cs="arial"/>
          <w:b/>
          <w:i/>
          <w:color w:val="000000"/>
          <w:sz w:val="20"/>
          <w:lang w:val="en-US" w:eastAsia="en-US" w:bidi="ar-SA"/>
        </w:rPr>
        <w:t>Walker v. Brownlee and Harmon</w:t>
      </w:r>
      <w:r>
        <w:rPr>
          <w:rFonts w:ascii="arial" w:eastAsia="arial" w:hAnsi="arial" w:cs="arial"/>
          <w:color w:val="000000"/>
          <w:sz w:val="20"/>
          <w:lang w:val="en-US" w:eastAsia="en-US" w:bidi="ar-SA"/>
        </w:rPr>
        <w:t xml:space="preserve"> of course remains the leading case in Canada on the respective duties of dominant and servient drivers in approaching and entering an intersection ... My colleague, Mr. Justice Tysoe, has cited passages from the reasons of Estey J. and of Cartwright J. and takes from them the principle that a duty of care to avoid a collision arises when the dominant driver ought to see that the other driver is not yielding the right of way. There can be no doubt as to this principle; but in the case at bar, the breach of duty on the part of the dominant driver found by the trial judge was that the plaintiff proceeded "without proper care for others who might be crossing her path </w:t>
      </w:r>
      <w:r>
        <w:rPr>
          <w:rFonts w:ascii="arial" w:eastAsia="arial" w:hAnsi="arial" w:cs="arial"/>
          <w:color w:val="000000"/>
          <w:sz w:val="20"/>
          <w:u w:val="single"/>
          <w:lang w:val="en-US" w:eastAsia="en-US" w:bidi="ar-SA"/>
        </w:rPr>
        <w:t>as this defendant was entitled to do</w:t>
      </w:r>
      <w:r>
        <w:rPr>
          <w:rFonts w:ascii="arial" w:eastAsia="arial" w:hAnsi="arial" w:cs="arial"/>
          <w:color w:val="000000"/>
          <w:sz w:val="20"/>
          <w:lang w:val="en-US" w:eastAsia="en-US" w:bidi="ar-SA"/>
        </w:rPr>
        <w:t>". With respect, this defendant was not entitled to cross the dominant driver's path without taking care to ensure that the way was clear. The trial judge found that the defendant had seen the plaintiff's vehicle before crossing in front of the black truck. The plaintiff on the other hand had evidently not seen the defendant's vehicle, but as the dominant driver she was entitled to "proceed more or less upon the assumption that the drivers of all the other vehicles will do what it is their duty to do, namely observe the rules regulating the traffic of the streets."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Lord Atkinson in </w:t>
      </w:r>
      <w:r>
        <w:rPr>
          <w:rFonts w:ascii="arial" w:eastAsia="arial" w:hAnsi="arial" w:cs="arial"/>
          <w:b/>
          <w:i/>
          <w:color w:val="000000"/>
          <w:sz w:val="20"/>
          <w:lang w:val="en-US" w:eastAsia="en-US" w:bidi="ar-SA"/>
        </w:rPr>
        <w:t>Toronto R.W. Co. v. King</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[1908] A.C. 260</w:t>
        </w:r>
      </w:hyperlink>
      <w:r>
        <w:rPr>
          <w:rFonts w:ascii="arial" w:eastAsia="arial" w:hAnsi="arial" w:cs="arial"/>
          <w:color w:val="000000"/>
          <w:sz w:val="20"/>
          <w:lang w:val="en-US" w:eastAsia="en-US" w:bidi="ar-SA"/>
        </w:rPr>
        <w:t xml:space="preserve"> at 269 quoted in </w:t>
      </w:r>
      <w:r>
        <w:rPr>
          <w:rFonts w:ascii="arial" w:eastAsia="arial" w:hAnsi="arial" w:cs="arial"/>
          <w:b/>
          <w:i/>
          <w:color w:val="000000"/>
          <w:sz w:val="20"/>
          <w:lang w:val="en-US" w:eastAsia="en-US" w:bidi="ar-SA"/>
        </w:rPr>
        <w:t>Walker v. Brownlee</w:t>
      </w:r>
      <w:r>
        <w:rPr>
          <w:rFonts w:ascii="arial" w:eastAsia="arial" w:hAnsi="arial" w:cs="arial"/>
          <w:color w:val="000000"/>
          <w:sz w:val="20"/>
          <w:lang w:val="en-US" w:eastAsia="en-US" w:bidi="ar-SA"/>
        </w:rPr>
        <w:t xml:space="preserve"> at 460-1).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It is important to remember in cases like the one at bar that the standard of care of a driver is not one of perfection, but whether the driver acted in a manner in which an ordinarily prudent person would act, see </w:t>
      </w:r>
      <w:r>
        <w:rPr>
          <w:rFonts w:ascii="arial" w:eastAsia="arial" w:hAnsi="arial" w:cs="arial"/>
          <w:b/>
          <w:i/>
          <w:color w:val="000000"/>
          <w:sz w:val="20"/>
          <w:lang w:val="en-US" w:eastAsia="en-US" w:bidi="ar-SA"/>
        </w:rPr>
        <w:t>Orr v. Faucher</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2005 BCSC 1343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Addison v. Nelles</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2003 BCSC 1860</w:t>
        </w:r>
      </w:hyperlink>
      <w:r>
        <w:rPr>
          <w:rFonts w:ascii="arial" w:eastAsia="arial" w:hAnsi="arial" w:cs="arial"/>
          <w:color w:val="000000"/>
          <w:sz w:val="20"/>
          <w:lang w:val="en-US" w:eastAsia="en-US" w:bidi="ar-SA"/>
        </w:rPr>
        <w:t xml:space="preserve">, aff'd </w:t>
      </w:r>
      <w:hyperlink r:id="rId214" w:history="1">
        <w:r>
          <w:rPr>
            <w:rFonts w:ascii="arial" w:eastAsia="arial" w:hAnsi="arial" w:cs="arial"/>
            <w:i/>
            <w:color w:val="0077CC"/>
            <w:sz w:val="20"/>
            <w:u w:val="single"/>
            <w:shd w:val="clear" w:color="auto" w:fill="FFFFFF"/>
            <w:lang w:val="en-US" w:eastAsia="en-US" w:bidi="ar-SA"/>
          </w:rPr>
          <w:t>2004 BCCA 623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Russell v. Wang</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2000 BCSC 534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It seems clear that for the court to impose liability on the defendant, the plaintiff must prove either that the defendant did in fact see him or that the defendant ought to have seen him. If the defendant did not, or should not have, seen the plaintiff, then the defendant could not have been expected to do anything except proceed through the intersection as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now turn to that issue - did the defendant see the plaintiff, and if not, ought the defendant have seen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At trial, the defendant testified that he did not see the plaintiff. The defendant testified that he turned on his signal, checked his mirrors, and did not see the plaintiff. I believe him, and find as a matter of fact that the defendant did not see the plaintiff. In accepting that the defendant did not see the plaintiff, I also find that the plaintiff was not there to be seen by the defendant in the mirrors.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 cannot conclude that this defendant ought to have seen the plaintiff in these circumstances. At the time of the incident, the defendant had the right of way. He was entitled to proceed through the right hand turn on the green light as long as he took reasonable care, attention and consideration for the other users of the roadway. He signalled, checked his mirrors, and proceeded at a moderate pace. The plaintiff was not there to be seen in his mirrors. The defendant fully met his duty of care. As Josephson J. said in </w:t>
      </w:r>
      <w:r>
        <w:rPr>
          <w:rFonts w:ascii="arial" w:eastAsia="arial" w:hAnsi="arial" w:cs="arial"/>
          <w:b/>
          <w:i/>
          <w:color w:val="000000"/>
          <w:sz w:val="20"/>
          <w:lang w:val="en-US" w:eastAsia="en-US" w:bidi="ar-SA"/>
        </w:rPr>
        <w:t>George v. Kembel</w:t>
      </w:r>
      <w:r>
        <w:rPr>
          <w:rFonts w:ascii="arial" w:eastAsia="arial" w:hAnsi="arial" w:cs="arial"/>
          <w:color w:val="000000"/>
          <w:sz w:val="20"/>
          <w:lang w:val="en-US" w:eastAsia="en-US" w:bidi="ar-SA"/>
        </w:rPr>
        <w:t xml:space="preserve">, </w:t>
      </w:r>
      <w:hyperlink r:id="rId216" w:history="1">
        <w:r>
          <w:rPr>
            <w:rFonts w:ascii="arial" w:eastAsia="arial" w:hAnsi="arial" w:cs="arial"/>
            <w:i/>
            <w:color w:val="0077CC"/>
            <w:sz w:val="20"/>
            <w:u w:val="single"/>
            <w:shd w:val="clear" w:color="auto" w:fill="FFFFFF"/>
            <w:lang w:val="en-US" w:eastAsia="en-US" w:bidi="ar-SA"/>
          </w:rPr>
          <w:t>[1994] B.C.J. No. 2372</w:t>
        </w:r>
      </w:hyperlink>
      <w:r>
        <w:rPr>
          <w:rFonts w:ascii="arial" w:eastAsia="arial" w:hAnsi="arial" w:cs="arial"/>
          <w:color w:val="000000"/>
          <w:sz w:val="20"/>
          <w:lang w:val="en-US" w:eastAsia="en-US" w:bidi="ar-SA"/>
        </w:rPr>
        <w:t xml:space="preserve"> (QL) (S.C.), a case with extremely similar facts, "the plaintiff was the author of his misfortune. The defendant did not fail in any duty of care owed to the plaintiff" (at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On the other hand, I do not think the plaintiff met his duty to take due care and caution for several reasons. First, the defendant's truck was there to be seen by the plaintiff. The truck was stopped in the right hand turn lane for approximately 20 seconds at the red light. As the plaintiff approached the intersection, the large and stationary truck was there to be seen. Second, the truck was in the dedicated right hand turn lane. The plaintiff should reasonably have expected the truck to indeed turn right as its signal indicated. Third, the plaintiff was quickly riding on the sidewalk, into a crosswalk, as he was not entitled to do, and thus had a heightened duty to take reasonable care. Finally, the plaintiff entered the intersection without the right of way and without ensuring that the way was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sum, this case is not about the defendant Lynch striking the plaintiff in the crosswalk as was the case in so many of the decisions cited by the plaintiff. This is rather a case of the defendant driving appropriately as he made a right hand turn through a crosswalk, only to be suddenly blindsided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conclusion, I find the plaintiff 100% at fault for the collision of 17 December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action is dismissed. The defendant will have its costs on Scale B. Leave is granted to bring any matters to my attention on costs that the parties may think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R.J. BAUMAN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5"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Hopegain International Holdings Inc. v. Buxton, [2002] B.C.J. No. 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Burnyeat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6 and 7,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3,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C993466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97 B.C.L.R. (3d) 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13 C.P.C. (5th) 357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110 A.C.W.S. (3d) 453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Hopegain International Holdings Inc., plaintiff, and Peter Buxton, defendant, and Winfield Tsze Lop Yan, Roy Chi Wai Leung a.k.a. Royl Leung, Eddie Yan, Man Leung Sum a.k.a. Sam Sum, Peter Talk Hung, Yui Ming Lai, Hak-Ka Lau a.k.a. Johny Lau, 686888 Holdings Ltd. and 683888 Holdings Ltd.,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6"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4" w:name="Keywords_14"/>
      <w:bookmarkEnd w:id="94"/>
      <w:r>
        <w:rPr>
          <w:rFonts w:ascii="arial" w:eastAsia="arial" w:hAnsi="arial" w:cs="arial"/>
          <w:b/>
          <w:color w:val="000000"/>
          <w:sz w:val="20"/>
          <w:lang w:val="en-US" w:eastAsia="en-US" w:bidi="ar-SA"/>
        </w:rPr>
        <w:t>Company law — Actions by corporations — In tort — Practice — Parties — Third party procedure — Third party notice — Striking out of.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5" w:name="Case Summary_13"/>
            <w:bookmarkEnd w:id="9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Hopegain International Holdings Inc., the plaintiff, to strike the Third Party Notices filed by the defendant, Buxton, against the Directors or de facto directors of Hopegain. Hopegain's claim against Buxton was 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out of Buxton's representation of Hopegain in previous litigation. The third party notices filed by Buxton alleged that the Directors owed Hopegain statutory common law duties to act in good faith and in the best interests of the company, that the Directors breached their fiduciary, statutory, and common law duties to the company and breached its by-laws, and that the acts of the Directors were outside the scope of their authority as Directors. Hopegain argued that the Third Party Notices had to be struck because the third parties were the directing minds of Hopegain and the allegations set out in the Third Party Notices constituted a defence to Hopegain's claims. There was no agreement between Hopegain and the third parties that Hopegain would not seek to recover from Buxton any portion of Hopegain's losses that might be attributed to the fault of the third parties.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6" w:name="Holdings of Court_8"/>
            <w:bookmarkEnd w:id="96"/>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Hopegain did not have the ability to apply to have the Third Party Notices set aside. If the third party notices were ill founded, the third parties could apply to set them aside. Hopegain was a separate entity from its Directors. It was possible for Buxton to have a cause of action against the Directors even though the cause of action was not available against Hopegain. That allegation could not be raised by Buxton as part of its Statement of Defence. Hopegain was at liberty to apply for directions to show that the third party procedure should be limited to avoid prejudice or unnecessary delay to Hopegain.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7" w:name="Legislation Cited_10"/>
      <w:bookmarkEnd w:id="9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7"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Alberta Rules of Court, Rule 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British Columbia Supreme Court Rules, Rules 19(24), 22(6), 22(14), 22(17), 22(18).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Ontario Rules of Civil Procedure, Rule 171.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8" w:name="Counsel_14"/>
      <w:bookmarkEnd w:id="9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8" style="position:absolute;z-index:2517760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 Jaffe and D.T. Fox, for the plaintiff. G.J. Killam, for the defendant, Peter Buxton. No one appeared the third parties.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9" w:name="Judgment_14"/>
      <w:bookmarkEnd w:id="99"/>
      <w:r>
        <w:pict>
          <v:line id="_x0000_s1099" style="position:absolute;z-index:25182720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0" w:name="BURNYEAT J."/>
            <w:bookmarkEnd w:id="100"/>
            <w:r>
              <w:rPr>
                <w:rFonts w:ascii="arial" w:eastAsia="arial" w:hAnsi="arial" w:cs="arial"/>
                <w:b/>
                <w:color w:val="000000"/>
                <w:sz w:val="30"/>
                <w:lang w:val="en-US" w:eastAsia="en-US" w:bidi="ar-SA"/>
              </w:rPr>
              <w:t>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applies for an order pursuant to Rules 19(24) and 22(6) of the Rules of Court that the Third Party Notices be struck. In the alternative, the plaintiff applies under Rule 22(18) that the hearing of the matters set out in the Third Party Notices be stayed until such time as the claim of the Plaintiff can be adjudicated. The preliminary question raised by counsel for the Defendant is whether a plaintiff has standing to apply to strike out third party notices or whether only the Third Parties have standing to bring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claim of the Plaintiff is 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out of the representation by Mr. Buxton of Hopegain International Holdings Inc. ("Hopegain") in previous litigation. In the Third Party Notice, it is stated that: (a) the Third Parties, Lau, Lai, Leung, Eddie Yan, Sum, Hung, and Winfield Yan were "Directors or de facto Directors of the Plaintiff" and owed the Plaintiff statutory and common law duties to act honestly, in good faith, and in the best interests of the company and to exercise the care, diligence and skill of a prudent person in carrying out their responsibilities; (b) that their acts, omissions and representations particularized in the Third Party Notices were breaches of their fiduciary, statutory and common law duties to the Plaintiff and breaches of the by-laws of the Plaintiff; and (c) that the acts, omissions and representations were committed outside the scope of any authority the Plaintiff may have provided to the Third Parties. It is also alleged that 686888 Holdings Ltd. ("686888") and 683888 Holdings Ltd. ("683888") were vicariously liable for any fault of or damages caused by Messrs. Lau, Li, Hung, Leung, Sum, Eddie Yan and Winfield Yan.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SCOPE OF RULE 22(6)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An application for leave to issue a third party notice has traditionally been viewed as if the notice was a writ of summons. The defendant issuing the notice assumes the role of a plaintiff and the person against whom it is issued assumes the role of the defendant. The court has broad discretion under Rule 22(6) to set aside a third party notice. A list of factors which must be considered in exercising this discretion was described by Lambert J.A. in Lui v. West Granville Manor Ltd. </w:t>
      </w:r>
      <w:hyperlink r:id="rId224" w:history="1">
        <w:r>
          <w:rPr>
            <w:rFonts w:ascii="arial" w:eastAsia="arial" w:hAnsi="arial" w:cs="arial"/>
            <w:i/>
            <w:color w:val="0077CC"/>
            <w:sz w:val="20"/>
            <w:u w:val="single"/>
            <w:shd w:val="clear" w:color="auto" w:fill="FFFFFF"/>
            <w:lang w:val="en-US" w:eastAsia="en-US" w:bidi="ar-SA"/>
          </w:rPr>
          <w:t>(1985), 18 D.L.R. (4th) 391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are a number of factors that should always be considered in the exercise of a discretion. What is the fair thing to do? Who suffers prejudice if the discretion is exercised? How much prejudice? Who suffers prejudice if the discretion is not exercised? How much prejudice? Have the parties acted properly and reasonably in their own interests? If a party has not acted properly and reasonably, should he be relieved from the consequences of his own behaviour? Is there another course available to one or other of the parties? Where does the balance of convenience lie?...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 405)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Lambert J.A. does not discuss the standing of a plaintiff to make such an application. British Columbia judges and masters have dealt with a number of applications brought by a plaintiff to strike out a third party notice. In all of these cases, there is no discussion of whether the plaintiff had standing to make such an application. Rather, standing was assumed. For instance, see Casson v. Talson, </w:t>
      </w:r>
      <w:hyperlink r:id="rId225" w:history="1">
        <w:r>
          <w:rPr>
            <w:rFonts w:ascii="arial" w:eastAsia="arial" w:hAnsi="arial" w:cs="arial"/>
            <w:i/>
            <w:color w:val="0077CC"/>
            <w:sz w:val="20"/>
            <w:u w:val="single"/>
            <w:shd w:val="clear" w:color="auto" w:fill="FFFFFF"/>
            <w:lang w:val="en-US" w:eastAsia="en-US" w:bidi="ar-SA"/>
          </w:rPr>
          <w:t>[1993] B.C.J. No. 1241</w:t>
        </w:r>
      </w:hyperlink>
      <w:r>
        <w:rPr>
          <w:rFonts w:ascii="arial" w:eastAsia="arial" w:hAnsi="arial" w:cs="arial"/>
          <w:color w:val="000000"/>
          <w:sz w:val="20"/>
          <w:lang w:val="en-US" w:eastAsia="en-US" w:bidi="ar-SA"/>
        </w:rPr>
        <w:t xml:space="preserve"> (B.C.S.C.); Jessen v. Holloway Estate, </w:t>
      </w:r>
      <w:hyperlink r:id="rId226" w:history="1">
        <w:r>
          <w:rPr>
            <w:rFonts w:ascii="arial" w:eastAsia="arial" w:hAnsi="arial" w:cs="arial"/>
            <w:i/>
            <w:color w:val="0077CC"/>
            <w:sz w:val="20"/>
            <w:u w:val="single"/>
            <w:shd w:val="clear" w:color="auto" w:fill="FFFFFF"/>
            <w:lang w:val="en-US" w:eastAsia="en-US" w:bidi="ar-SA"/>
          </w:rPr>
          <w:t>[1994] B.C.J. No. 2631</w:t>
        </w:r>
      </w:hyperlink>
      <w:r>
        <w:rPr>
          <w:rFonts w:ascii="arial" w:eastAsia="arial" w:hAnsi="arial" w:cs="arial"/>
          <w:color w:val="000000"/>
          <w:sz w:val="20"/>
          <w:lang w:val="en-US" w:eastAsia="en-US" w:bidi="ar-SA"/>
        </w:rPr>
        <w:t xml:space="preserve"> (B.C.S.C.); Magyar Estate v. Kovacs, </w:t>
      </w:r>
      <w:hyperlink r:id="rId227" w:history="1">
        <w:r>
          <w:rPr>
            <w:rFonts w:ascii="arial" w:eastAsia="arial" w:hAnsi="arial" w:cs="arial"/>
            <w:i/>
            <w:color w:val="0077CC"/>
            <w:sz w:val="20"/>
            <w:u w:val="single"/>
            <w:shd w:val="clear" w:color="auto" w:fill="FFFFFF"/>
            <w:lang w:val="en-US" w:eastAsia="en-US" w:bidi="ar-SA"/>
          </w:rPr>
          <w:t>[1989] B.C.J. No. 1874</w:t>
        </w:r>
      </w:hyperlink>
      <w:r>
        <w:rPr>
          <w:rFonts w:ascii="arial" w:eastAsia="arial" w:hAnsi="arial" w:cs="arial"/>
          <w:color w:val="000000"/>
          <w:sz w:val="20"/>
          <w:lang w:val="en-US" w:eastAsia="en-US" w:bidi="ar-SA"/>
        </w:rPr>
        <w:t xml:space="preserve"> (B.C.S.C.); Moore v. RFID Systems Corp., </w:t>
      </w:r>
      <w:hyperlink r:id="rId228" w:history="1">
        <w:r>
          <w:rPr>
            <w:rFonts w:ascii="arial" w:eastAsia="arial" w:hAnsi="arial" w:cs="arial"/>
            <w:i/>
            <w:color w:val="0077CC"/>
            <w:sz w:val="20"/>
            <w:u w:val="single"/>
            <w:shd w:val="clear" w:color="auto" w:fill="FFFFFF"/>
            <w:lang w:val="en-US" w:eastAsia="en-US" w:bidi="ar-SA"/>
          </w:rPr>
          <w:t>[1998] B.C.J. No. 392</w:t>
        </w:r>
      </w:hyperlink>
      <w:r>
        <w:rPr>
          <w:rFonts w:ascii="arial" w:eastAsia="arial" w:hAnsi="arial" w:cs="arial"/>
          <w:color w:val="000000"/>
          <w:sz w:val="20"/>
          <w:lang w:val="en-US" w:eastAsia="en-US" w:bidi="ar-SA"/>
        </w:rPr>
        <w:t xml:space="preserve"> (B.C.S.C.); Plasway v. Abraham, </w:t>
      </w:r>
      <w:hyperlink r:id="rId229" w:history="1">
        <w:r>
          <w:rPr>
            <w:rFonts w:ascii="arial" w:eastAsia="arial" w:hAnsi="arial" w:cs="arial"/>
            <w:i/>
            <w:color w:val="0077CC"/>
            <w:sz w:val="20"/>
            <w:u w:val="single"/>
            <w:shd w:val="clear" w:color="auto" w:fill="FFFFFF"/>
            <w:lang w:val="en-US" w:eastAsia="en-US" w:bidi="ar-SA"/>
          </w:rPr>
          <w:t>[1991] B.C.J. No. 2612</w:t>
        </w:r>
      </w:hyperlink>
      <w:r>
        <w:rPr>
          <w:rFonts w:ascii="arial" w:eastAsia="arial" w:hAnsi="arial" w:cs="arial"/>
          <w:color w:val="000000"/>
          <w:sz w:val="20"/>
          <w:lang w:val="en-US" w:eastAsia="en-US" w:bidi="ar-SA"/>
        </w:rPr>
        <w:t xml:space="preserve"> (B.C.S.C); and Legion Credit Union (Co-Liquidators of) v. Marsh and Marsh, </w:t>
      </w:r>
      <w:hyperlink r:id="rId230" w:history="1">
        <w:r>
          <w:rPr>
            <w:rFonts w:ascii="arial" w:eastAsia="arial" w:hAnsi="arial" w:cs="arial"/>
            <w:i/>
            <w:color w:val="0077CC"/>
            <w:sz w:val="20"/>
            <w:u w:val="single"/>
            <w:shd w:val="clear" w:color="auto" w:fill="FFFFFF"/>
            <w:lang w:val="en-US" w:eastAsia="en-US" w:bidi="ar-SA"/>
          </w:rPr>
          <w:t>[1994] B.C.J. No. 2153</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Martin v. Royal Oak Holdings Ltd., </w:t>
      </w:r>
      <w:hyperlink r:id="rId231" w:history="1">
        <w:r>
          <w:rPr>
            <w:rFonts w:ascii="arial" w:eastAsia="arial" w:hAnsi="arial" w:cs="arial"/>
            <w:i/>
            <w:color w:val="0077CC"/>
            <w:sz w:val="20"/>
            <w:u w:val="single"/>
            <w:shd w:val="clear" w:color="auto" w:fill="FFFFFF"/>
            <w:lang w:val="en-US" w:eastAsia="en-US" w:bidi="ar-SA"/>
          </w:rPr>
          <w:t>[1987] B.C.J. No. 42</w:t>
        </w:r>
      </w:hyperlink>
      <w:r>
        <w:rPr>
          <w:rFonts w:ascii="arial" w:eastAsia="arial" w:hAnsi="arial" w:cs="arial"/>
          <w:color w:val="000000"/>
          <w:sz w:val="20"/>
          <w:lang w:val="en-US" w:eastAsia="en-US" w:bidi="ar-SA"/>
        </w:rPr>
        <w:t xml:space="preserve"> (B.C.S.C.), Proudfoot J. (as she then was) also dealt with an application by a plaintiff to strike out a Third Party Notice and decided that the plaintiff could not succeed on the application. However, she expressed this reservation about the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some doubt in my mind whether the plaintiffs have the necessary status to make this application before me now. (at p.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Other than in Alberta, the court Rules in other Canadian provinces do not contain an express provisions allowing a plaintiff to move to set aside a third party notice. Rule 68 of the Alberta Rules of Court expressly gives the plaintiff that right. In Westlands Industrial Park Ltd. v. Burgee Developments Ltd. </w:t>
      </w:r>
      <w:hyperlink r:id="rId232" w:history="1">
        <w:r>
          <w:rPr>
            <w:rFonts w:ascii="arial" w:eastAsia="arial" w:hAnsi="arial" w:cs="arial"/>
            <w:i/>
            <w:color w:val="0077CC"/>
            <w:sz w:val="20"/>
            <w:u w:val="single"/>
            <w:shd w:val="clear" w:color="auto" w:fill="FFFFFF"/>
            <w:lang w:val="en-US" w:eastAsia="en-US" w:bidi="ar-SA"/>
          </w:rPr>
          <w:t>[1982] A.J. No. 42</w:t>
        </w:r>
      </w:hyperlink>
      <w:r>
        <w:rPr>
          <w:rFonts w:ascii="arial" w:eastAsia="arial" w:hAnsi="arial" w:cs="arial"/>
          <w:color w:val="000000"/>
          <w:sz w:val="20"/>
          <w:lang w:val="en-US" w:eastAsia="en-US" w:bidi="ar-SA"/>
        </w:rPr>
        <w:t xml:space="preserve"> (Q.B.), Master Funduk observed that Rule 68 of the Alberta Rules of Court: "...appears to be a home grown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at least two occasions, Ontario decisions have dealt with an application by a plaintiff to strike out third party notices: Strable Lumber and Salt Co. v. Macdonald (1921), 20 O.W.N. 301 and The Victoria Trust and Savings Company v. Puckrin et al., [1945] O.W.N. 321 (H.C.). In Puckrin, supra, the Learned Master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to the plaintiff's right to make this application, the judgment in Strable Lumber ... indicates that although the third party Rules (165-171) make no provision for an application by the plaintiff to strike out the third party notice, that would not of itself prevent the Court, in a proper case, from exercising its power to deal with any improper proceeding. (at p. 322)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Puckrin, supra, Master Conant concluded that the plaintiff would be prejudiced or unnecessarily delayed and so allowed the application of the plaintiff. In this regard, he relied on what was then Rule 171 of the Ontario Rules of Court which provided:</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plaintiff is not to be prejudiced or unnecessarily delayed by reasons of questions between the defendant and the third party in which he is not concerned; and such directions shall be given and terms imposed as may be necessary to prevent delay of the plaintiff, where it can be done without injustice to the defendants and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decisions in both Puckrin and Strable, supra, deal with the question of whether a plaintiff would be prejudiced or unnecessarily delayed and, while cited for the proposition that a Plaintiff has standing to apply to strike out a third party notice, both decisions merely deal with the question of whether the Plaintiff will be prejudiced or unnecessarily delayed such that directions should be given and terms should be imposed as was within the discretion of the Court under Rule 171 of the Ontario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equivalent of Rule 171 of the Ontario Rules of Court is set out in Rule 22(18) of the British Columbia Rules of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22(18) The court may impose terms on any third party procedure to limit or avoid any prejudice or unnecessary delay that might otherwise be suffered by the plaintiff as a result of that third party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 case at bar, the Plaintiff only applies pursuant to Rule 22(18) in the alternative. Accordingly, the question which I am asked to determine is whether the plaintiff has standing to make an application pursuant to Rule 22(6) which states: "At any time, on application, the court may set aside a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Like all other provinces other than Alberta, there is nothing in that Rule which would eliminate the possibility that such an application may be made by a plaintiff. Similarly, there is nothing in the Rule which specifically includes the possibility of an application by a plaintiff. In the absence of clear language, it is appropriate to review the purpose of a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Because a third party notice is in the nature of a cause of action which a defendant has against a person other than the plaintiff, it should be the decision of the defendant and the court whether a notice should be issued and, as between the defendant and the third parties, whether that notice should be maintained.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 defendant is best able to determine whether there is any claim to contribution, to indemnity, or to any relief against a third party arising in respect of, relating to or connected with the original claim against the defendant by a plaintiff. To allow the Plaintiff to attempt to deny an alleged right to contribution, to indemnity, or to any relief against the third party by having standing to seek to strike out the third party notice subverts the purpose of the third party notice. The claims set out in a third party notice are claims which would ordinarily be available to a defendant and could possibly be the subject matter of a separate Writ of Summons. If commenced by separate action, the Plaintiff in these proceedings would have no standing to attempt to have the separate action dismissed. If that is the case, there is no good reason why this Plaintiff should have the ability to apply to have the third party notice set aside in this action. If the third party notice is ill founded, the third parties can apply pursuant to Rule 22(6) at any time to set aside the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the absence of a specific provision such as exists in the Alberta Rules of Court, I am satisfied that the only application a plaintiff can make regarding third party proceedings would be pursuant to Rules 22(17) and 22(18) which allow the court to impose terms on any third party procedures so that any prejudice or unnecessary delay of a plaintiff can be avoided. The use of the words "A party affected by a third party procedure" makes it clear that the Legislature contemplated that a plaintiff can apply for directions. The absence of words to that effect in Rule 22(6) reinforces my finding that it was not intended that a plaintiff could move to set aside a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Even if I am wrong in that conclusion, I am also satisfied that this application by this plaintiff should 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SHOULD THE THIRD PARTY NOTICE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the Third Party Notice, the Defendant claims that the Third Parties breached independent duties owed to the Defendant by making negligent misrepresentations to him and by failing to convey information to him regarding the other action. The Third Party Notice alleges that the wrongful acts, misrepresentations and failures to convey information were breaches of duties owed and were committed outside of any scope of authority the Plaintiff may have given to the Third Parties. In its submissions, the Plaintiff states that the Third Parties were directors and shareholders of the Plaintiff and, as they were the directing minds of the Plaintiff, the allegations set out in the Third Party Notice constitute a defence to the claim of the Plaintiff so that the Third Party Notices must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defendant relies upon the decisions in Legion Credit Union (Co-Liquidators of) v. Marsh &amp; Marsh, </w:t>
      </w:r>
      <w:hyperlink r:id="rId233" w:history="1">
        <w:r>
          <w:rPr>
            <w:rFonts w:ascii="arial" w:eastAsia="arial" w:hAnsi="arial" w:cs="arial"/>
            <w:i/>
            <w:color w:val="0077CC"/>
            <w:sz w:val="20"/>
            <w:u w:val="single"/>
            <w:shd w:val="clear" w:color="auto" w:fill="FFFFFF"/>
            <w:lang w:val="en-US" w:eastAsia="en-US" w:bidi="ar-SA"/>
          </w:rPr>
          <w:t>[1994] B.C.J. 2513</w:t>
        </w:r>
      </w:hyperlink>
      <w:r>
        <w:rPr>
          <w:rFonts w:ascii="arial" w:eastAsia="arial" w:hAnsi="arial" w:cs="arial"/>
          <w:color w:val="000000"/>
          <w:sz w:val="20"/>
          <w:lang w:val="en-US" w:eastAsia="en-US" w:bidi="ar-SA"/>
        </w:rPr>
        <w:t xml:space="preserve"> (B.C.S.C.) and Harvey Credit Union v. G.H. Ward &amp; Partners, </w:t>
      </w:r>
      <w:hyperlink r:id="rId234" w:history="1">
        <w:r>
          <w:rPr>
            <w:rFonts w:ascii="arial" w:eastAsia="arial" w:hAnsi="arial" w:cs="arial"/>
            <w:i/>
            <w:color w:val="0077CC"/>
            <w:sz w:val="20"/>
            <w:u w:val="single"/>
            <w:shd w:val="clear" w:color="auto" w:fill="FFFFFF"/>
            <w:lang w:val="en-US" w:eastAsia="en-US" w:bidi="ar-SA"/>
          </w:rPr>
          <w:t>[1981] O.J. 1040</w:t>
        </w:r>
      </w:hyperlink>
      <w:r>
        <w:rPr>
          <w:rFonts w:ascii="arial" w:eastAsia="arial" w:hAnsi="arial" w:cs="arial"/>
          <w:color w:val="000000"/>
          <w:sz w:val="20"/>
          <w:lang w:val="en-US" w:eastAsia="en-US" w:bidi="ar-SA"/>
        </w:rPr>
        <w:t xml:space="preserve"> (Ont. H.C.J.) and says that these decisions are indistinguishable from the facts in this case. I agree with that submission. In the Legion Credit Union decision, Newbury J. (as she then was) dealt with an application by the plaintiff to strike out a Third Party Notice in an action where the plaintiff sued the two former accounting firms and some of their partners and associates for failure to detect and advise the plaintiff of the defalcations of a former employee and where the defendants issued a Third Party Notice against the directors of the plaintiff Credit Union. The third party submitted that the claims against the directors were all matters which could properly be raised against the plaintiff by way of defence. The defendants submitted that the Third Party Notice disclosed a possible claim against the directors for which the Credit Union might not ultimately be responsible. Specifically, they submitted that, if the directors were acting in breach of their common law, statutory or fiduciary obligations towards the Credit Union, such conduct might fall outside the scope of their authority as directors and not result in the liability of the Credit Union.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Newbury J. concluded that "...it would be premature to determine the question of "scope of authority" of the Directors at this stage" and that it could not be said that the claim against the directors was "bound to fail". In arriving at that conclusion, Newbury J. also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any civil lawyer knows, the state of the law with respect to duty of care and proximity between non-contracting parties, particularly where a negligent mis-statement or failure to warn is alleged, is in a state of change and now turns more on factual determinations of proximity than on legal relationships that can be properly portrayed in pleadings. I find myself in the same situation as the Court in Quinette Coal Ltd. v. Bow Valley Resource Services Ltd. </w:t>
      </w:r>
      <w:hyperlink r:id="rId235" w:history="1">
        <w:r>
          <w:rPr>
            <w:rFonts w:ascii="arial" w:eastAsia="arial" w:hAnsi="arial" w:cs="arial"/>
            <w:i/>
            <w:color w:val="0077CC"/>
            <w:sz w:val="20"/>
            <w:u w:val="single"/>
            <w:shd w:val="clear" w:color="auto" w:fill="FFFFFF"/>
            <w:lang w:val="en-US" w:eastAsia="en-US" w:bidi="ar-SA"/>
          </w:rPr>
          <w:t>(1986) 19 C.L.R. 153</w:t>
        </w:r>
      </w:hyperlink>
      <w:r>
        <w:rPr>
          <w:rFonts w:ascii="arial" w:eastAsia="arial" w:hAnsi="arial" w:cs="arial"/>
          <w:color w:val="000000"/>
          <w:sz w:val="20"/>
          <w:lang w:val="en-US" w:eastAsia="en-US" w:bidi="ar-SA"/>
        </w:rPr>
        <w:t xml:space="preserve"> (B.C.S.C.), where after reviewing the leading English cases, including Anns v. Merton London Borough Council [1978] A.C. 728 (H.L.), McEachern, C.J.S.C. (as he then was) concluded that it was at least arguable that an engineer who had a contractual relationship with a project owner might owe an independent duty to a contractor, also engaged by the owner, with whom the engineer had no contractual relationship. Similarly here, it is at least arguable that the Directors will be found to have owed an independent duty of care to the TEW Defendants. Again, it cannot be said that it is "plain and obvious" that the trial judge will not reach such a conclusion. Accordingly, I decline to strike out the relevant paragraphs of the Notice. (at para.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Harvey Credit Union, supra, Steele J. dealt with an action by the plaintiff against the defendants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preparation of financial statements by the defendants as auditors of the Credit Union.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denied. The auditors commenced third party proceedings against all of the directors of the plaintiff seeking contribution and indemnity on the basis that, if the capital of the Credit Union was impaired, the impairment was caused solely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duty or want of care of the directors. Steele J. described the application of the plaintiff as being based on the submission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directors are the alter-ego of the plaintiff and that a third party action as against them does not lie, but that any legitimate claim the defendants may have by reason of the acts or omissions of the plaintiff's board of directors must be pleaded in defence and that if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proven then the plaintiff's action may fall to the extent that any such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proven. This would depend upon a finding at trial that the directors had acted within the scope of their authority. (at para.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However, Steele J. noted that the pleadings of the defendants stated that the directors were acting outside their authority.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present case the defendants have made a prima facie claim for relief over against the third parties and therefore the issue should be left until trial. The plaintiff may be embarrassed by the third party action taken against its own directors and some inconvenience and delay may be caused: however, this must be weighed against the more serious possible injustice to the defendants who might have judgment given against them for the total amount with no claim against the directors of the plaintiff even if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found.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Hopegain submits that it will not be in a position to pursue the claim against the Defendant as all of its directors and officers are now third parties in these proceedings. I am satisfied that this should not be a concern. First, I cannot conclude that the Plaintiff and its officers and directors are adverse in interest. If that is the case, then the Plaintiff and its officers and directors can all be represented by the present solicitor for the Plaintiff. Second, I rely on the following statement made by Steele J. in the Harvey Credit Union Decision, supra: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also alleges that the third party action would tend to embarrass and delay a fair trial because the defendants have effectively prevented the plaintiff from prosecuting the action by adding as third parties to the very persons who actually give instructions on behalf of the plaintiff and that it would allow the defendants to obtain discovery of persons that they would not otherwise be entitled 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auditors normally must work closely with management and directors of companies in order to perform their function, it is the members or shareholders of the company who appoint the auditors and not the directors. The auditors' duty appears to be owed to the company and if they are negligent or do not properly perform their duties, their liability is to the company. In many aspects, the directors are the alter ego of the company but by statute the directors appear to separately owe a duty to the company. While the auditors may not have a separate cause of action against the directors, it may be that the evidence at trial would disclose that both were negligent or failed in their respective functions. If only the auditors are defendants, then regardless of what degree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found judgment would go only against the auditors if they were found that the directors had operated outside their authority.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paras.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Hopegain is a separate entity from its members and its directors. It is possible for the defendant to have a cause of action against the directors even though that same cause of action is not available against Hopegain. That is what is alleged here and the "defence" of that allegation is not a defence which can be raised by the defendant as part of the Statement of Defence. In this regard, the Plaintiff submits that the allegations in the Third Party Notice constitute a defence to the Plaintiff's claim,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any) of the Third Parties is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and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third party claim will not lie against another person with respect to an obligation belonging to the plaintiff which the defendant can raise directly against the plaintiff by way of a defence. (Adams, Adams and Sealeigh Park Estates Ltd. v. Thompson, Berwick, Pratt &amp; Partners et al. </w:t>
      </w:r>
      <w:hyperlink r:id="rId236" w:history="1">
        <w:r>
          <w:rPr>
            <w:rFonts w:ascii="arial" w:eastAsia="arial" w:hAnsi="arial" w:cs="arial"/>
            <w:i/>
            <w:color w:val="0077CC"/>
            <w:sz w:val="20"/>
            <w:u w:val="single"/>
            <w:shd w:val="clear" w:color="auto" w:fill="FFFFFF"/>
            <w:lang w:val="en-US" w:eastAsia="en-US" w:bidi="ar-SA"/>
          </w:rPr>
          <w:t>(1987), 15 B.C.L.R. (2d) 51</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Rule 22(14) applies specifically to the case at bar:</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defendant who claims contribution or indemnity under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from a person shall do so</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person is a plaintiff, by counterclaim, or</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other case, whether or not the person is a party to the action, by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Some but not all of the matters raised in the Third Party Notices are also matters which can be raised and were raised in the Statement of Defence. However, the separate claims that the Defendant may have against the Third Parties are clearly not matters which a defendant could raise directly against the Plaintiff by way of a defence. I adopt the decisions and reasoning in Legion Credit Union and Harvey Credit Union, supra, and conclude that it would be premature to determine the question of the scope of authority of the directors and officers of the plaintiff at this stage of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the Third Party Notices allege separate causes of action against the Third Parties, as the Third Parties are not one and the same as the Plaintiff, it is not appropriate for those claims to be raised directly as part of the defence. The numerous decisions relied upon by the Plaintiff are inapplicable here as they relate to matters which are properly part of a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a further submission, the Plaintiff submits that, where a plaintiff has expressly agreed with a third party not to seek to recover from the defendant any portion of the plaintiff's losses which the court might attribute to the fault of the third party, the defendant's claim against the third party for contribution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Plaintiff relies on the decision in British Columbia Ferry Corp. v. T &amp; N plc, </w:t>
      </w:r>
      <w:hyperlink r:id="rId237" w:history="1">
        <w:r>
          <w:rPr>
            <w:rFonts w:ascii="arial" w:eastAsia="arial" w:hAnsi="arial" w:cs="arial"/>
            <w:i/>
            <w:color w:val="0077CC"/>
            <w:sz w:val="20"/>
            <w:u w:val="single"/>
            <w:shd w:val="clear" w:color="auto" w:fill="FFFFFF"/>
            <w:lang w:val="en-US" w:eastAsia="en-US" w:bidi="ar-SA"/>
          </w:rPr>
          <w:t>[1996] 4 W.W.R. 161</w:t>
        </w:r>
      </w:hyperlink>
      <w:r>
        <w:rPr>
          <w:rFonts w:ascii="arial" w:eastAsia="arial" w:hAnsi="arial" w:cs="arial"/>
          <w:color w:val="000000"/>
          <w:sz w:val="20"/>
          <w:lang w:val="en-US" w:eastAsia="en-US" w:bidi="ar-SA"/>
        </w:rPr>
        <w:t xml:space="preserve"> (B.C.C.A.) in that regard. In that decision, he Plaintiff had commenced an action against the Defendants claiming 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out of the alleged installation by the Defendants of asbestos products in 33 ferries owned by the Plaintiffs. The Defendants issued third party notices against 22 entities who were contractors, subcontractors, installers and architects on the construction, remodelling and refitting of the ferries alleged by the Plaintiff to have been damaged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The third party notices alleged that the third parties each owed duties of care both to the Plaintiff and to the Defendant and that they had breached those duties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At trial, it was submitted on behalf of the Plaintiffs that, if the Defendants are saved harmless of any damages caused or contributed to by the fault of a concurrent tortfeasor, there is no need to exercise the third party notice as there is no basis upon which the right to contribution or indemnity is available. On behalf of the Court, Wood J.A. upheld the finding of the learned trial judge that there was no proximity between the defendants and the third parties so as to establish a duty of care and dismissed the appeals from the judgement of the learned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Wood J.A. on behalf of the Court noted that the appellants' counsel had conceded that, if the defendants had been saved harmless from any damages caused or contributed to by the fault of a concurrent tortfeasor, there was no need to exercise the third party notice as there was no basis upon which the right to contribution or indemnity would be available. Wood J.A. described the appropriate procedure in the circumstances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to avoid any uncertainty that may arise with respect to the need for a determination at trial to the degree of fault, if any, attributable to non-defendants, I am of the view that the express waiver should properly form part of the pleadings in this action, and that a further amendment should be made to the Statement of Claim, wherein the substance of that waiver is clearly set out. When that is done, there will be no doubt as to the limit of the plaintiffs' claim for damages, nor will there be any uncertainty as to the obligation of the trial judge to determine what fault, if any, for the plaintiffs' loss is attributable to others than the defendants. (at p. 168)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submits that the decision in British Columbia Ferry Corp. is applicable here in view of this advice set out in the November 21, 2001 Affidavit of Winfield Yan: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since we have no wish to, effectively, be suing ourselves, the Plaintiff has expressly resolved that it will not seek to recover from the Defendant any portion of the Plaintiff's losses which this court might attribute to the fault of the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Without deciding whether the decision in British Columbia Ferry Corp. is applicable to the facts in the case at bar, there is no resolution of the shareholders or of the directors in evidence and there has been neither an application nor an Order relating to an amendment of the Statement of Claim. Accordingly, I am satisfied that the prerequisites to the order made at the trial level in British Columbia Ferry Corp. are not present here. It would not be appropriate to strike out this Third Party Notice on the grounds that the British Columbia Ferry Corp. decision is 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application of the Plaintiff is dismissed so that the Third Party Notice will not be struck. I am also satisfied that there are not sufficient grounds to make the order sought under Rule 22(18) that the hearing of the matters set out in the Third Party Notices be stayed until the claim of the Plaintiff can be adjudicated. Accordingly, that application is also dismissed. However, the Plaintiff will be at liberty to apply for directions again under Rule 22(17) and (18) to show that the third party procedure should be limited to avoid any prejudice or unnecessary delay to the Plaintiff. I continue to be seized of pre-Trial applications on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 will be entitled to the costs of this application in any event of the cause but not payable forthwith. In order to avoid the necessity of an assessment of the same before the Registrar, I will assess the sum payable as $850 inclusive of fees, disbursements and government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0"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Kabir v. Simpson, [2016] B.C.J. No. 1822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J.E. Watchuk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3-4,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29,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M158191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1822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1594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Farahnoz Abdul Kabir, Plaintiff, and Megan Colleen Simpson,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1"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1" w:name="Keywords_15"/>
      <w:bookmarkEnd w:id="101"/>
      <w:r>
        <w:rPr>
          <w:rFonts w:ascii="arial" w:eastAsia="arial" w:hAnsi="arial" w:cs="arial"/>
          <w:b/>
          <w:color w:val="000000"/>
          <w:sz w:val="20"/>
          <w:lang w:val="en-US" w:eastAsia="en-US" w:bidi="ar-SA"/>
        </w:rPr>
        <w:t xml:space="preserve">Transportation law — Motor vehicles and highway traffic — Rules of the road — Intersections — Turns — Left turn at intersection — Liability — Civil 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left-turning driver at intersection against driver proceeding straight on yellow light who struck her allowed, and liability for accident apportioned 50/50 — Defendant, Simpson, had right of way proceeding through intersection, but breached duty in failing to stop for yellow when it was not unsafe to do so — Plaintiff, Kabir, lacked credibility in changing story that she did not know what colour light was when she made turn in front of Simpson vehicle — Kabir failed to yield right of way to dominant driver — Motor Vehicle Act, ss. 128, 129, 174.</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2" w:name="Case Summary_14"/>
            <w:bookmarkEnd w:id="10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Kabir seeking damages for personal injuries sustained in a February 2012 motor vehicle accident with Simpson. The accident took place at an intersection. Road conditions were dry. Kabir was driving south on Gaglardi, intending to turn left onto Cariboo at the intersection. She entered and stopped in the left turn lane. Simpson was driving north on Gaglardi, intending to continue straight through the intersection. She claimed the light turned yellow as she entered the intersection and that Kabir turned left in front of her. Simpson honked her horn and tried to swerve right to avoid a collision, but was unable to avoid the Kabir vehicle. Both vehicles sustained significant front-end damage. Kabir claimed she turned left when the light had already turned red. She testified other northbound vehicles had already stopped before she tried to make her left turn. She expected Simpson to stop as well. Kabir was ticketed for her left turn by an officer who attended the scene. Kabir had stated to this officer that she did not see the light when she was turning, but in court, she claimed she did not recall this statement. Simpson testified that her car was completely in the intersection when Kabir began her left turn. She testified that she entered the intersection on a yellow because there was a car close enough behind her that if she stopped, she would be rear-ended. The officer who attended the accident scene testified that the damage to the vehicles was not consistent with Simpson having entered the intersection late after Kabir had started her left turn. He interpreted skid marks on the road as indicating that Simpson tried to brake to avoid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3" w:name="Holdings of Court_9"/>
            <w:bookmarkEnd w:id="103"/>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Kabir and Simpson were found equally liable for the accident. Based on the inconsistencies in her statements to police and in court, as well as the other evidence, Kabir failed to establish that she commenced her turn on a red light. Simpson was more consistent in her evidence and more credible, because she admitted her memory of the accident was less than perfect. Her testimony that she entered the intersection when the light was yellow was consistent with the physical evidence and the officer's assessment. The court accepted Simpson's claim that there was a vehicle close behind her when she entered the intersection. Simpson was the dominant driver and had the right of way in the intersection. Kabir had an obligation to yield, while Simpson had an obligation to stop at the yellow light unless she could not do so safely. Simpson breached this obligation by entering the intersection. If she had time to honk and brake, she should have had time to stop before entering the intersection.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4" w:name="Legislation Cited_11"/>
      <w:bookmarkEnd w:id="10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2"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245" w:history="1">
        <w:r>
          <w:rPr>
            <w:rFonts w:ascii="arial" w:eastAsia="arial" w:hAnsi="arial" w:cs="arial"/>
            <w:i/>
            <w:color w:val="0077CC"/>
            <w:sz w:val="20"/>
            <w:u w:val="single"/>
            <w:shd w:val="clear" w:color="auto" w:fill="FFFFFF"/>
            <w:lang w:val="en-US" w:eastAsia="en-US" w:bidi="ar-SA"/>
          </w:rPr>
          <w:t>R.S.B.C. 1996, c. 318, s. 127</w:t>
        </w:r>
      </w:hyperlink>
      <w:r>
        <w:rPr>
          <w:rFonts w:ascii="arial" w:eastAsia="arial" w:hAnsi="arial" w:cs="arial"/>
          <w:color w:val="000000"/>
          <w:sz w:val="20"/>
          <w:lang w:val="en-US" w:eastAsia="en-US" w:bidi="ar-SA"/>
        </w:rPr>
        <w:t>, s. 128, s. 129, s. 174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5" w:name="Counsel_15"/>
      <w:bookmarkEnd w:id="10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3" style="position:absolute;z-index:2517770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Neil A. Mulholland.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 Scott Birch.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6" w:name="Judgment_15"/>
      <w:bookmarkEnd w:id="106"/>
      <w:r>
        <w:pict>
          <v:line id="_x0000_s1104" style="position:absolute;z-index:2518282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7" w:name="J.E. WATCHUK J."/>
            <w:bookmarkEnd w:id="107"/>
            <w:r>
              <w:rPr>
                <w:rFonts w:ascii="arial" w:eastAsia="arial" w:hAnsi="arial" w:cs="arial"/>
                <w:b/>
                <w:color w:val="000000"/>
                <w:sz w:val="30"/>
                <w:lang w:val="en-US" w:eastAsia="en-US" w:bidi="ar-SA"/>
              </w:rPr>
              <w:t>J.E. WATCHUK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At issue in this trial is liability for a motor vehicle accident which occurred on February 14, 2012, at the intersection of Gaglardi Way and Cariboo Road, Burnaby, British Columbia ("the collision"). The collision occurred as the plaintiff, Farahnoz Kabir, was making a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It is the plaintiff's position that the collision is solely, or in the alternative, predominantly the fault of the defendant, Megan Simpson, who was the through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says that there is no basis for a finding of 100% fault against her. The fault attributable to the defendant, in her submission--depending on the colour of the light when the defendant entered the intersection and whether there was an Advance Warning Flasher--is none, 25% or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At the time of the collision, approximately 5:00 pm on February 14, 2012, the roads were dry at the intersection of Gaglardi Way and Cariboo Road. The plaintiff was driving a white Toyota Corolla and the defendant was driving a blue Nissan Versa. Both drivers were alone in their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Immediately prior to the collision, the plaintiff had been driving south on Gaglardi Way on her way home from work in Coquitlam. Her intention was to turn left from Gaglardi Way to travel eastbound on Cariboo Road to pick up her daughter at daycare. In order to initiate her left turn she stopped in the left turn lane. The plaintiff was in the process of executing a left turn when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was coming from school at the Willingdon campus of BCIT. She was driving northbound on Gaglardi Way and intended to continue straight through the intersection to her home in Coquitlam. Prior to arriving at the intersection, she had exited onto the eastbound Gaglardi Way overpass from the eastbound direction of Highway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intersection is a "T" governed by traffic lights and configured such that traffic on Gaglardi Way can proceed north and south through the intersection or turn east on Cariboo Road. There was a left turn lane for southbound Gaglardi traffic and one or two northbound lanes on Gaglardi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was waiting to turn left onto Cariboo Road. She says that she turned left on a red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As the defendant approached the intersection her evidence is that the light turned yellow about one car length or more before her entering the intersection. After the defendant entered the intersection, the plaintiff's car turned left in front of her. The defendant honked her horn and swerved to the right in an attempt to avoid the collision. However,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Between the date of the collision and the date of the trial, there has been construction at and around the intersection and exit to the Gaglardi Way overpass on Highway 1. The extent of the differences of the configuration of the intersection and exit from the date of the collision to the present time is unclear. Google Map photographs with various dates were entered into evidence. There was no other evidence of the sequence of lights or configuration of the intersection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photos in the police file show extensive damage to the front of each vehicle. Both vehicles were written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Firetrucks, police, and ambulance attended the scene of the collision. No witnesses came forward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trial, both parties testified as did Constable David Carter of the Burnaby RCMP who had attended at the scene of the collision. The handwritten notes, typed reports, and photos of Cst. Carter were taken into account as was his testimony regarding the process of investigation. The conclusions he arrived at in issuing a ticket to the plaintiff were accepted as part of the narrative.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are notable differences in the evidence of the parties. I will summarise the evidence of all three witnesses, and then make findings of fact on the issues presented by the evidence with reference to some evidence in more detail. Finally I will apply the law to the facts as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To put the evidence in context, I will first review the law regarding the duties and obligations of motorists generally and those who are making left turns specifically, as well as the law regarding the determination of issues arising from collisions which involve a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THE 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applicable sections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are sections 128, 129 &amp; 174: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Yellow light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128(1) When a yellow light alone is exhibited at an intersection by a traffic control signal, following the exhibition of a green light,</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approaching the intersection and facing the yellow light must cause it to stop before entering the marked crosswalk on the near side of the intersection, or if there is no marked crosswalk, before entering the intersection, unless the stop cannot be made in safety,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Red light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129(1) Subject to subsection (2), when a red light alone is exhibited at an intersection by a traffic control signal, the driver of a vehicle approaching the intersection and facing the red light must cause it to stop before entering the marked crosswalk on the nearside of the intersection, or if there is no marked crosswalk, before entering the intersection, and subject to the provisions of subsection (3), must not cause the vehicle to proceed until a traffic control signal instructs the driver that he or she is permitted to do 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Yielding right of way on left turn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174 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common-law duties of motorists are described in </w:t>
      </w:r>
      <w:r>
        <w:rPr>
          <w:rFonts w:ascii="arial" w:eastAsia="arial" w:hAnsi="arial" w:cs="arial"/>
          <w:i/>
          <w:color w:val="000000"/>
          <w:sz w:val="20"/>
          <w:lang w:val="en-US" w:eastAsia="en-US" w:bidi="ar-SA"/>
        </w:rPr>
        <w:t>Stewart v. Dueck</w:t>
      </w:r>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2012 BCSC 1729</w:t>
        </w:r>
      </w:hyperlink>
      <w:r>
        <w:rPr>
          <w:rFonts w:ascii="arial" w:eastAsia="arial" w:hAnsi="arial" w:cs="arial"/>
          <w:color w:val="000000"/>
          <w:sz w:val="20"/>
          <w:lang w:val="en-US" w:eastAsia="en-US" w:bidi="ar-SA"/>
        </w:rPr>
        <w:t xml:space="preserve"> at paras. 38-40: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The authorities establish that all motorists have an overarching common law duty to exercise what constitutes, in all the circumstances, reasonable and due care. All motorists have a general duty to keep a proper look-out and to take reasonable precautions in response to apparent potential hazards: </w:t>
      </w:r>
      <w:r>
        <w:rPr>
          <w:rFonts w:ascii="arial" w:eastAsia="arial" w:hAnsi="arial" w:cs="arial"/>
          <w:i/>
          <w:color w:val="000000"/>
          <w:sz w:val="20"/>
          <w:lang w:val="en-US" w:eastAsia="en-US" w:bidi="ar-SA"/>
        </w:rPr>
        <w:t>Hmaied 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Wilkinson</w:t>
      </w:r>
      <w:r>
        <w:rPr>
          <w:rFonts w:ascii="arial" w:eastAsia="arial" w:hAnsi="arial" w:cs="arial"/>
          <w:color w:val="000000"/>
          <w:sz w:val="20"/>
          <w:lang w:val="en-US" w:eastAsia="en-US" w:bidi="ar-SA"/>
        </w:rPr>
        <w:t xml:space="preserve">, </w:t>
      </w:r>
      <w:hyperlink r:id="rId247" w:history="1">
        <w:r>
          <w:rPr>
            <w:rFonts w:ascii="arial" w:eastAsia="arial" w:hAnsi="arial" w:cs="arial"/>
            <w:i/>
            <w:color w:val="0077CC"/>
            <w:sz w:val="20"/>
            <w:u w:val="single"/>
            <w:shd w:val="clear" w:color="auto" w:fill="FFFFFF"/>
            <w:lang w:val="en-US" w:eastAsia="en-US" w:bidi="ar-SA"/>
          </w:rPr>
          <w:t>2010 BCSC 1074</w:t>
        </w:r>
      </w:hyperlink>
      <w:r>
        <w:rPr>
          <w:rFonts w:ascii="arial" w:eastAsia="arial" w:hAnsi="arial" w:cs="arial"/>
          <w:color w:val="000000"/>
          <w:sz w:val="20"/>
          <w:lang w:val="en-US" w:eastAsia="en-US" w:bidi="ar-SA"/>
        </w:rPr>
        <w:t xml:space="preserve"> at para. 23.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It is a well-settled proposition that drivers in this province are entitled to assume, within reason, that the other users of the roads in British Columbia will obey the law: </w:t>
      </w:r>
      <w:r>
        <w:rPr>
          <w:rFonts w:ascii="arial" w:eastAsia="arial" w:hAnsi="arial" w:cs="arial"/>
          <w:i/>
          <w:color w:val="000000"/>
          <w:sz w:val="20"/>
          <w:lang w:val="en-US" w:eastAsia="en-US" w:bidi="ar-SA"/>
        </w:rPr>
        <w:t>Mills v. Siefred</w:t>
      </w:r>
      <w:r>
        <w:rPr>
          <w:rFonts w:ascii="arial" w:eastAsia="arial" w:hAnsi="arial" w:cs="arial"/>
          <w:color w:val="000000"/>
          <w:sz w:val="20"/>
          <w:lang w:val="en-US" w:eastAsia="en-US" w:bidi="ar-SA"/>
        </w:rPr>
        <w:t xml:space="preserve">, </w:t>
      </w:r>
      <w:hyperlink r:id="rId248" w:history="1">
        <w:r>
          <w:rPr>
            <w:rFonts w:ascii="arial" w:eastAsia="arial" w:hAnsi="arial" w:cs="arial"/>
            <w:i/>
            <w:color w:val="0077CC"/>
            <w:sz w:val="20"/>
            <w:u w:val="single"/>
            <w:shd w:val="clear" w:color="auto" w:fill="FFFFFF"/>
            <w:lang w:val="en-US" w:eastAsia="en-US" w:bidi="ar-SA"/>
          </w:rPr>
          <w:t>2010 BCCA 404</w:t>
        </w:r>
      </w:hyperlink>
      <w:r>
        <w:rPr>
          <w:rFonts w:ascii="arial" w:eastAsia="arial" w:hAnsi="arial" w:cs="arial"/>
          <w:color w:val="000000"/>
          <w:sz w:val="20"/>
          <w:lang w:val="en-US" w:eastAsia="en-US" w:bidi="ar-SA"/>
        </w:rPr>
        <w:t xml:space="preserve"> at para. 26.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The Court's task is to determine whether each of the parties in an accident met their common law duties of care. The analysis of the standard of care, which is relevant to the particular circumstances, is informed by both the reasonableness of the parties' actions and by the rules of the road;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xml:space="preserve"> at para. 21; </w:t>
      </w:r>
      <w:r>
        <w:rPr>
          <w:rFonts w:ascii="arial" w:eastAsia="arial" w:hAnsi="arial" w:cs="arial"/>
          <w:i/>
          <w:color w:val="000000"/>
          <w:sz w:val="20"/>
          <w:lang w:val="en-US" w:eastAsia="en-US" w:bidi="ar-SA"/>
        </w:rPr>
        <w:t>Kilian v. Valentin</w:t>
      </w:r>
      <w:r>
        <w:rPr>
          <w:rFonts w:ascii="arial" w:eastAsia="arial" w:hAnsi="arial" w:cs="arial"/>
          <w:color w:val="000000"/>
          <w:sz w:val="20"/>
          <w:lang w:val="en-US" w:eastAsia="en-US" w:bidi="ar-SA"/>
        </w:rPr>
        <w:t xml:space="preserve">, </w:t>
      </w:r>
      <w:hyperlink r:id="rId250" w:history="1">
        <w:r>
          <w:rPr>
            <w:rFonts w:ascii="arial" w:eastAsia="arial" w:hAnsi="arial" w:cs="arial"/>
            <w:i/>
            <w:color w:val="0077CC"/>
            <w:sz w:val="20"/>
            <w:u w:val="single"/>
            <w:shd w:val="clear" w:color="auto" w:fill="FFFFFF"/>
            <w:lang w:val="en-US" w:eastAsia="en-US" w:bidi="ar-SA"/>
          </w:rPr>
          <w:t>2012 BCSC 1434</w:t>
        </w:r>
      </w:hyperlink>
      <w:r>
        <w:rPr>
          <w:rFonts w:ascii="arial" w:eastAsia="arial" w:hAnsi="arial" w:cs="arial"/>
          <w:color w:val="000000"/>
          <w:sz w:val="20"/>
          <w:lang w:val="en-US" w:eastAsia="en-US" w:bidi="ar-SA"/>
        </w:rPr>
        <w:t xml:space="preserve">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Many decisions of the courts of this province have considered the relationship between the duties imposed by these statutory sections and the common law duties owed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case law discussing left-turning vehicles engages s. 174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the obligations of drivers depending on the colour of the light at the time of the left turn: s. 127 for a green light; s. 128 for a yellow light, and s. 129 for a red light. As stated in </w:t>
      </w:r>
      <w:r>
        <w:rPr>
          <w:rFonts w:ascii="arial" w:eastAsia="arial" w:hAnsi="arial" w:cs="arial"/>
          <w:i/>
          <w:color w:val="000000"/>
          <w:sz w:val="20"/>
          <w:lang w:val="en-US" w:eastAsia="en-US" w:bidi="ar-SA"/>
        </w:rPr>
        <w:t>Miller v. Dent</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2014 BCCA 234</w:t>
        </w:r>
      </w:hyperlink>
      <w:r>
        <w:rPr>
          <w:rFonts w:ascii="arial" w:eastAsia="arial" w:hAnsi="arial" w:cs="arial"/>
          <w:color w:val="000000"/>
          <w:sz w:val="20"/>
          <w:lang w:val="en-US" w:eastAsia="en-US" w:bidi="ar-SA"/>
        </w:rPr>
        <w:t xml:space="preserve"> at para. 16, the first stage of the liability analysis should be a determination of the colour of the light. If the light is green, the through driver has the right of way. Conversely, if the light is red, the through driver must stop prior to entering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If the light is yellow when the left-turning vehicle starts the turn, it is necessary to first assess who the dominant driver was, relying on the principles in </w:t>
      </w:r>
      <w:r>
        <w:rPr>
          <w:rFonts w:ascii="arial" w:eastAsia="arial" w:hAnsi="arial" w:cs="arial"/>
          <w:i/>
          <w:color w:val="000000"/>
          <w:sz w:val="20"/>
          <w:lang w:val="en-US" w:eastAsia="en-US" w:bidi="ar-SA"/>
        </w:rPr>
        <w:t>Nerval v. Khehra</w:t>
      </w:r>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2012 BCCA 436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Pacheco (Guardian ad litem) v. Robinson</w:t>
      </w:r>
      <w:r>
        <w:rPr>
          <w:rFonts w:ascii="arial" w:eastAsia="arial" w:hAnsi="arial" w:cs="arial"/>
          <w:color w:val="000000"/>
          <w:sz w:val="20"/>
          <w:lang w:val="en-US" w:eastAsia="en-US" w:bidi="ar-SA"/>
        </w:rPr>
        <w:t xml:space="preserve"> </w:t>
      </w:r>
      <w:hyperlink r:id="rId253" w:history="1">
        <w:r>
          <w:rPr>
            <w:rFonts w:ascii="arial" w:eastAsia="arial" w:hAnsi="arial" w:cs="arial"/>
            <w:i/>
            <w:color w:val="0077CC"/>
            <w:sz w:val="20"/>
            <w:u w:val="single"/>
            <w:shd w:val="clear" w:color="auto" w:fill="FFFFFF"/>
            <w:lang w:val="en-US" w:eastAsia="en-US" w:bidi="ar-SA"/>
          </w:rPr>
          <w:t>(1993) 75 B.C.L.R. (2d) 273</w:t>
        </w:r>
      </w:hyperlink>
      <w:r>
        <w:rPr>
          <w:rFonts w:ascii="arial" w:eastAsia="arial" w:hAnsi="arial" w:cs="arial"/>
          <w:color w:val="000000"/>
          <w:sz w:val="20"/>
          <w:lang w:val="en-US" w:eastAsia="en-US" w:bidi="ar-SA"/>
        </w:rPr>
        <w:t xml:space="preserve">, </w:t>
      </w:r>
      <w:hyperlink r:id="rId253" w:history="1">
        <w:r>
          <w:rPr>
            <w:rFonts w:ascii="arial" w:eastAsia="arial" w:hAnsi="arial" w:cs="arial"/>
            <w:i/>
            <w:color w:val="0077CC"/>
            <w:sz w:val="20"/>
            <w:u w:val="single"/>
            <w:shd w:val="clear" w:color="auto" w:fill="FFFFFF"/>
            <w:lang w:val="en-US" w:eastAsia="en-US" w:bidi="ar-SA"/>
          </w:rPr>
          <w:t>22 B.C.A.C. 185</w:t>
        </w:r>
      </w:hyperlink>
      <w:r>
        <w:rPr>
          <w:rFonts w:ascii="arial" w:eastAsia="arial" w:hAnsi="arial" w:cs="arial"/>
          <w:color w:val="000000"/>
          <w:sz w:val="20"/>
          <w:lang w:val="en-US" w:eastAsia="en-US" w:bidi="ar-SA"/>
        </w:rPr>
        <w:t xml:space="preserve"> (C.A.). Harris J.A. in </w:t>
      </w:r>
      <w:r>
        <w:rPr>
          <w:rFonts w:ascii="arial" w:eastAsia="arial" w:hAnsi="arial" w:cs="arial"/>
          <w:i/>
          <w:color w:val="000000"/>
          <w:sz w:val="20"/>
          <w:lang w:val="en-US" w:eastAsia="en-US" w:bidi="ar-SA"/>
        </w:rPr>
        <w:t>Nerval</w:t>
      </w:r>
      <w:r>
        <w:rPr>
          <w:rFonts w:ascii="arial" w:eastAsia="arial" w:hAnsi="arial" w:cs="arial"/>
          <w:color w:val="000000"/>
          <w:sz w:val="20"/>
          <w:lang w:val="en-US" w:eastAsia="en-US" w:bidi="ar-SA"/>
        </w:rPr>
        <w:t xml:space="preserve"> states at paras. 33-35: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 principles laid down in </w:t>
      </w:r>
      <w:r>
        <w:rPr>
          <w:rFonts w:ascii="arial" w:eastAsia="arial" w:hAnsi="arial" w:cs="arial"/>
          <w:i/>
          <w:color w:val="000000"/>
          <w:sz w:val="20"/>
          <w:lang w:val="en-US" w:eastAsia="en-US" w:bidi="ar-SA"/>
        </w:rPr>
        <w:t>Pacheco</w:t>
      </w:r>
      <w:r>
        <w:rPr>
          <w:rFonts w:ascii="arial" w:eastAsia="arial" w:hAnsi="arial" w:cs="arial"/>
          <w:color w:val="000000"/>
          <w:sz w:val="20"/>
          <w:lang w:val="en-US" w:eastAsia="en-US" w:bidi="ar-SA"/>
        </w:rPr>
        <w:t xml:space="preserve"> lead to the conclusion that the starting point of the analysis is that when a left turning driver is assessing making a left turn in an intersection he or she must yield the right of way to oncoming traffic unless it is not an immediate hazard. Describing a driver as dominant means no more than that driver has the right of way, whereas the servient driver has the obligation to yield the right of way. The obligation imposed by s. 174 on the left turning vehicle is that it "must yield the right of way to traffic approaching from the opposite direction that is in the intersection or so close as to constitute an immediate hazard". A left turn must not be commenced unless it is clearly safe to do so. If there are no vehicles in the intersection or sufficiently close to be an imminent hazard, the driver may turn left and approaching traffic must yield the right of way. In other words, if a left turning driver complies with his or her obligation only to start the left turn when no other vehicles are in the intersection or constitute an immediate hazard, then the left turning driver assumes the relationship of being the dominant vehicle and approaching vehicles become servient and must yield the right of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As observed in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xml:space="preserve"> at para. 33, the words "immediate hazard" are "used to determine when a vehicle may lawfully enter an intersection. They determine who is the dominant driver, but do not, by themselves, define the standard of care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The effect of s. 174 is to cast the burden of proving the absence of an immediate hazard at the moment the left turn begins onto the left turning driver. This result flows inevitably from the wording of the section itself, given the nature of the absolute obligation the section creates. If a left turning driver, in the face of this statutory obligation, asserts that he or she started to turn left when it was safe to do so, then the burden of proving that fact rests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To determine whether the through driver is an immediate hazard, it is necessary to assess what risk the through driver poses if no intervening action is taken. Justice Fitch states in </w:t>
      </w:r>
      <w:r>
        <w:rPr>
          <w:rFonts w:ascii="arial" w:eastAsia="arial" w:hAnsi="arial" w:cs="arial"/>
          <w:i/>
          <w:color w:val="000000"/>
          <w:sz w:val="20"/>
          <w:lang w:val="en-US" w:eastAsia="en-US" w:bidi="ar-SA"/>
        </w:rPr>
        <w:t>Boyd v. Baldwin</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2015 BCSC 887</w:t>
        </w:r>
      </w:hyperlink>
      <w:r>
        <w:rPr>
          <w:rFonts w:ascii="arial" w:eastAsia="arial" w:hAnsi="arial" w:cs="arial"/>
          <w:color w:val="000000"/>
          <w:sz w:val="20"/>
          <w:lang w:val="en-US" w:eastAsia="en-US" w:bidi="ar-SA"/>
        </w:rPr>
        <w:t xml:space="preserve"> at para. 65: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[65] The classic statement of law as to when an oncoming vehicle constitutes an "immediate hazard" is found in </w:t>
      </w:r>
      <w:r>
        <w:rPr>
          <w:rFonts w:ascii="arial" w:eastAsia="arial" w:hAnsi="arial" w:cs="arial"/>
          <w:i/>
          <w:color w:val="000000"/>
          <w:sz w:val="20"/>
          <w:lang w:val="en-US" w:eastAsia="en-US" w:bidi="ar-SA"/>
        </w:rPr>
        <w:t>Raie v. Thorpe</w:t>
      </w:r>
      <w:r>
        <w:rPr>
          <w:rFonts w:ascii="arial" w:eastAsia="arial" w:hAnsi="arial" w:cs="arial"/>
          <w:color w:val="000000"/>
          <w:sz w:val="20"/>
          <w:lang w:val="en-US" w:eastAsia="en-US" w:bidi="ar-SA"/>
        </w:rPr>
        <w:t xml:space="preserve"> (1963), 43 W.W.R. 405 (B.C.C.A.) at 410, where Tysoe J.A. held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an approaching car is so close to the intersection when a driver attempts to make a left turn that a collision threatens unless there be some violent or sudden avoiding action on the part of the driver of the approaching car, the approaching car is an "immediate hazard" within the meaning of sec. 164 [now s. 174].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However, even if the through driver is found to be the dominant driver, the dominant driver can still be found negligent. In </w:t>
      </w:r>
      <w:r>
        <w:rPr>
          <w:rFonts w:ascii="arial" w:eastAsia="arial" w:hAnsi="arial" w:cs="arial"/>
          <w:i/>
          <w:color w:val="000000"/>
          <w:sz w:val="20"/>
          <w:lang w:val="en-US" w:eastAsia="en-US" w:bidi="ar-SA"/>
        </w:rPr>
        <w:t>Nerval</w:t>
      </w:r>
      <w:r>
        <w:rPr>
          <w:rFonts w:ascii="arial" w:eastAsia="arial" w:hAnsi="arial" w:cs="arial"/>
          <w:color w:val="000000"/>
          <w:sz w:val="20"/>
          <w:lang w:val="en-US" w:eastAsia="en-US" w:bidi="ar-SA"/>
        </w:rPr>
        <w:t xml:space="preserve"> at paras. 37-38, Harris J.A.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The second aspect of the burden relates to proving that despite being the dominant driver, Ms. Khehra nonetheless was negligent and at fault for causing or contributing to the accident. Here, although Ms. Khehra had the right of way, she could exercise that right only in a safe manner. The trial judge correctly relied on the statement of principle from para. 18 of </w:t>
      </w:r>
      <w:r>
        <w:rPr>
          <w:rFonts w:ascii="arial" w:eastAsia="arial" w:hAnsi="arial" w:cs="arial"/>
          <w:i/>
          <w:color w:val="000000"/>
          <w:sz w:val="20"/>
          <w:lang w:val="en-US" w:eastAsia="en-US" w:bidi="ar-SA"/>
        </w:rPr>
        <w:t>Pacheco</w:t>
      </w:r>
      <w:r>
        <w:rPr>
          <w:rFonts w:ascii="arial" w:eastAsia="arial" w:hAnsi="arial" w:cs="arial"/>
          <w:color w:val="000000"/>
          <w:sz w:val="20"/>
          <w:lang w:val="en-US" w:eastAsia="en-US" w:bidi="ar-SA"/>
        </w:rPr>
        <w:t>, quoted above, in assessing the evidence and reaching his conclusions.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Whether a through driver is dominant turns on whether the driver's vehicle is an immediate hazard at the material time, not why it is an immediate hazard. Dominance identifies who must yield the right of way. One consequence of this analysis is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 through driver does not disqualify that driver as the dominant driver. The through driver remains dominant, even though their conduct may be negligent. Indeed, the through driver's fault may be greater than the servient driver's fault. In other words, a through driver may be an immediate hazard even though that driver is speeding and given her speed would have to take sudden action to avoid the threat of a collision if the left turning driver did not yield the right of way. The correct analysis is to recognize that the through driver is breaching his or her common law and perhaps statutory obligations and to address the issue as one of apportioning fault, not to reclassify the through driver as servient based on the degree to which the through driver is in breach of her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other words,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dominant driver does not change the finding that he or she is the dominant driver. Instead, it goes to the apportionment of fault. This apportionment of fault on the dominant driver can be more than that of the servient driver in certain circumstances. Justice Fleming in </w:t>
      </w:r>
      <w:r>
        <w:rPr>
          <w:rFonts w:ascii="arial" w:eastAsia="arial" w:hAnsi="arial" w:cs="arial"/>
          <w:i/>
          <w:color w:val="000000"/>
          <w:sz w:val="20"/>
          <w:lang w:val="en-US" w:eastAsia="en-US" w:bidi="ar-SA"/>
        </w:rPr>
        <w:t>Lee v. Tse</w:t>
      </w:r>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2013 BCSC 1740</w:t>
        </w:r>
      </w:hyperlink>
      <w:r>
        <w:rPr>
          <w:rFonts w:ascii="arial" w:eastAsia="arial" w:hAnsi="arial" w:cs="arial"/>
          <w:color w:val="000000"/>
          <w:sz w:val="20"/>
          <w:lang w:val="en-US" w:eastAsia="en-US" w:bidi="ar-SA"/>
        </w:rPr>
        <w:t>,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[55] The weight of the authorities dealing with left turning drivers who commence their turn on a stale yellow or red light is to find the straight through driver entirely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contrast,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relied on by the defendant in this case, the left-turning driver was found to be 100% liable after turning on an early yellow with an immediate but unobserved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If the light was yellow at the time of the turn, it is in this second step, the analysis of the through driver's actions, where s. 128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engaged. As stated by Justice Devlin in </w:t>
      </w:r>
      <w:r>
        <w:rPr>
          <w:rFonts w:ascii="arial" w:eastAsia="arial" w:hAnsi="arial" w:cs="arial"/>
          <w:i/>
          <w:color w:val="000000"/>
          <w:sz w:val="20"/>
          <w:lang w:val="en-US" w:eastAsia="en-US" w:bidi="ar-SA"/>
        </w:rPr>
        <w:t>Pirie v. Skantz</w:t>
      </w:r>
      <w:r>
        <w:rPr>
          <w:rFonts w:ascii="arial" w:eastAsia="arial" w:hAnsi="arial" w:cs="arial"/>
          <w:color w:val="000000"/>
          <w:sz w:val="20"/>
          <w:lang w:val="en-US" w:eastAsia="en-US" w:bidi="ar-SA"/>
        </w:rPr>
        <w:t xml:space="preserve">, </w:t>
      </w:r>
      <w:hyperlink r:id="rId256" w:history="1">
        <w:r>
          <w:rPr>
            <w:rFonts w:ascii="arial" w:eastAsia="arial" w:hAnsi="arial" w:cs="arial"/>
            <w:i/>
            <w:color w:val="0077CC"/>
            <w:sz w:val="20"/>
            <w:u w:val="single"/>
            <w:shd w:val="clear" w:color="auto" w:fill="FFFFFF"/>
            <w:lang w:val="en-US" w:eastAsia="en-US" w:bidi="ar-SA"/>
          </w:rPr>
          <w:t>2015 BCSC 368</w:t>
        </w:r>
      </w:hyperlink>
      <w:r>
        <w:rPr>
          <w:rFonts w:ascii="arial" w:eastAsia="arial" w:hAnsi="arial" w:cs="arial"/>
          <w:color w:val="000000"/>
          <w:sz w:val="20"/>
          <w:lang w:val="en-US" w:eastAsia="en-US" w:bidi="ar-SA"/>
        </w:rPr>
        <w:t xml:space="preserve"> at paras. 43-44, aff'd </w:t>
      </w:r>
      <w:hyperlink r:id="rId257" w:history="1">
        <w:r>
          <w:rPr>
            <w:rFonts w:ascii="arial" w:eastAsia="arial" w:hAnsi="arial" w:cs="arial"/>
            <w:i/>
            <w:color w:val="0077CC"/>
            <w:sz w:val="20"/>
            <w:u w:val="single"/>
            <w:shd w:val="clear" w:color="auto" w:fill="FFFFFF"/>
            <w:lang w:val="en-US" w:eastAsia="en-US" w:bidi="ar-SA"/>
          </w:rPr>
          <w:t>2016 BCCA 70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I must now turn to consider the Defendant's other statutory obligations arising in this case in order to determine whether the Defendant, as the dominant driver, is nonetheless at fault for contributing to the accident. With respect to the obligations under s. 128(1)(a) of the </w:t>
      </w:r>
      <w:r>
        <w:rPr>
          <w:rFonts w:ascii="arial" w:eastAsia="arial" w:hAnsi="arial" w:cs="arial"/>
          <w:i/>
          <w:color w:val="000000"/>
          <w:sz w:val="20"/>
          <w:lang w:val="en-US" w:eastAsia="en-US" w:bidi="ar-SA"/>
        </w:rPr>
        <w:t>MVA</w:t>
      </w:r>
      <w:r>
        <w:rPr>
          <w:rFonts w:ascii="arial" w:eastAsia="arial" w:hAnsi="arial" w:cs="arial"/>
          <w:color w:val="000000"/>
          <w:sz w:val="20"/>
          <w:lang w:val="en-US" w:eastAsia="en-US" w:bidi="ar-SA"/>
        </w:rPr>
        <w:t xml:space="preserve">, the onus of proving that the stop cannot be made in safety is on the driver facing the yellow light, in this case, the Defendant: </w:t>
      </w:r>
      <w:r>
        <w:rPr>
          <w:rFonts w:ascii="arial" w:eastAsia="arial" w:hAnsi="arial" w:cs="arial"/>
          <w:i/>
          <w:color w:val="000000"/>
          <w:sz w:val="20"/>
          <w:lang w:val="en-US" w:eastAsia="en-US" w:bidi="ar-SA"/>
        </w:rPr>
        <w:t>Ziani v. Thede</w:t>
      </w:r>
      <w:r>
        <w:rPr>
          <w:rFonts w:ascii="arial" w:eastAsia="arial" w:hAnsi="arial" w:cs="arial"/>
          <w:color w:val="000000"/>
          <w:sz w:val="20"/>
          <w:lang w:val="en-US" w:eastAsia="en-US" w:bidi="ar-SA"/>
        </w:rPr>
        <w:t xml:space="preserve">, </w:t>
      </w:r>
      <w:hyperlink r:id="rId258" w:history="1">
        <w:r>
          <w:rPr>
            <w:rFonts w:ascii="arial" w:eastAsia="arial" w:hAnsi="arial" w:cs="arial"/>
            <w:i/>
            <w:color w:val="0077CC"/>
            <w:sz w:val="20"/>
            <w:u w:val="single"/>
            <w:shd w:val="clear" w:color="auto" w:fill="FFFFFF"/>
            <w:lang w:val="en-US" w:eastAsia="en-US" w:bidi="ar-SA"/>
          </w:rPr>
          <w:t>2011 BCSC 895</w:t>
        </w:r>
      </w:hyperlink>
      <w:r>
        <w:rPr>
          <w:rFonts w:ascii="arial" w:eastAsia="arial" w:hAnsi="arial" w:cs="arial"/>
          <w:color w:val="000000"/>
          <w:sz w:val="20"/>
          <w:lang w:val="en-US" w:eastAsia="en-US" w:bidi="ar-SA"/>
        </w:rPr>
        <w:t xml:space="preserve"> at para. 26.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 As stated earlier, I find that when the Plaintiff was waiting in the intersection to make her left turn, the traffic light for southbound and northbound traffic was yellow and had likely been yellow for several seconds. I find that the Defendant then entered the intersection on a "stale" yellow, at which point his vehicle and the Plaintiff's vehicle collided. Accordingly, the Defendant's duty was to stop before entering the intersection, unless the stop could not be made in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order to assess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through driver, it is necessary to determine whether, upon seeing the yellow light, that driver was able to stop safely. If he or she were able to stop and failed to do so, the through driver can be found negligent. Conversely, if he or she was unable to stop safely, and no other factors were at issue, the through driver would not be negligent in failing to stop at the yellow.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Evidence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Farahnoz Abdul Kabir, is an immigrant services worker who has lived in British Columbia since 2005 when she arrived as a refugee from Afghanistan. At the time of the collision she was married with one young daughter and lived in Burnaby. Ms. Kabir is very familiar with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collision occurred as she was on her way from work to collect her daughter from daycare. Traffic was heavy in both directions at the time she approached the intersection southbound on Gaglardi Way. It was her intention to turn left to proceed east on Cariboo Road. The traffic lights governing southbound Gaglardi traffic were green when she arrived at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northbound traffic was heavy in both approaching lanes on Gaglardi Way, she waited in the intersection behind another southbound vehicle which was also waiting to make the left turn onto Cariboo Road. Her left turn signal was on. The light changed to yellow and the vehicle in front of her executed its left turn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direct examination, the plaintiff testified that she noticed that the other vehicles northbound had stopped. She began to make the left turn after her light had changed to red. She heard a honk and then got hit. The other vehicle was driven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When the plaintiff first saw the defendant's vehicle before the intersection, the light was red. She does not recall how close that vehicle was to the intersection. She expected the defendant to stop, since the light was now red and the traffic in the other northbound lane had stopped. She does not remember seeing that vehicle slowing down or which of the two lanes the defendant was in. There was nothing obstructing her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However, the defendant failed to stop. The plaintiff heard the horn of the other vehicle and then the vehicles collided. They came to a rest inside the northeast corner of the intersection. There was extensive damage to both vehicles and airbag deployment. The plaintiff's vehicle was written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Police, ambulance, and firefighters attended at the collision. The plaintiff made a statement to the police officer, Constable Carter, at the scene. She was taken by ambulance to the hospital. In a second statement made at the hospital about an hour later, she told the officer that the light had been red when she commenced her turn. She was in shock at the scene and in pain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When he attended at the hospital, Cst. Carter gave her a ticket for the left turn. He had already written the ticket and he told her that she could dispute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cross-examination, it was suggested to the plaintiff that her evidence of having turned left on a red light was not accurate because she told Cst. Carter immediately after the collision, that she "did not see light when turning". The plaintiff replied that she does not remember what she told Cst. Carter at the scene of the collision. She did see the light when turning left and it was red, not yellow, when she started her 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Evidence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 was 25 years old at the time of the collision. She was on her way home to Coquitlam from the BCIT Willingdon Campus where she was a student. She had been attending BCIT since September 2010 and had driven this route home "hundreds of times," both before and after the collision. The defendant described traffic as busy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Simpson had taken Highway 1 east to the Gaglardi Way exit, which she described as exiting to the right and looping around to cross the highway on an overpass. The road becomes the northbound portion of Gaglardi Way which then curves right to the intersection. She testified that the distance from the overpass to the intersection is 500 metres, a distance she measured using a Google Maps computer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Although there are now two northbound lanes on Gaglardi Way after the overpass, she could not recall how many northbound lanes there were on Gaglardi Way at the intersection at the time of the collision. With reference to a statement she had given ICBC shortly after the collision in which she said that she was in the only northbound lane, she believed that there was one northbound lane at the intersection. As the intersection was under construction at the time and has been reconfigured multiple times since the collision, it was not possible to refresh her memory on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 also did not recall which lane she was in, but believed based on an aerial photo from Google Maps and the photos taken by Cst. Carter that she was probably in the left lane as she approached and entered the intersection. She said that the highway overpass flows into the left northbound lane and she does not recall changing lanes after the overpass.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As she approached the intersection her eyes were focused on the road ahead except for times she may have glanced in her mirrors for other traffic. She did not have an independent recollection of the weather and state of the roads at the time. It was beginning to get dark and the vehicle headlights were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defendant testified that she was about 50 metres from the intersection when she initially saw the traffic lights that governed traffic in her direction. The light was green when she first noticed it. Traffic was proceeding through the intersection. She was driving at around 50-60 km/h and estimates that probably around 10 seconds passed between the time when she first saw the lights until she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light was yellow when she entered the intersection. The defendant identified a point on an aerial photograph of the intersection as the point where she was when her light turned yellow. She was between the first and third cars back from the intersection as depicted in that photo.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defendant first noticed the plaintiff's vehicle at the same time she saw the light turn yellow. The plaintiff's vehicle was in the southbound left turn lane on Gaglardi Way. There were no vehicles in front of the plaintiff, and probably two or three vehicles behind her. She did not see any vehicles turning left from southbound Gaglardi Way as she approached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defendant did not recall if there was any traffic northbound in front of her as she approached the intersection. As she checked her rear-view mirror as the light turned yellow, she saw a vehicle directly behind her less than one car length back. She decided that it was not safe to stop because she believed she would have been rear-ended by that vehicle if she had attempted to stop at the yellow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defendant's whole car was in the intersection, but just, when the plaintiff began her left turn. She honked and swerved right but it was too late to avoid the impact. The colour of the northbound light at the time of impact was yellow, or just red but she does not know as she did not check.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She does not know how fast the plaintiff was travelling before the impact but stated that the plaintiff sped up to try to make the turn. She cannot recall if she braked. She made a generous estimate that less than three seconds passed between the time she first realized the plaintiff was turning left and the moment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defendant's vehicle was hit on the front left side. The impact occurred in the northeast corner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Immediately after the impact, she got out of her car and went to the plaintiff to see if she was okay. She spoke to no witnesses at the scene as her first priority was the plaintiff. She observed her conversing with other people. A passing off-duty RCMP officer indicated that she had called 911. The fire department, police, and ambulance all attended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defendant spoke to Cst. Carter at the scene and gave him a statement. He told her that the plaintiff would be ticketed for failing to yield to the defendant's vehicle. The defendant's airbags had deployed and her vehicle was written off following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defendant did not recall an Advance Warning Flasher light at this intersection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cross-examination, the defendant admitted that her recollection of the collision is not crystal clear. She stated that she had made mistakes with some of her evidence at the examination for discovery.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Evidence of Cst. David Carter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Cst. Carter is an officer with the Burnaby RCMP detachment who has worked most of the time since March 2009 in the traffic services department. He attended at the collision and prepared the documents and took the photographs in the police file. He issued a ticket to the plaintiff for fail to yield on a left turn in contravention of s. 174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Cst. Carter described generally how he prepared such documents. His evidence was based on his notes and the file materials. He did not recall this incident or when he made which of the notes in regard to the plaintiff, at the scene of the collision, or later when she was in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officer explained that the reason he gives tickets to drivers after an accident is a combination of the statements given by the parties plus the physical evidence of the damage to the vehicles. He also referred to s. 174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notes of the statement given by the plaintiff record what he was told on the two occasions he spoke with her--at the scene and in the hospital. She stated to him that another car in front of her had turned left on the yellow. She "did not see light when turning". After noting injuries, he wrote: "light was red when other vehicle hit her; didn't see her; heard horn was hit." He crossed out: "did not see light when turning."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defendant's statement at the scene is recorded as: "beginning yellow cycle; other vehicle SB turned left in front."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relevant physical damage in this collision was front-end damage to each vehicle which to him indicates that the left turner did not yield. He was of the view that the defendant's vehicle would have constituted a hazard when she entered the intersection. Cst. Carter stated that a through driver doing a 'late amber/red' running through would most likely cause damage to the rear of the left-turning vehicle, not the front. That type of damage would indicate that the left-turner almost cleared the intersection before contact and the through driver should have yielded.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Cst. Carter also noted skid marks which he interpreted as being caused by the defendant's vehicle trying to brake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Cst. Carter withdrew the ticket when the plaintiff attended at traffic court to proceed with her dispute of the ticket. The reason appeared to be leniency because of her clean driving record up to that point.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Physical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white Toyota Corolla vehicle driven by the plaintiff had extensive damage to the front end, primarily on the driver's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defendant's blue Nissan Versa vehicle was also damaged on the front end, primarily on the driver's side. There was also damage to the left side of the vehicle in front of the driver's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airbags in both vehicles deployed and both vehicles were written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It is necessary to make the following findings of fact from the evidence: what other vehicles were in the vicinity of the intersection at the time immediately preceding the collision; what lane was the defendant travelling in as she proceeded north on Gaglardi Way; what was the location of the defendant's vehicle when the light changed from green to yellow; what was the colour of the light when the defendant entered the intersection; and, what was the colour of the light when the plaintiff made her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In order to assess the evidence I must consider the credibility and reliability of the witnesses. Of the oft-cited factors set out in </w:t>
      </w:r>
      <w:r>
        <w:rPr>
          <w:rFonts w:ascii="arial" w:eastAsia="arial" w:hAnsi="arial" w:cs="arial"/>
          <w:i/>
          <w:color w:val="000000"/>
          <w:sz w:val="20"/>
          <w:lang w:val="en-US" w:eastAsia="en-US" w:bidi="ar-SA"/>
        </w:rPr>
        <w:t>Hardychuk v. Johnstone</w:t>
      </w:r>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2012 BCSC 1359</w:t>
        </w:r>
      </w:hyperlink>
      <w:r>
        <w:rPr>
          <w:rFonts w:ascii="arial" w:eastAsia="arial" w:hAnsi="arial" w:cs="arial"/>
          <w:color w:val="000000"/>
          <w:sz w:val="20"/>
          <w:lang w:val="en-US" w:eastAsia="en-US" w:bidi="ar-SA"/>
        </w:rPr>
        <w:t xml:space="preserve"> at paras. 8-11, in this case the most relevant are the consistency of the witnesses' evidence internally and consistency with the probabilities affecting the case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It is not suggested that either of the parties gave evidence that was intentionally not credible. However, each has a different view of the events of the few seconds preceding the collision. The weight and reliance to be placed on their testimony in order to make the necessary findings of fact is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With regard to the evidence of the plaintiff, the lack of internal consistency between her first and subsequent statement to Cst. Carter is the most concerning. Although the officer did not recall, the plaintiff's evidence establishes that it was at the hospital slightly more than an hour after the first statement that she first told him that the light was red when she was hit by the defendant and that she remembered that the light had turned red. At the scene her statement had been that she did not see the light when turning. The veracity of the officer's notes is not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explains that inconsistency as being due to her being in shock at the scene and not remembering the light or what she said in her first statement. However, in her testimony she did remember much of what occurred at the scene after the collision: she did not lose consciousness; her airbag went off; her front door could not open; the defendant tried to help her out of her car; there was a female off-duty police officer who told her 'not to move' and to 'stay in her car'; firetrucks came first, then the police, and then the ambulance; and when the police came it was Cst. Carter that she spoke with. The defendant observed her talking with various people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defendant submits and I agree that in the context of the plaintiff's clear recollection of many of the circumstances after the collision, it is not credible that the plaintiff did not recall the light or what she told Cst. Carter at the scene of the collision about the colour of the light when she turned left. The lack of recollection of making the statement does not explain the inconsistency between not seeing the light before she turned left and seeing that the light was 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Further, Cst. Carter's narrative recorded the plaintiff's second statement as "the light had turned red as she was turing [sic] left", which is inconsistent with her testimony that the light had turned red before she turned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cannot find on the totality of the evidence that the plaintiff commenced her left turn on a red light. The plaintiff, as she stated to the officer immediately after the collision, did not observe the colour of the light at the commencement of her turn. Her later statement that the light turned red as she was turning and her evidence that the light was red when she started her turn are, I find, reconstructions of the circumstances rather than reliable recollections.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With regard to other traffic present in the intersection, the plaintiff was consistent in her first statement to Cst. Carter and in her testimony that a southbound vehicle had turned left in front of her on the yellow light. I accept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plaintiff's statement at the hospital that she did not see the defendant is contradicted by her testimony. Cst. Carter also recorded in his typed report that she did not see any oncoming traffic. At trial she stated that she did see the defendant before the intersection but does not recall how close or whether she was slowing down or speeding. The plaintiff stated that because the light was red, she thought the defendant was stopping. Her explanation for not telling Cst. Carter about the vehicle that she says was stopped in one of the two northbound lanes was that he did not 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also says that the defendant's evidence generally lacks consistency on a number of critical points. Further, she says that several material points in the defendant's evidence-in-chief were contradicted by the evidence she gave at the Examination for Discovery. For example: whether Gaglardi Way bends between the overpass and the intersection; whether she could see the lights from the overpass; whether there was only one northbound lane on Gaglardi Way and whether she was in the left lane based on the photos she viewed; and whether her light turned yellow when she was about one car length from the intersection or as she was entering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raises additional inconsistencies in the defendant's evidence:</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said in chief that she had seen a vehicle in her rear-view mirror, less than one car length behind her, as her light changed to yellow, and said this vehicle would have rear-ended her had she attempted to stop. Yet she cannot account for what became of this vehicle and why it did not hit her when her vehicle came to an abrupt stop after colliding with the plaintiff, and thereafter blocking the intersection, as little as a second or two later. The defendant's suggestion that this vehicle may have stopped at the light is implausible given its close proximity to her when she noticed it in her mirror and her impression that it was travelling the same speed as her, namely 50-60 km/h.</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regard to other traffic in the intersection, the defendant stated that there were no southbound vehicles turning left prior to the plaintiff, yet has no recollection of whether there was any traffic in the other northbound lane and no recollection of whether there was any southbound through traffic, although both areas were in her line of sight. She also claimed in chief that there was heavy traffic in front of her as she exited the freeway and crossed the overpass. Moreover, she claimed to have been able to see heavy traffic travelling in both directions through the intersection when she first saw the lights.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Of particular note is the defendant's admission that she does not know if northbound vehicles in the other lane obstructed her view of the intersection as she approached. In her statement to ICBC and her evidence-in-chief, she claimed to have swerved right immediately before the impact. However this does not appear in the synopsis prepared by Cst. Carter and the defendant concedes she may not have mentioned this detail to Cst. Carter.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At the outset of cross-examination, the defendant stated that she had been unprepared for the Discovery and that her recollection of those issues was not certain at that time. She said that she now knows that she should not have answered questions when she did not know the answers. However, she was not used to being a witness and got nervous and made mistakes.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defendant submits these mistakes are explainable as at the time of the Discovery she did not have access to the Google Earth images that were presented as evidence at trial. They would have assisted refreshing her memory for the purpose of the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defendant submits that a crucial distinction as between the plaintiff and the defendant is that the plaintiff changed her story when the parties' memories of the collision were fresh, whereas the defendant's mistakes with some of the details of the collision at her Discovery occurred over two-and-a-half years post-collision.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find that the defendant was an honest witness making her best effort to be accurate in her testimony. I accept her explanation regarding the Discovery evidence. The inconsistencies in the evidence regarding areas such as the configuration of the roadway, the number of northbound lanes, which lane she was driving in as she approached the intersection, and her estimation of times and distances does not render the entirety of her evidence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defendant was consistent in her evidence on the crucial points of the colour of the light when she entered the intersection; where she was when it changed to yellow; and where she was when she first saw the plaintiff's vehicle. That evidence is generally consistent with what the defendant told Cst. Carter at the scene of the collision although it is not known if the words in the officer's notes, "'beginning yellow cycle", were her words or his. It is also consistent with the ICBC statement shortly after the collision. I accept her evidence that the light was yellow when she entered the intersection and that it had changed to yellow when she was between one and two car lengths back from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With regard to other vehicles in the intersection, the defendant testified that there were no left-turning drivers in front of the plaintiff and that there was a vehicle in her rear-view mirror.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cross-examination, the defendant did not recall an Advance Warning Flasher light at this intersection at the time of the collision. There was no evidence that there was such a warning light for northbound traffic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On the evidence, I do not find that there was an Advance Warning Flasher at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return to the findings regarding the intersection and other vehicles in the intersection. Both drivers were unaware or mistaken regarding other vehicles in that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As noted, I accept that as the plaintiff was waiting to turn left, a vehicle turned left in front of her on the yellow light. The defendant did not see that vehicle turn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It is not possible to determine with certainty the number of northbound lanes at the intersection. The Google maps are not clear nor is the recollection of the defendant although the photos taken by Cst. Carter appear to show two northbound lanes. Construction since the date of the collision has made confirmation difficult. The plaintiff did not recall which lane the defendant was in. However, based on the defendant's evidence, I find that she was travelling northbound in the left lane as that lane continued from the overpass and she does not recall changing lanes. The left lane is the lane closest to the centre line and if there was one lane north, it too would have been closest to the centre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therefore cannot find that there was a northbound car stopped at the light as the plaintiff testified she observed. The plaintiff was mistaken in that evidence which also contradicts the narrative report of Cst. Carter that she did not see any oncoming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accept the defendant's evidence that she saw in her rear-view mirror a vehicle less than a car length behind her at the moment her light changed to yellow. That is also consistent with heavy rush hour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As stated above, the location of the defendant's vehicle at the time the light changed to yellow as marked on the aerial photograph indicates a distance farther back from the intersection than one car length. This was also the defendant's location when she first saw the plaintiff's vehicle southbound in the left turn lane. The defendant decided to continue through the intersection as she had determined it was unsafe to stop. When she was just in the intersection she realised that the plaintiff was turning left. She then honked, braked, and swerved to the right but it was too late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There is no evidence regarding the vehicle behind the defendant. However, given the distance from the intersection, it is assumed that it came to a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sequence of events in the few seconds preceding the collision are, I conclude, as follows. The plaintiff stopped on a southbound green light awaiting an opportunity to turn left. The light turned yellow and a car in front of her quickly turned left. She then followed making a left turn on the yellow light without checking the light or checking for oncoming northbound traffic, and did not see the defendant who was by then in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defendant proceeding north in the left lane observed the plaintiff waiting in the left turn lane when she was more than a car length back from the intersection as the light turned yellow. She checked her rear-view mirror, but did not see the other left-turning vehicle. Due to a vehicle behind her, the defendant decided to continue through the intersection. When she was in the intersection she observed the plaintiff making the turn in front of her. She honked, swerved, and braked but was unable to prevent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From this sequence, it is more likely than not that the defendant entered the intersection on a later yellow, which is consistent with her own evidence that the light had likely "just turned red" at the moment of impact.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Application of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It is first necessary to determine if, pursuant to s. 174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if the defendant constituted an immediate hazard to the plaintiff as she commenced her turn. The answer to that question will determine who the dominant driver was prior to the collision. The time to assess the question of immediate hazard is when the left-turning vehicle commences the turn. The burden of proving the absence of an immediate hazard at the moment the left turn begins is on the left-turning driver (</w:t>
      </w:r>
      <w:r>
        <w:rPr>
          <w:rFonts w:ascii="arial" w:eastAsia="arial" w:hAnsi="arial" w:cs="arial"/>
          <w:i/>
          <w:color w:val="000000"/>
          <w:sz w:val="20"/>
          <w:lang w:val="en-US" w:eastAsia="en-US" w:bidi="ar-SA"/>
        </w:rPr>
        <w:t>Nerval</w:t>
      </w:r>
      <w:r>
        <w:rPr>
          <w:rFonts w:ascii="arial" w:eastAsia="arial" w:hAnsi="arial" w:cs="arial"/>
          <w:color w:val="000000"/>
          <w:sz w:val="20"/>
          <w:lang w:val="en-US" w:eastAsia="en-US" w:bidi="ar-SA"/>
        </w:rPr>
        <w:t xml:space="preserve"> at para.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have found that the plaintiff did not see the defendant's vehicle although it was in the left lane, closest to the centre line, and no other northbound vehicles were stopped. There is no evidence of any obstruction of the view of the plaintiff. The defendant's vehicle was there to be seen between one and two car lengths back from the intersection when the light turned yellow. The plaintiff did not look before she followed the vehicle in front of her and commenced her turn on a yellow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defendant was so close as to constitute an immediate hazard. She was therefore the dominant driver and had the right of way. The plaintiff had an obligation to yield pursuant to s. 174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defendant also had an obligation under s. 128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to cause her vehicle to stop at the yellow light unless the stop could not be made in safety. Could she have stopped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 accept the evidence of the defendant that there was a vehicle behind her and that she made a decision to proceed through the intersection. However, I do not find that decision to be reasonable given her common law duties and the statutory obligation to stop unless unsafe to do so. She had seen the plaintiff's vehicle stopped in the approaching left turn lane. At the time the light turned yellow, the defendant had sufficient time and distance to bring her vehicle to a stop. When she saw the plaintiff's vehicle turn left in front of her, which cannot have been a complete surprise since she had observed it in the left turn lane, she still had time to honk, swerve, and brake. The defendant was in breach of s. 128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by proceeding through the intersection on a light that was firmly yellow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Having found that the dominant driver, the defendant, was also negligent, I must then apportion fault. In </w:t>
      </w:r>
      <w:r>
        <w:rPr>
          <w:rFonts w:ascii="arial" w:eastAsia="arial" w:hAnsi="arial" w:cs="arial"/>
          <w:i/>
          <w:color w:val="000000"/>
          <w:sz w:val="20"/>
          <w:lang w:val="en-US" w:eastAsia="en-US" w:bidi="ar-SA"/>
        </w:rPr>
        <w:t>Vukelich v. Vliegenthart</w:t>
      </w:r>
      <w:r>
        <w:rPr>
          <w:rFonts w:ascii="arial" w:eastAsia="arial" w:hAnsi="arial" w:cs="arial"/>
          <w:color w:val="000000"/>
          <w:sz w:val="20"/>
          <w:lang w:val="en-US" w:eastAsia="en-US" w:bidi="ar-SA"/>
        </w:rPr>
        <w:t xml:space="preserve">, </w:t>
      </w:r>
      <w:hyperlink r:id="rId260" w:history="1">
        <w:r>
          <w:rPr>
            <w:rFonts w:ascii="arial" w:eastAsia="arial" w:hAnsi="arial" w:cs="arial"/>
            <w:i/>
            <w:color w:val="0077CC"/>
            <w:sz w:val="20"/>
            <w:u w:val="single"/>
            <w:shd w:val="clear" w:color="auto" w:fill="FFFFFF"/>
            <w:lang w:val="en-US" w:eastAsia="en-US" w:bidi="ar-SA"/>
          </w:rPr>
          <w:t>2013 BCSC 879</w:t>
        </w:r>
      </w:hyperlink>
      <w:r>
        <w:rPr>
          <w:rFonts w:ascii="arial" w:eastAsia="arial" w:hAnsi="arial" w:cs="arial"/>
          <w:color w:val="000000"/>
          <w:sz w:val="20"/>
          <w:lang w:val="en-US" w:eastAsia="en-US" w:bidi="ar-SA"/>
        </w:rPr>
        <w:t>, Justice Butler at paras. 45 and 49 discusses apportionment of fault in similar circumstances: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Here, I have concluded that Ms. Young drove negligently as she approached the intersection by failing to heed the AWF. Ms. Young's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preceded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Ms. Vliegenthart. However, that does not relieve the latter of responsibility. Ms. Young's proximity to the intersection and her speed should have been evident to Ms. Vliegenthart. Accordingly, at the intersection the obligation imposed by s. 174 had priority over the obligation created by s. 125. Under the </w:t>
      </w:r>
      <w:r>
        <w:rPr>
          <w:rFonts w:ascii="arial" w:eastAsia="arial" w:hAnsi="arial" w:cs="arial"/>
          <w:i/>
          <w:color w:val="000000"/>
          <w:sz w:val="20"/>
          <w:lang w:val="en-US" w:eastAsia="en-US" w:bidi="ar-SA"/>
        </w:rPr>
        <w:t>Nerval</w:t>
      </w:r>
      <w:r>
        <w:rPr>
          <w:rFonts w:ascii="arial" w:eastAsia="arial" w:hAnsi="arial" w:cs="arial"/>
          <w:color w:val="000000"/>
          <w:sz w:val="20"/>
          <w:lang w:val="en-US" w:eastAsia="en-US" w:bidi="ar-SA"/>
        </w:rPr>
        <w:t xml:space="preserve"> analysis, Ms. Young, as the through driver, remained in the dominant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Having concluded that both Ms. Young and Ms. Vliegenthart were negligent, I must apportion fault between them in accordance with the provisions of s. 1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The leading decision in British Columbia regarding apportionment of liability is </w:t>
      </w:r>
      <w:r>
        <w:rPr>
          <w:rFonts w:ascii="arial" w:eastAsia="arial" w:hAnsi="arial" w:cs="arial"/>
          <w:i/>
          <w:color w:val="000000"/>
          <w:sz w:val="20"/>
          <w:lang w:val="en-US" w:eastAsia="en-US" w:bidi="ar-SA"/>
        </w:rPr>
        <w:t>Cempel v. Harrison Hot Springs Hotel Ltd</w:t>
      </w:r>
      <w:r>
        <w:rPr>
          <w:rFonts w:ascii="arial" w:eastAsia="arial" w:hAnsi="arial" w:cs="arial"/>
          <w:color w:val="000000"/>
          <w:sz w:val="20"/>
          <w:lang w:val="en-US" w:eastAsia="en-US" w:bidi="ar-SA"/>
        </w:rPr>
        <w:t xml:space="preserve">. </w:t>
      </w:r>
      <w:hyperlink r:id="rId17" w:history="1">
        <w:r>
          <w:rPr>
            <w:rFonts w:ascii="arial" w:eastAsia="arial" w:hAnsi="arial" w:cs="arial"/>
            <w:i/>
            <w:color w:val="0077CC"/>
            <w:sz w:val="20"/>
            <w:u w:val="single"/>
            <w:shd w:val="clear" w:color="auto" w:fill="FFFFFF"/>
            <w:lang w:val="en-US" w:eastAsia="en-US" w:bidi="ar-SA"/>
          </w:rPr>
          <w:t>(1997), 43 B.C.L.R. (3d) 219</w:t>
        </w:r>
      </w:hyperlink>
      <w:r>
        <w:rPr>
          <w:rFonts w:ascii="arial" w:eastAsia="arial" w:hAnsi="arial" w:cs="arial"/>
          <w:color w:val="000000"/>
          <w:sz w:val="20"/>
          <w:lang w:val="en-US" w:eastAsia="en-US" w:bidi="ar-SA"/>
        </w:rPr>
        <w:t xml:space="preserve"> (C.A.). At para. 19, the court notes that apportionment is to be determined based on "the degree to which each person was at fault", not the degree to which the fault of each caused the damage. Fault requires a consideration of blameworthiness which is "a gauge of the amount by which each proximate and effective causative agent fell short of the standard of care that was required...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this case, I find each of the drivers to be equally at fault for the collision. Although the speed of the defendant was not a factor, she had an opportunity to safely stop at the intersection after the light turned yellow. The plaintiff initiated her left turn in the face of an immediate hazard. Both drivers were not paying sufficient attention to the circumstances of rush hour traffic in an intersection they were perhaps too familiar with. The degree of blameworthiness is the same for both drivers.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Liability is therefore apportioned 50% to Ms. Kabir and 50% to Ms. Simpson.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If counsel are unable to agree on costs, written submissions may be filed within 30 days of the date of these Reasons, with responding submissions to be filed 21 days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J.E. WATCHUK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5"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61"/>
          <w:headerReference w:type="default" r:id="rId262"/>
          <w:footerReference w:type="even" r:id="rId263"/>
          <w:footerReference w:type="default" r:id="rId264"/>
          <w:headerReference w:type="first" r:id="rId265"/>
          <w:footerReference w:type="first" r:id="rId26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67" w:history="1">
        <w:r>
          <w:rPr>
            <w:rFonts w:ascii="arial" w:eastAsia="arial" w:hAnsi="arial" w:cs="arial"/>
            <w:b/>
            <w:bCs/>
            <w:i/>
            <w:color w:val="0077CC"/>
            <w:kern w:val="32"/>
            <w:sz w:val="28"/>
            <w:szCs w:val="32"/>
            <w:u w:val="single"/>
            <w:shd w:val="clear" w:color="auto" w:fill="FFFFFF"/>
            <w:lang w:val="en-US" w:eastAsia="en-US" w:bidi="ar-SA"/>
          </w:rPr>
          <w:t>Laidar Holdings Ltd. v. Lindt &amp; Sprungli (Canada) Inc., [2011] B.C.J. No. 444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 Maisonville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16,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17,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S092249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444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325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199 A.C.W.S. (3d) 417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584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Laidar Holdings Ltd., Plaintiff, and Lindt &amp; Sprungli (Canada) Inc., Defendant, and DTZ Barnicke Limited and DTZ Barnicke Vancouver Ltd. and Colliers Macaulay Nicolls Inc. and Warrington PCI Management, a partnership,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6"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8" w:name="Keywords_16"/>
      <w:bookmarkEnd w:id="108"/>
      <w:r>
        <w:rPr>
          <w:rFonts w:ascii="arial" w:eastAsia="arial" w:hAnsi="arial" w:cs="arial"/>
          <w:b/>
          <w:color w:val="000000"/>
          <w:sz w:val="20"/>
          <w:lang w:val="en-US" w:eastAsia="en-US" w:bidi="ar-SA"/>
        </w:rPr>
        <w:t>Civil litigation — Civil procedure — Parties — Adding or substituting — Third party procedure — Availability — Notice — Leave — Application by third party for leave to add defendant's counsel as fourth party dismissed — Defendant entered into lease with plaintiff for retail space, but city zoning did not allow proposed retail operation — After relations broken down between parties, plaintiff commenced claim, defendant counterclaimed and various parties added as third parties — Proposed fourth party pleadings did not fall within Rule 3-5(1) — Third party not entitled to contribution, indemnity or relief from law firm as any duty law firm owned was to defendant — As no assertion law firm acted outside scope of responsibilities to defendant, fourth party pleadings unnecessary.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9" w:name="Case Summary_15"/>
            <w:bookmarkEnd w:id="10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one of the third parties for leave to add a law firm, which acted as counsel for the defendant, as a fourth party. The defendant, a chocolatier, entered into a lease with the plaintiff for a retail chocolate operation from which it could sell its chocolate. However, city zoning did not permit a retail chocolate store at the space and, consequently, the defendant was not able to set up a retail operation. After relations between the property owner and the chocolatier broke down, the property owner commenced proceedings. The chocolatier defended the action asserting that the representations made by the property owner about the ability to use the premises as a retail chocolate location were false given the zoning, and that the property owners and its agents induced it to enter the lease, which was voidable because it could not use the space as intended. In addition, the chocolatier counterclaimed for misrepresentation and rescission of the lease, and it added as third parties its agents. The property owner defended the counterclaim and added its own agents as third parties. The chocolatier's agent, who had been added as a third party, sought to add numerous parties, including the chocolatier's solicitors, as fourth parties. The law firm was the only proposed fourth party that took issue with the application.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0" w:name="Holdings of Court_10"/>
            <w:bookmarkEnd w:id="110"/>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proposed fourth party pleadings did not fall within Rule 3-5(1). The third party would not be entitled to contribution, indemnity or relief from the law firm as any duty the law firm owned was to the chocolatier alone. Additionally, as the third party could raise as a defence obligations owed to the chocolatier by the law firm and there was no assertion that the law firm acted outside the scope of its responsibilities, fourth party pleadings were unnecessary. Furthermore, the proposed claim against the law firm disclosed no reasonable cause of action and adding the law firm as a fourth party would have prejudiced the chocolatier, who would be denied its counsel of choice.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1" w:name="Legislation Cited_12"/>
      <w:bookmarkEnd w:id="11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7"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120" w:history="1">
        <w:r>
          <w:rPr>
            <w:rFonts w:ascii="arial" w:eastAsia="arial" w:hAnsi="arial" w:cs="arial"/>
            <w:i/>
            <w:color w:val="0077CC"/>
            <w:sz w:val="20"/>
            <w:u w:val="single"/>
            <w:shd w:val="clear" w:color="auto" w:fill="FFFFFF"/>
            <w:lang w:val="en-US" w:eastAsia="en-US" w:bidi="ar-SA"/>
          </w:rPr>
          <w:t>RSBC 1996, CHAPTER 333, s. 4</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Civil Procedure, Rule 29.01(a)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1-3, Rule 3-5, Rule 3-5(1), Rule 3-5(1)(a), Rule 3-5(1)(b), Rule 3-5(4), Rule 9-5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2" w:name="Counsel_16"/>
      <w:bookmarkEnd w:id="11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8" style="position:absolute;z-index:2517780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No appearance.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L. Cundari.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DTZ Barnicke Limited: S.R. Andersen.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DTZ Barnicke Vancouver: J.L. Bolla.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Blake, Cassels &amp; Graydon: M.G. Armstrong.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3" w:name="Judgment_16"/>
      <w:bookmarkEnd w:id="113"/>
      <w:r>
        <w:pict>
          <v:line id="_x0000_s1109" style="position:absolute;z-index:2518292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3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4" w:name="M.A. MAISONVILLE J."/>
            <w:bookmarkEnd w:id="114"/>
            <w:r>
              <w:rPr>
                <w:rFonts w:ascii="arial" w:eastAsia="arial" w:hAnsi="arial" w:cs="arial"/>
                <w:b/>
                <w:color w:val="000000"/>
                <w:sz w:val="30"/>
                <w:lang w:val="en-US" w:eastAsia="en-US" w:bidi="ar-SA"/>
              </w:rPr>
              <w:t>M.A. MAISONVILLE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Lindt &amp; Sprungli (Canada) Inc. ("Lindt") is a chocolatier. Wishing to lease space in Vancouver for a retail chocolate operation where Lindt could sell its chocolate, Lindt entered into a lease with Laidar Holdings Ltd. ("Laidar") which held certain property. City zoning, however, would not permit a retail chocolate store at the space and consequently Lindt was never able to set up a retail operation. These proceedings were commenced after the relations between Laidar and Lindt broke down. Numerous parties have been added to the matter as third parties by both Laidar and Lindt. Before the court now, is an application by one of the third parties for leave of the Court to add the law firm Blake, Cassels and Graydon LLP ("Blake Cassels &amp; Graydon"), counsel for Lindt, as fourth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pleadings are somewhat complex.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Laidar is the plaintiff and Lindt is the defendant. Lindt defended the action, asserting representations made by Laidar about the ability of Lindt to use the space as retail chocolate premises were false given the zoning precluded that kind of use. It was further argued that Laidar and its agents' actions induced Lindt to enter the lease but as it could not use the space as intended the lease was voidable. Lindt also counterclaimed against Laidar for actionable misrepresentation and rescission of the lease or a declaration it was voidable. Lindt added as third parties its agents DTZ Barnicke Limited ("DTZ Ontario") and DTZ Barnicke Vancouver Limited ("DTZ Vancouver"). Laidar in turn defended the counterclaim by Lindt and added as third parties its own agents, Colliers Macaulay Nicolls Inc. ("Colliers") and Warrington PCI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Numerous discussions and negotiations had taken place with the agents of Laidar and Lindt about the proposed use of the space. Lindt, in its pleadings, asserts all parties involved would have been aware of the planned use of the space as a retail chocolate store. Indeed, even according to Laidar's statement of claim, the permitted use was "[f]or the purpose of the conduct of the Defendant's (Lindt) business of the sale and distribution of chocolate. ..." Lindt is represented by Blake Cassels &amp; Graydon who have acted for Lindt throughout and continue to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As third party, DTZ Ontario seeks to add as "fourth parties" (i.e. third party principles apply - but in this application are referred to as fourth parties for clarity) DTZ Vancouver, Colliers, Josh Romer, (who worked for Colliers on this matter), Can-West Investments Ltd., PCI Realty Corp., Warrington Management Ltd., and David Chan, a principal at Warrington, and lastly Blake Cassels &amp; Graydon, counsel for Lindt.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Blake Cassels &amp; Graydon opposes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Rule 3-5(4) of the Supreme Court Civil Rules requires the applicant, DTZ Ontario, to seek leave of the Court to file a fourth party notice. The immediate predecessor [of]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Rule 3-5(4) enabled any defendant who had filed an appearance to add a third party without leave. In a return to the procedure of the earlier Rules predating Supreme Court Rules 1990, leave of the Court is now required to add a third party, and as "fourth party" claims are captured by Rule 3-5 by virtue of the wording of Rule 3-5 (1) leave is being sought to add Blake Cassels &amp; Graydon.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Neither Lindt nor Laidar advances any claim against legal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Rule 3-5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Rule 3-5 -- Third Party Claims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Making a third party claim</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against whom relief is sought in an action may, if that party is not a plaintiff in the action, pursue a third party claim against any person if the party alleges that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is entitled to contribution or indemnity from the person in relation to any relief that is being sought against the party in the action,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is entitled to relief against the person and that relief relates to or is connected with the subject matter of the action, or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question or issue between the party and the person</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substantially the same as a question or issue that relates to or is connected with</w:t>
      </w:r>
    </w:p>
    <w:p>
      <w:pPr>
        <w:numPr>
          <w:numId w:val="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relief claimed in the action, or</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the action, and</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properly be determined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Accordingly, paraphrasing Rule 3-5 (1) to the facts before the Court could DTZ Ontario be entitled to contribution or indemnity or relief from Blake Cassels &amp; Graydon? Is the question between DTZ Ontario, and Blake Cassels &amp; Graydon substantially the same question or issue relating to this matter and should it be properly be determined here? And, more specifically, the question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Does a third party or fourth party claim lie against another with respect to an obligation belonging to Lindt which the landlord Laidar could raise directly against Lindt by way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have determined that the answer to that question is no. No third party claim or fourth party claim will lie against another when the defence is one the defendant could raise directly against the plaintiff. Any duty owing in law by Blake Cassels &amp; Graydon to Lindt is to Lindt alone. Further the question between the parties is not the same - while the applicant DTZ Ontario seeks to characterize it as a simple matter of zoning, and thus "substantially the same question or issue" in the matter, it is clear the real issues will surround the lease. I do not find the issues to be the same. Accordingly the application, insofar as it seeks leave to add Blake Cassels &amp; Graydon, as a party to this matter, is to be dismissed for the reasons that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This application arises at this time, as no statement of defence had been requested from DTZ Ontario until after the new Supreme Court Rules were in effect. As a consequence DTZ Ontario no longer could add Blake Cassels &amp; Graydon as a matter of right as a fourth party. However, I do not find there to be any prejudice to DTZ Ontario, as an application to strike the fourth party notice would still have been available to Blake Cassels &amp; Graydon. No Discovery has taken place and the trial date is presently being reserved for September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All proposed fourth parties were served with notice of this application and they take no position with respect to it, except Blake Cassels &amp; Graydon. Blake Cassels &amp; Graydon opposes the application. The defendant Lindt opposes the motion insofar as the proposal of adding Blake Cassels &amp; Graydon as a fourth party. Lindt otherwise take no position in this matter except that if there is to be the addition of the other proposed fourth parties that the claim be as set out in a Schedule to a draft Order placed before the Court which particularizes certain of the representations alleged to have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the centre of this claim is a lease of the property. City zoning did not permit the defendant's intended use. This matter was commenced by statement of claim on March 24, 2009, prior to the enactment of the new Rules on July 1,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June 4, 2009 the defendant Lindt &amp; Sprungli (Canada) Inc. filed a third party notice against DTZ Barnicke and others. From that step, this application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Applicable Principles Respecting The Proposed Application To Add The Law Firm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object of the new Rules is to provide a "just, speedy and inexpensive determination of every proceeding on its merits" (Rule 1-3). The object of Rule 3-5 is to avoid, insofar as is possible, a multiplicity of proceedings, to provide a means for the fourth party to defend the plaintiff's claim and to ensure a fourth party claim can be decided before a defendant is called upon to pay the full amount of a judgment see </w:t>
      </w:r>
      <w:r>
        <w:rPr>
          <w:rFonts w:ascii="arial" w:eastAsia="arial" w:hAnsi="arial" w:cs="arial"/>
          <w:i/>
          <w:color w:val="000000"/>
          <w:sz w:val="20"/>
          <w:lang w:val="en-US" w:eastAsia="en-US" w:bidi="ar-SA"/>
        </w:rPr>
        <w:t>McNaughton v. Baker</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[1988] B.C.J. No. 515</w:t>
        </w:r>
      </w:hyperlink>
      <w:r>
        <w:rPr>
          <w:rFonts w:ascii="arial" w:eastAsia="arial" w:hAnsi="arial" w:cs="arial"/>
          <w:color w:val="000000"/>
          <w:sz w:val="20"/>
          <w:lang w:val="en-US" w:eastAsia="en-US" w:bidi="ar-SA"/>
        </w:rPr>
        <w:t xml:space="preserve"> (C.A.). The decision is discretionary, however, and it must be appropriate to do so in the circumstances set out above in 3-5 (1). Those circumstances are when there is an entitlement or claim for contribution or indemnity, or relief which relates to or is connected with the subject matter to which the party seeking to add the fourth party would be entitled, and should properly be determined in the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Contribution or Indemnity Rule 3-5(1) (a)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Respecting contribution and indemnity the question is whether DTZ Ontario, if liable to Lindt, the plaintiff by counterclaim, would be able to recover from the fourth party, Blake Cassels &amp; Graydon the whole or any of the amount - for example such right to indemnity arising from contract either express or implied or statute - see </w:t>
      </w:r>
      <w:r>
        <w:rPr>
          <w:rFonts w:ascii="arial" w:eastAsia="arial" w:hAnsi="arial" w:cs="arial"/>
          <w:i/>
          <w:color w:val="000000"/>
          <w:sz w:val="20"/>
          <w:lang w:val="en-US" w:eastAsia="en-US" w:bidi="ar-SA"/>
        </w:rPr>
        <w:t>Eastern Shipping Co. v. Quah Beng Kee</w:t>
      </w:r>
      <w:r>
        <w:rPr>
          <w:rFonts w:ascii="arial" w:eastAsia="arial" w:hAnsi="arial" w:cs="arial"/>
          <w:color w:val="000000"/>
          <w:sz w:val="20"/>
          <w:lang w:val="en-US" w:eastAsia="en-US" w:bidi="ar-SA"/>
        </w:rPr>
        <w:t>, [1924] A.C. 177 (P.C.). Here, the answer is no. The obligation from Blake Cassels &amp; Graydon is Lindt's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Counsel for DTZ Ontario argued that resort should be had to the provisions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does not give DTZ Ontario an independent cause of action. Section 4 of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only governs whether the contribution or indemnity rights are created as between the defendants and the degrees to which they are respectively at fault. Section 4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(1) If damage or loss has been caused by the fault of 2 or more persons, the court must determine the degree to which each person was at fault.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provided in section 5 if 2 or more persons are found at fault</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jointly and severally liable to the person suffering the damage or loss, and</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 between themselves, in the absence of a contract express or implied, they are liable to contribute to and indemnify each other in the degree to which they are respectively found to have been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Respecting the issues of contribution and indemnity, DTZ Ontario relied on </w:t>
      </w:r>
      <w:r>
        <w:rPr>
          <w:rFonts w:ascii="arial" w:eastAsia="arial" w:hAnsi="arial" w:cs="arial"/>
          <w:i/>
          <w:color w:val="000000"/>
          <w:sz w:val="20"/>
          <w:lang w:val="en-US" w:eastAsia="en-US" w:bidi="ar-SA"/>
        </w:rPr>
        <w:t>478649 Ontario Ltd. v. Corcoran</w:t>
      </w:r>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(1994), 20 O.R. (3d) 28</w:t>
        </w:r>
      </w:hyperlink>
      <w:r>
        <w:rPr>
          <w:rFonts w:ascii="arial" w:eastAsia="arial" w:hAnsi="arial" w:cs="arial"/>
          <w:color w:val="000000"/>
          <w:sz w:val="20"/>
          <w:lang w:val="en-US" w:eastAsia="en-US" w:bidi="ar-SA"/>
        </w:rPr>
        <w:t xml:space="preserve"> (O.C.A.) [</w:t>
      </w:r>
      <w:r>
        <w:rPr>
          <w:rFonts w:ascii="arial" w:eastAsia="arial" w:hAnsi="arial" w:cs="arial"/>
          <w:i/>
          <w:color w:val="000000"/>
          <w:sz w:val="20"/>
          <w:lang w:val="en-US" w:eastAsia="en-US" w:bidi="ar-SA"/>
        </w:rPr>
        <w:t>Corcoran</w:t>
      </w:r>
      <w:r>
        <w:rPr>
          <w:rFonts w:ascii="arial" w:eastAsia="arial" w:hAnsi="arial" w:cs="arial"/>
          <w:color w:val="000000"/>
          <w:sz w:val="20"/>
          <w:lang w:val="en-US" w:eastAsia="en-US" w:bidi="ar-SA"/>
        </w:rPr>
        <w:t xml:space="preserve">] and argued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Blake Cassels &amp; Graydon it might be should certain circumstances be found by the trial judge that such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not be attributable to Lindt. In that case it would be unfair, it was argued, not to add counsel as adding would bring "all of the agents" of Laidar and Lindt "to whom liability (if any) could be apportioned pursuant to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into the action. </w:t>
      </w:r>
      <w:r>
        <w:rPr>
          <w:rFonts w:ascii="arial" w:eastAsia="arial" w:hAnsi="arial" w:cs="arial"/>
          <w:i/>
          <w:color w:val="000000"/>
          <w:sz w:val="20"/>
          <w:lang w:val="en-US" w:eastAsia="en-US" w:bidi="ar-SA"/>
        </w:rPr>
        <w:t>Corcoran</w:t>
      </w:r>
      <w:r>
        <w:rPr>
          <w:rFonts w:ascii="arial" w:eastAsia="arial" w:hAnsi="arial" w:cs="arial"/>
          <w:color w:val="000000"/>
          <w:sz w:val="20"/>
          <w:lang w:val="en-US" w:eastAsia="en-US" w:bidi="ar-SA"/>
        </w:rPr>
        <w:t xml:space="preserve"> has never been followed in B.C. and is not binding on this Court. The decision was determined on the basis of Ontario Rule 29.01(a) which permitted the addition of parties who "may be liable to the defendant for all or part of the plaintiff's claim." The requirements of B.C. Civil Rule 3-5 differ substantially from Ontario Rule 29-01(a), and therefore I do not find </w:t>
      </w:r>
      <w:r>
        <w:rPr>
          <w:rFonts w:ascii="arial" w:eastAsia="arial" w:hAnsi="arial" w:cs="arial"/>
          <w:i/>
          <w:color w:val="000000"/>
          <w:sz w:val="20"/>
          <w:lang w:val="en-US" w:eastAsia="en-US" w:bidi="ar-SA"/>
        </w:rPr>
        <w:t>Corcoran</w:t>
      </w:r>
      <w:r>
        <w:rPr>
          <w:rFonts w:ascii="arial" w:eastAsia="arial" w:hAnsi="arial" w:cs="arial"/>
          <w:color w:val="000000"/>
          <w:sz w:val="20"/>
          <w:lang w:val="en-US" w:eastAsia="en-US" w:bidi="ar-SA"/>
        </w:rPr>
        <w:t xml:space="preserve"> to be of assistance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line of cases to be followed holds any settlement between Laidar and Lindt would not remove the right of any remaining defendants to claim contribution or indemnity if it existed - </w:t>
      </w:r>
      <w:r>
        <w:rPr>
          <w:rFonts w:ascii="arial" w:eastAsia="arial" w:hAnsi="arial" w:cs="arial"/>
          <w:i/>
          <w:color w:val="000000"/>
          <w:sz w:val="20"/>
          <w:lang w:val="en-US" w:eastAsia="en-US" w:bidi="ar-SA"/>
        </w:rPr>
        <w:t>British Columbia (Public Trustee of) v. Asleson</w:t>
      </w:r>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(1991), 62 B.C.L.R. (2d) 78</w:t>
        </w:r>
      </w:hyperlink>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[1991] B.C.J. No. 3406</w:t>
        </w:r>
      </w:hyperlink>
      <w:r>
        <w:rPr>
          <w:rFonts w:ascii="arial" w:eastAsia="arial" w:hAnsi="arial" w:cs="arial"/>
          <w:color w:val="000000"/>
          <w:sz w:val="20"/>
          <w:lang w:val="en-US" w:eastAsia="en-US" w:bidi="ar-SA"/>
        </w:rPr>
        <w:t xml:space="preserve"> (S.C.), rev'd on a different point, </w:t>
      </w:r>
      <w:hyperlink r:id="rId271" w:history="1">
        <w:r>
          <w:rPr>
            <w:rFonts w:ascii="arial" w:eastAsia="arial" w:hAnsi="arial" w:cs="arial"/>
            <w:i/>
            <w:color w:val="0077CC"/>
            <w:sz w:val="20"/>
            <w:u w:val="single"/>
            <w:shd w:val="clear" w:color="auto" w:fill="FFFFFF"/>
            <w:lang w:val="en-US" w:eastAsia="en-US" w:bidi="ar-SA"/>
          </w:rPr>
          <w:t>[1993] B.C.J. No. 837</w:t>
        </w:r>
      </w:hyperlink>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78 B.C.L.R. (2d) 173</w:t>
        </w:r>
      </w:hyperlink>
      <w:r>
        <w:rPr>
          <w:rFonts w:ascii="arial" w:eastAsia="arial" w:hAnsi="arial" w:cs="arial"/>
          <w:color w:val="000000"/>
          <w:sz w:val="20"/>
          <w:lang w:val="en-US" w:eastAsia="en-US" w:bidi="ar-SA"/>
        </w:rPr>
        <w:t xml:space="preserve"> (C.A.). Any concerns of double recovery such as those expressed in the decisions of the court in </w:t>
      </w:r>
      <w:r>
        <w:rPr>
          <w:rFonts w:ascii="arial" w:eastAsia="arial" w:hAnsi="arial" w:cs="arial"/>
          <w:i/>
          <w:color w:val="000000"/>
          <w:sz w:val="20"/>
          <w:lang w:val="en-US" w:eastAsia="en-US" w:bidi="ar-SA"/>
        </w:rPr>
        <w:t>Westcoast Transmission Co. v. Interprovincial Steel &amp; Pipe Corp.</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(1984), 59 B.C.L.R. 43</w:t>
        </w:r>
      </w:hyperlink>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[1984] B.C.J. No. 2742</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Westcoast Transmission</w:t>
      </w:r>
      <w:r>
        <w:rPr>
          <w:rFonts w:ascii="arial" w:eastAsia="arial" w:hAnsi="arial" w:cs="arial"/>
          <w:color w:val="000000"/>
          <w:sz w:val="20"/>
          <w:lang w:val="en-US" w:eastAsia="en-US" w:bidi="ar-SA"/>
        </w:rPr>
        <w:t xml:space="preserve">] can be resolved, see for instance </w:t>
      </w:r>
      <w:r>
        <w:rPr>
          <w:rFonts w:ascii="arial" w:eastAsia="arial" w:hAnsi="arial" w:cs="arial"/>
          <w:i/>
          <w:color w:val="000000"/>
          <w:sz w:val="20"/>
          <w:lang w:val="en-US" w:eastAsia="en-US" w:bidi="ar-SA"/>
        </w:rPr>
        <w:t>Dixon v. British Columbia</w:t>
      </w:r>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(1980), 24 B.C.L.R. 382</w:t>
        </w:r>
      </w:hyperlink>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[1980] B.C.J. No. 973</w:t>
        </w:r>
      </w:hyperlink>
      <w:r>
        <w:rPr>
          <w:rFonts w:ascii="arial" w:eastAsia="arial" w:hAnsi="arial" w:cs="arial"/>
          <w:color w:val="000000"/>
          <w:sz w:val="20"/>
          <w:lang w:val="en-US" w:eastAsia="en-US" w:bidi="ar-SA"/>
        </w:rPr>
        <w: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DTZ Ontario also acknowledges that </w:t>
      </w:r>
      <w:r>
        <w:rPr>
          <w:rFonts w:ascii="arial" w:eastAsia="arial" w:hAnsi="arial" w:cs="arial"/>
          <w:i/>
          <w:color w:val="000000"/>
          <w:sz w:val="20"/>
          <w:lang w:val="en-US" w:eastAsia="en-US" w:bidi="ar-SA"/>
        </w:rPr>
        <w:t>"with the exception of the claim for contribution against Blake, Cassels and Graydon LLP</w:t>
      </w:r>
      <w:r>
        <w:rPr>
          <w:rFonts w:ascii="arial" w:eastAsia="arial" w:hAnsi="arial" w:cs="arial"/>
          <w:color w:val="000000"/>
          <w:sz w:val="20"/>
          <w:lang w:val="en-US" w:eastAsia="en-US" w:bidi="ar-SA"/>
        </w:rPr>
        <w:t xml:space="preserve">" its fourth party pleadings pleads causes of action that </w:t>
      </w:r>
      <w:r>
        <w:rPr>
          <w:rFonts w:ascii="arial" w:eastAsia="arial" w:hAnsi="arial" w:cs="arial"/>
          <w:i/>
          <w:color w:val="000000"/>
          <w:sz w:val="20"/>
          <w:lang w:val="en-US" w:eastAsia="en-US" w:bidi="ar-SA"/>
        </w:rPr>
        <w:t>"DTZ [Ontario] has directly against those agents</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accept the argument of counsel for Blake Cassels &amp; Graydon on this point that DTZ Ontario has no claim against the law firm for indemnity or contribution. The assertion of DTZ Ontario is that because Lindt retained Blake Cassels and Graydon to negotiate the lease, if it breached its duty of care to Lindt and is consequently liable, DTZ Ontario should be entitled via contribution or indemnity. However, there is no assertion that Blake, Cassels and Graydon made any representations to DTZ Ontario on zoning, that it owed DTZ Ontario a duty of care, that it acted outside the scope of its retainer, undertook duties apart from those owed to Lindt, nor that it committed any independent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 also accept the submission of counsel for DTZ Ontario that the proposed pleading is, for the purposes of such an application, to be accepted as true. Nonetheless, I find nothing in the proposed pleadings supports the addition of Blake Cassels &amp; Graydon as a proper fourth party in these proceedings. I find that Blake Cassels &amp; Graydon acted solely as Lindt's agent, and the defendants to the counterclaim could raise as a defence to Lindt's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Blake Cassels &amp; Graydon. The proposed fourth party proceeding consequently is unnecessary and, in further reliance on the Rules and their objects, should not be permitted.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 third party (here DTZ Ontario), may not assert a fourth party claim pursuant to Rule 3-5 (1) in respect of an obligation belonging to a plaintiff, (here Lindt, the plaintiff by counterclaim,) that the defendant, (here Laidar) could raise directly by way of defence, even if the plaintiff by counterclaim contracted with a fourth party (here Lindt retaining Blake Cassels &amp; Graydon, the proposed fourth party) to discharge the obligation. Where a plaintiff by counterclaim, such as Lindt, contracts with two separate entities and later sues only one of them, the one sued cannot claim contribution or indemnity from the other on the ground that the other failed to execute its duties properly when there was no relationship between those parties contractual or otherwise. Further, where the only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against the third or fourth party is attributable to the plaintiff there is no need for third or fourth party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As a general rule all acts falling within the scope of an agency, here between the proposed fourth party and the plaintiff, are in the category of acts for which the plaintiff is responsible and are consequently not the proper subject of third party or fourth party claims: see </w:t>
      </w:r>
      <w:r>
        <w:rPr>
          <w:rFonts w:ascii="arial" w:eastAsia="arial" w:hAnsi="arial" w:cs="arial"/>
          <w:i/>
          <w:color w:val="000000"/>
          <w:sz w:val="20"/>
          <w:lang w:val="en-US" w:eastAsia="en-US" w:bidi="ar-SA"/>
        </w:rPr>
        <w:t>Yemen Salt Mining Corp. v. Rhodes-Vaughan Steel Ltd.</w:t>
      </w:r>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(1976), 2 C.P.C. 318</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Westcoast Transmission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Adams v. Thompson, Berwick, Pratt &amp; Partners</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(1987), 15 B.C.L.R. (2d) 51</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College of New Caledonia v. Kraft Construction Co.</w:t>
      </w:r>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2007 BCSC 1408</w:t>
        </w:r>
      </w:hyperlink>
      <w:r>
        <w:rPr>
          <w:rFonts w:ascii="arial" w:eastAsia="arial" w:hAnsi="arial" w:cs="arial"/>
          <w:color w:val="000000"/>
          <w:sz w:val="20"/>
          <w:lang w:val="en-US" w:eastAsia="en-US" w:bidi="ar-SA"/>
        </w:rPr>
        <w:t>. There is no contractual duty owed by Blake Cassels &amp; Graydon to DTZ Ontario such that there could be a valid claim for contribution. Nor is there entitlement to relief, as no duty is owed by Blake, Cassels &amp; Graydon to DTZ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considered a third party proceeding in which the plaintiff Adamses had sought to subdivide and build and ultimately sell lots on Bowen Island. They had retained a firm of engineers but due to certain delays the first lots of the subdivision did not become available until the end of the real estate boom in 1981. The builders alleged the engineers were responsible for the delay. The engineers sought to third party the builders' lawyers alleging they should have filed an amended prospectus and further sought to market the lots as quickly as possible. McLachlin J.A., as she then was, upheld the lower court's decision and struck out the third party notice. For the Court, McLachlin J.A. reviewed </w:t>
      </w:r>
      <w:r>
        <w:rPr>
          <w:rFonts w:ascii="arial" w:eastAsia="arial" w:hAnsi="arial" w:cs="arial"/>
          <w:i/>
          <w:color w:val="000000"/>
          <w:sz w:val="20"/>
          <w:lang w:val="en-US" w:eastAsia="en-US" w:bidi="ar-SA"/>
        </w:rPr>
        <w:t>Yemen Salt Mining v. Rhodes-Vaughan Steel Ltd.</w:t>
      </w:r>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(1976), 2 C.P.C. 318</w:t>
        </w:r>
      </w:hyperlink>
      <w:r>
        <w:rPr>
          <w:rFonts w:ascii="arial" w:eastAsia="arial" w:hAnsi="arial" w:cs="arial"/>
          <w:color w:val="000000"/>
          <w:sz w:val="20"/>
          <w:lang w:val="en-US" w:eastAsia="en-US" w:bidi="ar-SA"/>
        </w:rPr>
        <w:t xml:space="preserve"> (B.C.S.C.) noted above, in which Ruttan J. held that the third party notice in a situation where the plaintiff had sued only one of two separate parties the plaintiff had separately contracted with, should be struck out. The fault, the court found, if any, would be visited upon the plaintiff and reduce its recovery against the defendant. As noted by the Court in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fault alleged against the proposed third party is in fact the fault of the plaintiff, the defendant can raise the default by way of defence, making third party proceedings unnecessary. Yemen and Westcoast were such cases. In both cases the plaintiff had hired someone to act in its stead to ensure that the defendant was performing his contract. Any default was attributable to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significance in these decisions of the fact that the proposed third party was acting as the agent of the owner in circumstances where his conduct became the responsibility of the owner was pointed out by McEachern C.J. in Quintette Coal Ltd. v. Bow Valley Resource Services Ltd. et al., </w:t>
      </w:r>
      <w:hyperlink r:id="rId235" w:history="1">
        <w:r>
          <w:rPr>
            <w:rFonts w:ascii="arial" w:eastAsia="arial" w:hAnsi="arial" w:cs="arial"/>
            <w:i/>
            <w:color w:val="0077CC"/>
            <w:sz w:val="20"/>
            <w:u w:val="single"/>
            <w:shd w:val="clear" w:color="auto" w:fill="FFFFFF"/>
            <w:lang w:val="en-US" w:eastAsia="en-US" w:bidi="ar-SA"/>
          </w:rPr>
          <w:t>[1986] B.C.J. No. 2008</w:t>
        </w:r>
      </w:hyperlink>
      <w:r>
        <w:rPr>
          <w:rFonts w:ascii="arial" w:eastAsia="arial" w:hAnsi="arial" w:cs="arial"/>
          <w:color w:val="000000"/>
          <w:sz w:val="20"/>
          <w:lang w:val="en-US" w:eastAsia="en-US" w:bidi="ar-SA"/>
        </w:rPr>
        <w:t>, April 2, 1986, No. C837395, Vancouver Registry, at p. 20: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both Yem[e]n and Westcoast were cases where the putative Third Parties were inspectors employed by the Plaintiff to supervise the work of the Defendant. It was not suggested that the Third Parties were guilty of active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apart from their failure to detect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and it was assumed that any fault on the part of the Third Parties would be imputed to the Plaintiffs. In this case, however, the Defendant seeks contribution from Kilborn for Kilborn's own alleged independent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 am not satisfied that Kilborn's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necessarily be imputed to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thus may be stated with confidence, in my view, that a third party claim will not lie against another person with respect to an obligation belonging to the plaintiff which the defendant can raise directly against the plaintiff by way of defence. Where the only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against the third party is attributable to the plaintiff, there is no need for third party proceedings since the defendant has his full remedy against the plaintiff. On the other hand, where the pleadings and the alleged facts raise the possibility of a claim against the third party for which the plaintiff may not be responsible, the third party claim should be allowed to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case before the court is not the exception noted above in </w:t>
      </w:r>
      <w:r>
        <w:rPr>
          <w:rFonts w:ascii="arial" w:eastAsia="arial" w:hAnsi="arial" w:cs="arial"/>
          <w:i/>
          <w:color w:val="000000"/>
          <w:sz w:val="20"/>
          <w:lang w:val="en-US" w:eastAsia="en-US" w:bidi="ar-SA"/>
        </w:rPr>
        <w:t>Quintette Coal</w:t>
      </w:r>
      <w:r>
        <w:rPr>
          <w:rFonts w:ascii="arial" w:eastAsia="arial" w:hAnsi="arial" w:cs="arial"/>
          <w:color w:val="000000"/>
          <w:sz w:val="20"/>
          <w:lang w:val="en-US" w:eastAsia="en-US" w:bidi="ar-SA"/>
        </w:rPr>
        <w:t xml:space="preserve">. It was clear that the lawyers had been retained to act as the plaintiffs' representative and represent them - they were retained to file and amend the prospectus and deal with parties on the plaintiffs' behalf in that regard. The engineer sought to argue that the giving of advice was not something that fell within the scope of agency (see Bowstead on Agency, 12th ed. (1959), pp. 1 and 2.). The court, even assuming that to be so, noted that it went to mitigation- and there was no need for a third party claim. (See also the judgment of Braidwood J. in </w:t>
      </w:r>
      <w:r>
        <w:rPr>
          <w:rFonts w:ascii="arial" w:eastAsia="arial" w:hAnsi="arial" w:cs="arial"/>
          <w:i/>
          <w:color w:val="000000"/>
          <w:sz w:val="20"/>
          <w:lang w:val="en-US" w:eastAsia="en-US" w:bidi="ar-SA"/>
        </w:rPr>
        <w:t>British Columbia Ferry Corp. v. T &amp; N, plc</w:t>
      </w:r>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(1992), 86 B.C.L.R. (2d) 353</w:t>
        </w:r>
      </w:hyperlink>
      <w:r>
        <w:rPr>
          <w:rFonts w:ascii="arial" w:eastAsia="arial" w:hAnsi="arial" w:cs="arial"/>
          <w:color w:val="000000"/>
          <w:sz w:val="20"/>
          <w:lang w:val="en-US" w:eastAsia="en-US" w:bidi="ar-SA"/>
        </w:rPr>
        <w:t xml:space="preserve"> where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question arises then: When can a defendant in these circumstances claim for indemnity or contribution for all or part of the damages it is ordered to pay to the plaintiff? The answer to that question must be that it may claim for that part of the plaintiff's damage it did not cause yet was compelled to pay. In my opinion,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in effect, says just this: ... where 2 or more persons are found at fault they are jointly and severally liable to the person suffering the damage or loss, but as between themselves ... they are liable to make contribution to and indemnify each other in the degree in which they are respectively found to have been at fault.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plaintiff, at the hands of two tortfeasors, suffers a loss and despite the fact that the loss was caused from both, elects only to claim from one defendant that portion of the loss that the one defendant caused, that defendant can have no right to ask the third party to contribute. This is so because the defendant is only called upon to pay that part of the plaintiff's damage that it caused and no more.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To put the proposition another way, the defendant would be free in the lawsuit even in the absence of the third party, to properly advance the proposition that it is either responsible for none of the plaintiff's loss or only part of it namely, that part that it alone caused. Once it succeeds in this endeavour, it will only be liable for that part of the loss it caused and no more. This being so, it needs contribution from no one. It is obvious that if the defendant is only responsible for say, 30 per cent of the plaintiff's loss, it cannot shift any part of that 30 per cent liability to another. These propositions are consistent with the cases cited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Simply put - where the only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against the proposed fourth party is attributable to the plaintiff, and all acts falling within the scope of agency between the proposed third/fourth party are in the category of acts to which the plaintiff is responsible - they are not the proper subject of third/ party proceedings. Accordingly it is not necessary to have the third, or analogous to the case before the court, fourth party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Accordingly, the fourth party notice here does not fall under Rule 3-5 (1)(a). Blake Cassels &amp; Graydon owed no duty to DTZ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Subject matter the same or same issue - Rule 3-5 (b)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Alkan Air Ltd. v. Johnson &amp; Higgins</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[1990] Y.J. No. 122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Alkan</w:t>
      </w:r>
      <w:r>
        <w:rPr>
          <w:rFonts w:ascii="arial" w:eastAsia="arial" w:hAnsi="arial" w:cs="arial"/>
          <w:color w:val="000000"/>
          <w:sz w:val="20"/>
          <w:lang w:val="en-US" w:eastAsia="en-US" w:bidi="ar-SA"/>
        </w:rPr>
        <w:t xml:space="preserve">] counsel had been the subject of a third party notice. The plaintiff sued the defendants' insurance brokers alleging that they failed to put excess insurance coverage in place. This failure, it was alleged, resulted in loss to the plaintiff. After the accident, the defendants argued the plaintiff knew </w:t>
      </w:r>
      <w:r>
        <w:rPr>
          <w:rFonts w:ascii="arial" w:eastAsia="arial" w:hAnsi="arial" w:cs="arial"/>
          <w:i/>
          <w:color w:val="000000"/>
          <w:sz w:val="20"/>
          <w:lang w:val="en-US" w:eastAsia="en-US" w:bidi="ar-SA"/>
        </w:rPr>
        <w:t>through their counsel</w:t>
      </w:r>
      <w:r>
        <w:rPr>
          <w:rFonts w:ascii="arial" w:eastAsia="arial" w:hAnsi="arial" w:cs="arial"/>
          <w:color w:val="000000"/>
          <w:sz w:val="20"/>
          <w:lang w:val="en-US" w:eastAsia="en-US" w:bidi="ar-SA"/>
        </w:rPr>
        <w:t xml:space="preserve"> about the lack of excess insurance coverage and they should have mitigated their loss. The insurance brokers sought to third party the counsel claiming he was negligent in his professional duties in failing to have the plaintiff mitigate. Counsel for the lawyer sought to be third partied relied on the court's decision in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Counsel for the plaintiffs in </w:t>
      </w:r>
      <w:r>
        <w:rPr>
          <w:rFonts w:ascii="arial" w:eastAsia="arial" w:hAnsi="arial" w:cs="arial"/>
          <w:i/>
          <w:color w:val="000000"/>
          <w:sz w:val="20"/>
          <w:lang w:val="en-US" w:eastAsia="en-US" w:bidi="ar-SA"/>
        </w:rPr>
        <w:t>Alkan</w:t>
      </w:r>
      <w:r>
        <w:rPr>
          <w:rFonts w:ascii="arial" w:eastAsia="arial" w:hAnsi="arial" w:cs="arial"/>
          <w:color w:val="000000"/>
          <w:sz w:val="20"/>
          <w:lang w:val="en-US" w:eastAsia="en-US" w:bidi="ar-SA"/>
        </w:rPr>
        <w:t xml:space="preserve"> argued there may be situations where, if the lawyer was negligent, the plaintiff would not be liable for those acts - for instance if the lawyer was acting outside the scope of his authority. The court in </w:t>
      </w:r>
      <w:r>
        <w:rPr>
          <w:rFonts w:ascii="arial" w:eastAsia="arial" w:hAnsi="arial" w:cs="arial"/>
          <w:i/>
          <w:color w:val="000000"/>
          <w:sz w:val="20"/>
          <w:lang w:val="en-US" w:eastAsia="en-US" w:bidi="ar-SA"/>
        </w:rPr>
        <w:t>Alkan</w:t>
      </w:r>
      <w:r>
        <w:rPr>
          <w:rFonts w:ascii="arial" w:eastAsia="arial" w:hAnsi="arial" w:cs="arial"/>
          <w:color w:val="000000"/>
          <w:sz w:val="20"/>
          <w:lang w:val="en-US" w:eastAsia="en-US" w:bidi="ar-SA"/>
        </w:rPr>
        <w:t xml:space="preserve"> disagreed with that submission and it was never, as here, pleaded that counsel acted outside the scope of their retainer. As with the facts in </w:t>
      </w:r>
      <w:r>
        <w:rPr>
          <w:rFonts w:ascii="arial" w:eastAsia="arial" w:hAnsi="arial" w:cs="arial"/>
          <w:i/>
          <w:color w:val="000000"/>
          <w:sz w:val="20"/>
          <w:lang w:val="en-US" w:eastAsia="en-US" w:bidi="ar-SA"/>
        </w:rPr>
        <w:t>Alkan</w:t>
      </w:r>
      <w:r>
        <w:rPr>
          <w:rFonts w:ascii="arial" w:eastAsia="arial" w:hAnsi="arial" w:cs="arial"/>
          <w:color w:val="000000"/>
          <w:sz w:val="20"/>
          <w:lang w:val="en-US" w:eastAsia="en-US" w:bidi="ar-SA"/>
        </w:rPr>
        <w:t xml:space="preserve">, the retainer is not questioned or uncertain. As here, the court noted it was not necessary to look beyond the pleadings. As in </w:t>
      </w:r>
      <w:r>
        <w:rPr>
          <w:rFonts w:ascii="arial" w:eastAsia="arial" w:hAnsi="arial" w:cs="arial"/>
          <w:i/>
          <w:color w:val="000000"/>
          <w:sz w:val="20"/>
          <w:lang w:val="en-US" w:eastAsia="en-US" w:bidi="ar-SA"/>
        </w:rPr>
        <w:t>Alkan</w:t>
      </w:r>
      <w:r>
        <w:rPr>
          <w:rFonts w:ascii="arial" w:eastAsia="arial" w:hAnsi="arial" w:cs="arial"/>
          <w:color w:val="000000"/>
          <w:sz w:val="20"/>
          <w:lang w:val="en-US" w:eastAsia="en-US" w:bidi="ar-SA"/>
        </w:rPr>
        <w:t>, it is alleged the relationship between Lindt and Blake Cassels &amp; Graydon was a litigant-counsel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summary, the Court, per Richard J., found in </w:t>
      </w:r>
      <w:r>
        <w:rPr>
          <w:rFonts w:ascii="arial" w:eastAsia="arial" w:hAnsi="arial" w:cs="arial"/>
          <w:i/>
          <w:color w:val="000000"/>
          <w:sz w:val="20"/>
          <w:lang w:val="en-US" w:eastAsia="en-US" w:bidi="ar-SA"/>
        </w:rPr>
        <w:t>Alkan</w:t>
      </w:r>
      <w:r>
        <w:rPr>
          <w:rFonts w:ascii="arial" w:eastAsia="arial" w:hAnsi="arial" w:cs="arial"/>
          <w:color w:val="000000"/>
          <w:sz w:val="20"/>
          <w:lang w:val="en-US" w:eastAsia="en-US" w:bidi="ar-SA"/>
        </w:rPr>
        <w:t xml:space="preserve"> "any wrongdoing alleged against [Counsel], as counsel, is something that can be raised against the plaintiff.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main issue to be determined will be the representations, made not in the context of the relationship and duty owed to Lindt by Blake Cassels &amp; Graydon, but rather all the remainder of the parties, existing and proposed, and whether as a consequence the lease is voidable or whether rescission should be granted as a remedy. No one here pleads the actions of Blake Cassels &amp; Graydon except DTZ Ontario.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There was no need consequently to add counsel as a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Were I to have found this application properly founded in Rule 3-5(1), the court still may deny leave to file a third party or fourth party notice in the event the pleadings offend Rule 9-5. That Rule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Rule 9-5 -- Striking Pleadings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Scandalous, frivolous or vexatious matters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Absent an exceptional fact situation, and I find the case at bar does not present such exceptional circumstances, counsel owes no duty to any other party of a proceeding except the client. A pleading advanced by a non-client does not generally disclose a reasonable claim and would be struck: see </w:t>
      </w:r>
      <w:r>
        <w:rPr>
          <w:rFonts w:ascii="arial" w:eastAsia="arial" w:hAnsi="arial" w:cs="arial"/>
          <w:i/>
          <w:color w:val="000000"/>
          <w:sz w:val="20"/>
          <w:lang w:val="en-US" w:eastAsia="en-US" w:bidi="ar-SA"/>
        </w:rPr>
        <w:t>Kamahap Enterprises Ltd. v. Chu's Central Market Ltd.</w:t>
      </w:r>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(1989), 64 D.L.R. (4th) 167</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Jensen v. McGregor</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(1992), 65 B.C.L.R. (2d) 224</w:t>
        </w:r>
      </w:hyperlink>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[1992] B.C.J. No. 467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Crooks v. Manolescu</w:t>
      </w:r>
      <w:r>
        <w:rPr>
          <w:rFonts w:ascii="arial" w:eastAsia="arial" w:hAnsi="arial" w:cs="arial"/>
          <w:color w:val="000000"/>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[1995] B.C.J. No. 17</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Young v. Borzoni</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2007 BCCA 16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Additionally, were leave to add Blake Cassels &amp; Graydon as a fourth party to be permitted, this would prejudice Lindt who would be denied their counsel of choice.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Since the proposed fourth party pleadings do not fall within Rule 3-5(1), the application to add Blake Cassels &amp; Graydon is denied. There is no assertion that Blake Cassels &amp; Graydon acted outside the scope of its responsibilities in the only relationship it had which was pleaded - that is to Lindt. DTZ Ontario can raise by defence the obligations it says are owed to Lindt and consequently the fourth party pleadings are unnecessary. I have found this application did not meet the requirements of Rule 3-5(1) insofar as the applicant seeks to add Blake Cassels &amp; Graydon. In any event, I would have denied the application to add Blake Cassels &amp; Graydon under Rule 9-5 as not disclosing a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order, accordingly, that leave is granted to add as fourth parties DTZ Barnicke Vancouver Limited., Warrington PCI Management, a partnership, David Chan, PCI Realty Corp., Can-West Investments Ltd. and Warrington Management Ltd., Colliers Macaulay Nicolls Inc. and Josh Romer. The application for leave to add Blake Cassels &amp; Graydon as a fourth party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the event the parties cannot agree as to costs I would ask that within 30 days the parties contact the Registry at Vancouver to schedule a further appearance to speak to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 MAISONVILLE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0" style="position:absolute;z-index:251875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88" w:history="1">
        <w:r>
          <w:rPr>
            <w:rFonts w:ascii="arial" w:eastAsia="arial" w:hAnsi="arial" w:cs="arial"/>
            <w:b/>
            <w:bCs/>
            <w:i/>
            <w:color w:val="0077CC"/>
            <w:kern w:val="32"/>
            <w:sz w:val="28"/>
            <w:szCs w:val="32"/>
            <w:u w:val="single"/>
            <w:shd w:val="clear" w:color="auto" w:fill="FFFFFF"/>
            <w:lang w:val="en-US" w:eastAsia="en-US" w:bidi="ar-SA"/>
          </w:rPr>
          <w:t>Lemay v. James Western Star Sterling Ltd., [2013] B.C.J. No. 1265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 Kloegman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9 and 10,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13,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M121560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1265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1043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Marie Celine Elise Lemay, Plaintiff, and James Western Star Sterling Ltd., DCT Chambers Trucking Ltd., Robert Paul Gorcak,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1"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5" w:name="Keywords_17"/>
      <w:bookmarkEnd w:id="115"/>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Motor vehicles — Action by Lemay for a finding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against the defendants allowed in part — Lemay was stopped to the right of the defendants' tractor-trailer at a red light — The tractor-trailer moved to the right while making a wide left turn and struck the motorcycle — The defendants could have installed an extra mirror to eliminate the blind spot and the driver did not set up his left turn in accordance with the standard practice — However, Lemay was too close to the tractor-trailer — The defendants were 80 per cent liable and Lemay was 20 per cent liable.</w:t>
      </w:r>
    </w:p>
    <w:p>
      <w:pPr>
        <w:jc w:val="both"/>
        <w:rPr>
          <w:rFonts w:ascii="arial" w:eastAsia="arial" w:hAnsi="arial" w:cs="arial"/>
          <w:sz w:val="20"/>
          <w:lang w:val="en-US" w:eastAsia="en-US" w:bidi="ar-SA"/>
        </w:rPr>
      </w:pPr>
      <w:bookmarkStart w:id="116" w:name="Legislation Cited_13"/>
      <w:bookmarkEnd w:id="11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2"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289" w:history="1">
        <w:r>
          <w:rPr>
            <w:rFonts w:ascii="arial" w:eastAsia="arial" w:hAnsi="arial" w:cs="arial"/>
            <w:i/>
            <w:color w:val="0077CC"/>
            <w:sz w:val="20"/>
            <w:u w:val="single"/>
            <w:shd w:val="clear" w:color="auto" w:fill="FFFFFF"/>
            <w:lang w:val="en-US" w:eastAsia="en-US" w:bidi="ar-SA"/>
          </w:rPr>
          <w:t>RSBC 1996, CHAPTER 318, s. 158</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7" w:name="Counsel_17"/>
      <w:bookmarkEnd w:id="11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3" style="position:absolute;z-index:2517790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E.J. McNeney, Q.C., M.C. Spieker.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J.W. Marquardt.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8" w:name="Judgment_17"/>
      <w:bookmarkEnd w:id="118"/>
      <w:r>
        <w:pict>
          <v:line id="_x0000_s1114" style="position:absolute;z-index:2518302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9" w:name="D. KLOEGMAN J."/>
            <w:bookmarkEnd w:id="119"/>
            <w:r>
              <w:rPr>
                <w:rFonts w:ascii="arial" w:eastAsia="arial" w:hAnsi="arial" w:cs="arial"/>
                <w:b/>
                <w:color w:val="000000"/>
                <w:sz w:val="30"/>
                <w:lang w:val="en-US" w:eastAsia="en-US" w:bidi="ar-SA"/>
              </w:rPr>
              <w:t>D. KLOEGMAN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suffered the loss of three toes, a broken foot and ankle, a detached calf and an injured knee when the defendants' 75-foot tractor-trailer collided into her motorcycle. The collision occurred on the west side of the intersection of Sumas Way and Vye Road in Abbotsford, British Columbia, on July 5, 2011, at approximately 9:00 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Liability is in issue. The plaintiff says she was legally stopped beside the defendants' tractor-trailer unit at a red light, when the defendant driver suddenly turned the unit right into her, throwing her and her motorcycle to the ground. The defendants say the plaintiff was solely responsible for the accident by attempting to pass on the right, in contravention of s. 158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and positioning herself in a dangerous place where she could not be perceived by the defendant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accident took place on a sunny, clear morning. The plaintiff was riding a Sport Bike 500 Suzuki. She was travelling eastbound on Vye Road, which crosses the north/south-running Sumas Way (the "Intersection"). West of the Intersection, eastbound Vye Road is a single lane. According to Constable Fehr it is wider than the average roadway, even at its narrowest point, but before it reaches the Intersection the roadway widens to about twice its size, or 7.43 metres. There is a gravel shoulder stretching alongside the paved roadway. Further to the east, past the Intersection, Vye Road becomes a narrow country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testified that she was following the car ahead of her when it started to slow down. She knew the roadway was widening as she neared the Intersection so she pulled out to the right. She was going very slowly, maybe 10 kilometres per hour. There was traffic alongside and ahead of her. She knew the traffic usually turned left at the Intersection because northbound Sumas Way led to Highway #1. She planned to go straight through the Intersection because she wanted to travel east on the country lane on the other side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said that when she pulled out, there were at least two vehicles to her left lined up behind the defendants' unit. The light was red and so she stopped about three to four feet from the side of the defendants' unit, at the stop line, for about 20 to 30 seconds. The front of her motorbike was adjacent to the defendants' front bumper and the rest of the motorbike was beside the passenger door. She had her left foot on the ground and her motorbike was stationary.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testified that she heard a noise and she was struck on her left leg and foot by the defendants' right wheel. She dropped the motorbike to the ground, 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cross-examination, the plaintiff admitted that she was aware tractor-trailer units like the defendants' could make wide left turns, and often needed to swing right before turning left. She also admitted that she was obviously too close to the side of the unit, but she denied being as close as two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driver testified that he had been driving this type of unit for about 13 years. He drove through that particular intersection once every two weeks in 2011. He had left Kelowna the night before at 11:00 p.m. He had rested for half an hour between 3:00 and 3:30 a.m. He continued on to Surrey, unloaded, then switched trailers about one kilometre from the site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driver said that when he reached the Intersection, it was busy and a train was crossing the tracks which are located west of the Intersection. There were two cars ahead of him; the first one got through the green light and the second one got through on the amber light. He debated whether to run the light but decided against it and stopped about one foot back from the stop line, waiting for the next green light. It was a hot day, so his windows were closed and the air conditioner was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He testified that he intended to turn left at the Intersection and his left signal light had been on since the train tracks. He testified that a B-Train Flat Deck facing northbound on Sumas Way entered the Intersection to turn left, or westbound on Vye Road. When the defendant driver's light turned green, he said that he checked his mirrors and saw nothing. The B-Train Flat Deck was not moving, so the defendant driver moved his unit about two feet to the right and 10 feet forward before he heard a "bump." He checked his mirrors again and saw a motorbike rider's helmet in his convex mirror on the passenger side. He applied his brakes and jumped out. He said that he was not 100% sure that he had had room to make his left turn, but he had wanted to clear the Intersection out of courtesy to the other driver turning left with the B-Train Flat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cross-examination, the defendant driver admitted that he had his left turn signal on, but at the time of the accident he was moving to the right. He said he did not "set up" for a wide left turn earlier because the Intersection was wide enough to make the turn from a straight position. He admitted that in hindsight it would have been safer to properly set up the turn so that his unit was already angled to the right, preventing other vehicles, cyclists or pedestrians from passing alongside him. He admitted that in his full length and convex side mirrors he could only see from his doors back. In front of the doors was a total blind spot. He admitted that the unit had two holes drilled for a device to be installed that would have allowed him to see the back fender straight to the ground, thereby eliminating the blind spot. He said that such a device had not been installed because they did not hold up well at high speeds. He admitted that he had a little convex window on the lower passenger door that would have allowed him to see the ground, but said it was blackened out with dirt. He had tried to clean it before leaving Kelowna but the dirt was ground into the glass. He would have had to take the door apart and he wanted to get going. He admitted that he had not noted this deficiency on his inspection sheet.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He further admitted that he never put on his right turn signal before he moved to the right. He admitted that there was enough room for other travellers to come up along his right side and turn right, in fact he presumed it was a right-turning lane beside him. He admitted that he could have honked his horn in warning of his manoeuvre, but he did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Both the plaintiff and the defendant driver were credible witnesses and did not really contradict each other. The defendant driver never saw the plaintiff approach or stop alongside him, so he could not comment on how many cars she had passed on the right, or how close she was to the stop line, or how close she was to the side of his unit. The plaintiff never saw any B-Train Flat Deck turning left on Sumas Way, so she could not comment on whether it was necessary for the defendant to reposition his unit to clear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evidence of the three other eye witnesses was illuminating. Mr. Pierce and his co-worker, Mr. Steiner, were driving a pickup truck eastbound on Vye Road, at least two passenger vehicles behind the defendants' unit. The traffic in front of them stopped. As they sat waiting, the defendants' unit was positioned straight along the centre line and a small motorcycle passed slowly by their right side at walking speed. About 40 seconds later, Mr. Steiner observed that the motorcyclist had fallen.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Pierce noticed that the defendant driver had pulled forward to the right and then stopped. Mr. Steiner said the motorbike was about one-and-a-half to two feet from the side of the defendants' unit for about 10 seconds, then the unit moved to the right in first gear and the motorcyclist was swept to the ground. Mr. Steiner said the plaintiff was stopped alongside the passenger side door of the unit, just under the mirror. The move to the right and the collision with the plaintiff appeared simultaneous.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Steiner said there was enough room on the roadway for the plaintiff to pass alongside the traffic without leaving the roadway. Mr. Pierce believed he saw the plaintiff travelling on the paved part of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Neither Mr. Pierce nor Mr. Steiner saw any B-Train Flat Deck trying to turn left onto Vye Road. Mr. Steiner did see a southbound Stinger truck signalling his intention to turn right onto Vye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Candy, an experienced truck driver, was filling his vehicle at the Chevron station on the southwest corner of the Intersection. He noticed the defendants' unit because it was unique in the trucking world. It had stopped at the lights for about five seconds when the plaintiff came into Mr. Candy's view. She was going slow enough for Mr. Candy to identify her as an "attractive female rider." When she passed from view, Mr. Candy returned his attention to filling up his vehicle. He heard the accelerating whine of the defendants' unit and then a crunch-crunch sound. He looked up and saw a southbound Stinger truck trying to turn right from Sumas Way onto Vye Road. At first he assumed it was the Stinger that hit the defendants' unit, not realizing that the plaintiff had been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Candy explained in detail the proper way to set up a left turn such as the defendant driver was proposing to do. He said every trained truck driver knew that with that Intersection one needed to angle out to prevent traffic from passing so that when your turn came you could take it as wide as possible because there may be southbound traffic turning east onto Vye Road from Sumas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Candy testified that to set up properly, a driver would begin just east of the driveway to the gas station. He would signal left, and get as close to the center line as he could. He would look in all mirrors and then signal right. He would make a small turn to the right, then signal and move left again, aiming to get the cab over as far to the right as possible to keep other traffic from moving past either side. In other words, a driver should angle the truck so he is effectively "hogging the road" at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Candy also testified that he uses a mirror on the right corner of his fender. He referred to it as the "third eye" which eliminates the blind spot from the door down 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testimony of the witnesses raised several issues of fact, such as where on the roadway the plaintiff was travelling, where she was positioned when she was hit, whether she was stationary or moving, and whether the defendant could have avoided swinging to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am satisfied, on a balance of probabilities, from the totality of the evidence that:</w:t>
      </w:r>
      <w:r>
        <w:rPr>
          <w:rFonts w:ascii="arial" w:eastAsia="arial" w:hAnsi="arial" w:cs="arial"/>
          <w:sz w:val="20"/>
          <w:lang w:val="en-US" w:eastAsia="en-US" w:bidi="ar-SA"/>
        </w:rPr>
        <w:cr/>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likely riding her motorcycle on the paved roadway when she passed along the vehicles to her right. There is no evidence to suggest that she was riding on the gravel shoulder but there is sufficient evidence from the plaintiff, Mr. Pierce and the dimensions of the paved roadway to establish that she was likely riding on the paved portion.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travelling slowly and had likely come to a complete stop on the paved roadway beside the defendants' unit before she was hit.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likely about two feet from the side of the unit when she was hit. There was more room on the paved roadway to her right.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in the blind spot of the defendant driver's two mirrors on the passenger door. The plaintiff likely would have been visible in the small lower window in the passenger door but the view through the window was either obscured, or the defendant driver did not look through it.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driver was likely distracted by the traffic. I do not think it matters whether the distraction was a B-Train Flat Deck turning left that only he testified about, or a Stinger truck turning right that Mr. Steiner and Mr. Candy testified about.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did not have to manoeuvre his unit to clear the Intersection. It was his own choice, as was his decision not to set up the wide left turn in the prudent manner described by Mr. Candy.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 am also satisfied that the plaintiff has proved, on a balance of probabilities, that the defendants were negligent and therefore liable for her injuries. The basis of this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two-fold. Firstly, there were means available to the defendants to eliminate the dangerous blind spot of the unit. A mirror of the type described by Mr. Candy as a "third eye" could have been installed, but was not installed. Clear visibility should have been maintained in the small window in the passenger door, but the view through the window was obscured by dirt.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Secondly, the defendant driver did not exercise the standard of care of a reasonably prudent truck driver in the circumstances. He did not set up his wide left turn in accordance with standard practice, he did not use his right indicator, he did not attempt to check his blind spot through the small window in the passenger door, and he was unduly focused on another vehicle blocking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defendants submit that I should find the plaintiff wholly at fault for the accident, or at least contributorily negligent. The defendants rely on s. 158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to argue that the plaintiff was in breach of her statutory duty. This section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Passing on right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(1) The driver of a vehicle must not cause or permit the vehicle to overtake and pass on the right of another vehicle, except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vehicle overtaken is making a left turn or its driver has signalled his or her intention to make a left turn,</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on a laned roadway there is one or more than one unobstructed lane on the side of the roadway on which the driver is permitted to drive, or</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a one way street or a highway on which traffic is restricted to one direction of movement, where the roadway is free from obstructions and is of sufficient width for 2 or more lanes of moving vehicles.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subsection (1), a driver of a vehicle must not cause the vehicle to overtake and pass another vehicle on the right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movement cannot be made safely, or</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driving the vehicle off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Firstly, the defendants argue that the plaintiff went off the roadway in contravention to s. 158(2)(b). I have found that it is more likely than not that the plaintiff was travelling on, not off the roadway, so this argument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Secondly, the defendants argue that the plaintiff did not know if all drivers to the right of her were signalling left, therefore her movement was unsafe. I disagree. The defendant driver was turning left, Mr. Pierce's vehicle was turning left, and there was plenty of room at that point to accommodate the plaintiff along the right side of the roadway. Therefore I do not find that the plaintiff breached any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remaining question is whether the plaintiff was contributorily negligent for some other reason. The defendants say she was negligent in positioning herself in a dangerous place where she could not be perceived. I would not find the plaintiff contributorily negligent for being in the defendant's blind spot. She was not to know whether there was a blind spot or where it was located. However, the plaintiff was aware of the defendants' unit's large and cumbersome size, and that large vehicles such as the defendants' make wide left turns. In hindsight she admitted that she was situated too close to the unit. Given the dimensions of the roadway, the plaintiff could easily have stopped her motorcycle much further to the right and perhaps out of harm's way. It is this excessively close positioning of her motorcycle next to the defendants' unit that results in some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being attributed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is trite law that plaintiff drivers have a common law duty to take reasonable care in the circumstances, even when they are driving lawfully and in accordance with the rules of the road. Plaintiff drivers and cyclists have been found contributorily liable for driving too close to a defendant's vehicle (</w:t>
      </w:r>
      <w:r>
        <w:rPr>
          <w:rFonts w:ascii="arial" w:eastAsia="arial" w:hAnsi="arial" w:cs="arial"/>
          <w:i/>
          <w:color w:val="000000"/>
          <w:sz w:val="20"/>
          <w:lang w:val="en-US" w:eastAsia="en-US" w:bidi="ar-SA"/>
        </w:rPr>
        <w:t>Janzen v. Heather</w:t>
      </w:r>
      <w:r>
        <w:rPr>
          <w:rFonts w:ascii="arial" w:eastAsia="arial" w:hAnsi="arial" w:cs="arial"/>
          <w:color w:val="000000"/>
          <w:sz w:val="20"/>
          <w:lang w:val="en-US" w:eastAsia="en-US" w:bidi="ar-SA"/>
        </w:rPr>
        <w:t xml:space="preserve">, </w:t>
      </w:r>
      <w:hyperlink r:id="rId290" w:history="1">
        <w:r>
          <w:rPr>
            <w:rFonts w:ascii="arial" w:eastAsia="arial" w:hAnsi="arial" w:cs="arial"/>
            <w:i/>
            <w:color w:val="0077CC"/>
            <w:sz w:val="20"/>
            <w:u w:val="single"/>
            <w:shd w:val="clear" w:color="auto" w:fill="FFFFFF"/>
            <w:lang w:val="en-US" w:eastAsia="en-US" w:bidi="ar-SA"/>
          </w:rPr>
          <w:t>2008 BCSC 229</w:t>
        </w:r>
      </w:hyperlink>
      <w:r>
        <w:rPr>
          <w:rFonts w:ascii="arial" w:eastAsia="arial" w:hAnsi="arial" w:cs="arial"/>
          <w:color w:val="000000"/>
          <w:sz w:val="20"/>
          <w:lang w:val="en-US" w:eastAsia="en-US" w:bidi="ar-SA"/>
        </w:rPr>
        <w:t>), or exercising poor judgment in other ways (</w:t>
      </w:r>
      <w:r>
        <w:rPr>
          <w:rFonts w:ascii="arial" w:eastAsia="arial" w:hAnsi="arial" w:cs="arial"/>
          <w:i/>
          <w:color w:val="000000"/>
          <w:sz w:val="20"/>
          <w:lang w:val="en-US" w:eastAsia="en-US" w:bidi="ar-SA"/>
        </w:rPr>
        <w:t>Ormiston v. I.C.B.C.</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2012 BCSC 665</w:t>
        </w:r>
      </w:hyperlink>
      <w:r>
        <w:rPr>
          <w:rFonts w:ascii="arial" w:eastAsia="arial" w:hAnsi="arial" w:cs="arial"/>
          <w:color w:val="000000"/>
          <w:sz w:val="20"/>
          <w:lang w:val="en-US" w:eastAsia="en-US" w:bidi="ar-SA"/>
        </w:rPr>
        <w:t>). In the circumstances of the case before me, I find the plaintiff contributed to the accident and that liability should be apportioned 80% to the defendants and 20%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 KLOEGMAN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5"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98" w:history="1">
        <w:r>
          <w:rPr>
            <w:rFonts w:ascii="arial" w:eastAsia="arial" w:hAnsi="arial" w:cs="arial"/>
            <w:b/>
            <w:bCs/>
            <w:i/>
            <w:color w:val="0077CC"/>
            <w:kern w:val="32"/>
            <w:sz w:val="28"/>
            <w:szCs w:val="32"/>
            <w:u w:val="single"/>
            <w:shd w:val="clear" w:color="auto" w:fill="FFFFFF"/>
            <w:lang w:val="en-US" w:eastAsia="en-US" w:bidi="ar-SA"/>
          </w:rPr>
          <w:t>Lemesurier v. McConnachie, [2009] B.C.J. No. 138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Nelson,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T.M. McEwan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6-8,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13300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Nelson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2009 BCSC 89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Virginia Anne Lemesurier, Plaintiff, and Lindsay Dawn McConnachie, Douglas Laurel Beetstra,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6"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0" w:name="Keywords_18"/>
      <w:bookmarkEnd w:id="120"/>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Proof of — Duty of care — Pedestrians — Action by plaintiff for liability in motor vehicle accident allowed in part — Plaintiff was struck by defendant's vehicle while crossing the street against the signals — There was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Plaintiff was negligent as to her own safety — Defendant approached the intersection without slowing or without the utmost caution — Defendant was 40 percent liable.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1" w:name="Case Summary_16"/>
            <w:bookmarkEnd w:id="12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pedestrian for liability for a motor vehicle accident. The plaintiff was crossing the street when she was struck by a vehicle driven by the defendant. The plaintiff crossed the street some distance from the crosswalk and against the traffic signals. The defendant argued that she had the right of way and that she did not see the plaintiff until she could not avoid hitting her.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2" w:name="Holdings of Court_11"/>
            <w:bookmarkEnd w:id="122"/>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jaywalking the plaintiff was in breach of her statutory responsibilities and negligent as to her own safety. The defendant approached the intersection without slowing or without the utmost caution given that a large group of people had proceeded to cross moments before contrary to the traffic signal. The defendant should have been alert to the fact that people were crossing the road. The plaintiff was 60 percent responsible for the accident and the defendant was 40 percent responsible.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3" w:name="Legislation Cited_14"/>
      <w:bookmarkEnd w:id="12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7"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11" w:history="1">
        <w:r>
          <w:rPr>
            <w:rFonts w:ascii="arial" w:eastAsia="arial" w:hAnsi="arial" w:cs="arial"/>
            <w:i/>
            <w:color w:val="0077CC"/>
            <w:sz w:val="20"/>
            <w:u w:val="single"/>
            <w:shd w:val="clear" w:color="auto" w:fill="FFFFFF"/>
            <w:lang w:val="en-US" w:eastAsia="en-US" w:bidi="ar-SA"/>
          </w:rPr>
          <w:t>RSBC 1996, CHAPTER 318, s. 179</w:t>
        </w:r>
      </w:hyperlink>
      <w:r>
        <w:rPr>
          <w:rFonts w:ascii="arial" w:eastAsia="arial" w:hAnsi="arial" w:cs="arial"/>
          <w:color w:val="000000"/>
          <w:sz w:val="20"/>
          <w:lang w:val="en-US" w:eastAsia="en-US" w:bidi="ar-SA"/>
        </w:rPr>
        <w:t>, s. 180, s. 181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4" w:name="Counsel_18"/>
      <w:bookmarkEnd w:id="12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8" style="position:absolute;z-index:2517800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R.L. Spilker.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G.L. Harrison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5" w:name="Judgment_18"/>
      <w:bookmarkEnd w:id="125"/>
      <w:r>
        <w:pict>
          <v:line id="_x0000_s1119" style="position:absolute;z-index:2518312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6" w:name="T.M. McEWAN J."/>
            <w:bookmarkEnd w:id="126"/>
            <w:r>
              <w:rPr>
                <w:rFonts w:ascii="arial" w:eastAsia="arial" w:hAnsi="arial" w:cs="arial"/>
                <w:b/>
                <w:color w:val="000000"/>
                <w:sz w:val="30"/>
                <w:lang w:val="en-US" w:eastAsia="en-US" w:bidi="ar-SA"/>
              </w:rPr>
              <w:t>T.M. McEWAN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was a trial on the issue of liability for a motor vehicle accident that occurred on May 5, 2006 in downtown Trail,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somewhere around 11 p.m. that evening the plaintiff was one of a group of young adults who had been socializing in conjunction with an annual event called "Silver City Days." After spending the day in Castlegar, the plaintiff had gone to a house party in Rossland for a few hours, then taken a ride with others down to Trail to attend a concert at the Trail Memorial Centre on Victoria Street. Victoria Street is the "downtown" name for Highway 3B, which runs from one end of the city to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the area just to the west of the Memorial Centre, Victoria Street is two lanes in each direction with a fully demarcated left turn lane on the east side (for westbound traffic turning south), and a painted tapered yellow "island" on the other side to guide traffic turning west from the northbound, inside, lane of Bay Avenue, which meets Victoria Avenue to form a "T".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and several of her friends and acquaintances decided to leave the concert after about an hour, and informally marshalled briefly outside the Memorial Centre to make their way to their cars. The vehicle the plaintiff rode to the event, and to which she expected to return, was in a parking lot on the opposite side of Victoria Avenue and opposite the western end of the Memorial Centre. It was, accordingly, necessary for the plaintiff to cross Victoria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is considerable evidence from the perspectives of several of the young people who were with or around the plaintiff that evening. What it comes down to reliably is that the plaintiff was attempting to cross Victoria Street in the area of the western crosswalk on Bay Avenue when she was struck by the defendant's vehicle in the eastbound inside lane. It is also clear that she was some distance west of that crosswalk, perhaps cutting the distance to the Dairy Queen parking lot, although it is not essential to establish why she was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None of the considerable evidence concerning the length of time the "walk" sign operated until the "don't walk sign" came on and the light on Victoria Street turned green is particularly helpful. For the sake of completeness, the evidence is that the cross-walk at the west side of the Victoria Street/Bay Avenue intersection was operated by a button. The "walk" sign operated for 7 seconds followed by a "don't walk" sign for 14 seconds. There was then a further 4 1/2 seconds period before the light would change. Several witnesses remarked that, as a practical fact, the period during which pedestrians were authorized to cross was relatively brief.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Lorne Nedelec, one of the young men in the group that had been with the plaintiff, testified that he pressed the button and crossed when he was authorized to do so. He testified that he knew the plaintiff and her friend Nairn Bruce were just behind him because he heard them conversing. He says that the collision occurred just after he got to the other side. He was an apparently truthful witness but I conclude he was mistaken, either as to the proximity of the plaintiff behind him, or as to the timing of the incident relative to him reaching the south curb of Victoria Street, or both. This is because it is quite inconsistent with the other evidence, including that of a defence witness whose evidence I generally accept, Leonora Howes.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Howes was travelling west on Victoria Street intending to make a left turn onto Bay Avenue. She says she had a green light and drove into the centre of the intersection signalling her turn and pausing for through traffic to clear. While in this position she saw a group of people crossing the street, some of whom were running. She recalls seeing shadows in the path of an oncoming vehicle and forming the impression that someone would be struck, just before the plaintiff was. She left her vehicle with its hazard lights on in the intersection and attended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What this establishes is that several people were crossing contrary to the traffic signals at that intersection. Ms. Howes observed this </w:t>
      </w:r>
      <w:r>
        <w:rPr>
          <w:rFonts w:ascii="arial" w:eastAsia="arial" w:hAnsi="arial" w:cs="arial"/>
          <w:color w:val="000000"/>
          <w:sz w:val="20"/>
          <w:u w:val="single"/>
          <w:lang w:val="en-US" w:eastAsia="en-US" w:bidi="ar-SA"/>
        </w:rPr>
        <w:t>while in the intersection</w:t>
      </w:r>
      <w:r>
        <w:rPr>
          <w:rFonts w:ascii="arial" w:eastAsia="arial" w:hAnsi="arial" w:cs="arial"/>
          <w:color w:val="000000"/>
          <w:sz w:val="20"/>
          <w:lang w:val="en-US" w:eastAsia="en-US" w:bidi="ar-SA"/>
        </w:rPr>
        <w:t>, a position she would only have been in if the light in her direction were green. This means that the signal had to be against the plaintiff when she was struck and that it had been for several seconds before the collision occurred. Ms. Howes also places the impact to the west of the intersection and not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evidence is not entirely satisfactory. She has no reliable recollection of how she entered onto Victoria Street, whether at an intersection one, or two, blocks west of the Victoria Street/Bay Avenue intersection, or from the entrance of a 7-11 store between those intersections. This would have been of some assistance in assessing the timing and effect of various manoeuvres. She testified, for instance, that, because there were a good number of people about, she felt it was safer to get into the inside lane of travel. When and where she made that change, and whether its proximity to the collision was a factor, is not possible to gauge on her evidence, or on that of any other witness, or combination of witnesses. There is some reason to believe that there was a faster moving vehicle in the curb lane travelling in the same direction as the plaintiff, which may have drawn the attention of some of the witnesses away from the defendant's car somewhat further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cannot say more than that she was proceeding down Victoria Street below the speed limit because there were "people all around." Her lights were on low beam because there were "street lights all around". She says, of the plaintiff (and her friend Nairn Bruce), that "they came out of nowhere ... I seen the pedestrian and, like, bang."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evidence is, then, that the plaintiff was attempting to cross the road outside the crosswalk, and contrary to the traffic signal, when she was struck by the defendant, who had the right of way, and was not speeding or otherwise in obvious breach of the rules of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statutory provisions which govern the situation are sections 179-181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They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Rights of way between vehicle and pedestrian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179(1) Subject to section 180, the driver of a vehicle must yield the right of way to a pedestrian where traffic control signals are not in place or not in operation when the pedestrian is crossing the highway in a crosswalk and the pedestrian is on the half of the highway on which the vehicle is travelling, or is approaching so closely from the other half of the highway that he or she is in danger.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A pedestrian must not leave a curb or other place of safety and walk or run into the path of a vehicle that is so close it is impracticable for the driver to yield the right of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Crossing at other than crosswalk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180 When a pedestrian is crossing a highway at a point not in a crosswalk, the pedestrian must yield the right of way to a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Duty of driver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181 Despite sections 178, 179 and 180, a driver of a vehicle must</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due care to avoid colliding with a pedestrian who is on the highway,</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 warning by sounding the horn of the vehicle when necessary, and</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observe proper precaution on observing a child or apparently confused or incapacitated person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jaywalking Victoria Street the plaintiff was in breach of her statutory responsibilities and negligent as to her own safety. The issue comes down to whether, notwithstanding this, the defendant was in breach of her statutory responsibility under section 181, or otherwise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defence has tendered the case of </w:t>
      </w:r>
      <w:r>
        <w:rPr>
          <w:rFonts w:ascii="arial" w:eastAsia="arial" w:hAnsi="arial" w:cs="arial"/>
          <w:b/>
          <w:i/>
          <w:color w:val="000000"/>
          <w:sz w:val="20"/>
          <w:lang w:val="en-US" w:eastAsia="en-US" w:bidi="ar-SA"/>
        </w:rPr>
        <w:t>Melgarejo-Gomez v. Sidhu</w:t>
      </w:r>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2002 BCCA 19</w:t>
        </w:r>
      </w:hyperlink>
      <w:r>
        <w:rPr>
          <w:rFonts w:ascii="arial" w:eastAsia="arial" w:hAnsi="arial" w:cs="arial"/>
          <w:color w:val="000000"/>
          <w:sz w:val="20"/>
          <w:lang w:val="en-US" w:eastAsia="en-US" w:bidi="ar-SA"/>
        </w:rPr>
        <w:t>, as setting out the applicable law. There, the evidence of "lookout" was as follows: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brief summary of the evidence relating to "lookout" is relevant here. Mr. Sidhu testified that when he first saw the pedestrian, he was approximately three to four car lengths away and was running from Mr. Sidhu's right to his left. He was between the second and third of the four lanes he was seeking to travel across. The pedestrian continued to run through the third lane and into the fourth - the lane in which Mr. Sidhu was travelling when he struck him.</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Sidhu asserted that, immediately upon seeing the respondent pedestrian, he applied his brakes. He testified as follows: "I slammed on my brakes. And he kept on running. I kept on sliding and he ... basically we collided. "Mr. Sidhu further testified that he let go of the brakes after the collision because the vehicle was out of control but that he was then able to come to a controlled stop. Mr. Sidhu also said that the pedestrian appeared to notice his vehicle for the first time just before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Court, per Braidwood J.A., endorsed the reasoning in </w:t>
      </w:r>
      <w:r>
        <w:rPr>
          <w:rFonts w:ascii="arial" w:eastAsia="arial" w:hAnsi="arial" w:cs="arial"/>
          <w:b/>
          <w:i/>
          <w:color w:val="000000"/>
          <w:sz w:val="20"/>
          <w:lang w:val="en-US" w:eastAsia="en-US" w:bidi="ar-SA"/>
        </w:rPr>
        <w:t>Wong v. West</w:t>
      </w:r>
      <w:r>
        <w:rPr>
          <w:rFonts w:ascii="arial" w:eastAsia="arial" w:hAnsi="arial" w:cs="arial"/>
          <w:color w:val="000000"/>
          <w:sz w:val="20"/>
          <w:lang w:val="en-US" w:eastAsia="en-US" w:bidi="ar-SA"/>
        </w:rPr>
        <w:t xml:space="preserve"> (1959), 30 W.W.R. 526 (B.C.C.A.):</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case of </w:t>
      </w:r>
      <w:r>
        <w:rPr>
          <w:rFonts w:ascii="arial" w:eastAsia="arial" w:hAnsi="arial" w:cs="arial"/>
          <w:b/>
          <w:i/>
          <w:color w:val="000000"/>
          <w:sz w:val="20"/>
          <w:lang w:val="en-US" w:eastAsia="en-US" w:bidi="ar-SA"/>
        </w:rPr>
        <w:t>Wong v. West</w:t>
      </w:r>
      <w:r>
        <w:rPr>
          <w:rFonts w:ascii="arial" w:eastAsia="arial" w:hAnsi="arial" w:cs="arial"/>
          <w:color w:val="000000"/>
          <w:sz w:val="20"/>
          <w:lang w:val="en-US" w:eastAsia="en-US" w:bidi="ar-SA"/>
        </w:rPr>
        <w:t xml:space="preserve"> (1959), 30 W.W.R. 526 (B.C.C.A.), Des Brisay, C.J.B.C. articulated the duty of care required of an automobile driver proceeding on a green light. At p. 528 he wrote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driver] owed no duty to traffic entering the intersection in disobedience to the lights, beyond a duty that, if he in fact saw such traffic, he ought to take all reasonable steps to avoid a collision.</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provision in law requires a driver to exercise a duty such that one could say that Mr. Sidhu ought to have seen the pedestrian earlier. Regardless of whether Mr. Sidhu applied his brakes before or after striking Mr. Melgarejo-Gomez, one can assume he applied them upon first becoming aware of the pedestrian. That is all that was required of Mr. Sidhu, as (according to the jury's finding) he was lawfully within the intersection and Mr. Melgarejo-Gomez was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In a concurring judgment, Southin J.A. cited </w:t>
      </w:r>
      <w:r>
        <w:rPr>
          <w:rFonts w:ascii="arial" w:eastAsia="arial" w:hAnsi="arial" w:cs="arial"/>
          <w:b/>
          <w:i/>
          <w:color w:val="000000"/>
          <w:sz w:val="20"/>
          <w:lang w:val="en-US" w:eastAsia="en-US" w:bidi="ar-SA"/>
        </w:rPr>
        <w:t>Swartz Bros. Limited v. Wills</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[1935] S.C.R. 628</w:t>
        </w:r>
      </w:hyperlink>
      <w:r>
        <w:rPr>
          <w:rFonts w:ascii="arial" w:eastAsia="arial" w:hAnsi="arial" w:cs="arial"/>
          <w:color w:val="000000"/>
          <w:sz w:val="20"/>
          <w:lang w:val="en-US" w:eastAsia="en-US" w:bidi="ar-SA"/>
        </w:rPr>
        <w:t xml:space="preserve"> per Cannon J., at p. 632, to the effect that the driver with the right of way "was entitled to assume that the plaintiff would follow the rule." She added, "only if the Appellant saw the Respondent in time to avoid him, and, in effect ran him down, could he be found at fault by a jury acting judicially."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Counsel (in urging this court's reliance on these observations) submits that it would be erroneous to speculate on the basis of what the defendant "should have seen" in the circumstances. The plaintiff had the right of way and the evidence is that she did not, in fact, see the plaintiff until she could not avoid hitting her. This, he submits, places this case squarely within the passage from </w:t>
      </w:r>
      <w:r>
        <w:rPr>
          <w:rFonts w:ascii="arial" w:eastAsia="arial" w:hAnsi="arial" w:cs="arial"/>
          <w:b/>
          <w:i/>
          <w:color w:val="000000"/>
          <w:sz w:val="20"/>
          <w:lang w:val="en-US" w:eastAsia="en-US" w:bidi="ar-SA"/>
        </w:rPr>
        <w:t>Wong v. West</w:t>
      </w:r>
      <w:r>
        <w:rPr>
          <w:rFonts w:ascii="arial" w:eastAsia="arial" w:hAnsi="arial" w:cs="arial"/>
          <w:color w:val="000000"/>
          <w:sz w:val="20"/>
          <w:lang w:val="en-US" w:eastAsia="en-US" w:bidi="ar-SA"/>
        </w:rPr>
        <w:t xml:space="preserve"> (supra), cited in the defence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defence further submits that if the plaintiff's evidence is accepted, the court ought to infer that that evidence, taken together with the evidence of the other witnesses, should lead to an inference that the plaintiff ran right into the path of the defendant's car, as was the case in </w:t>
      </w:r>
      <w:r>
        <w:rPr>
          <w:rFonts w:ascii="arial" w:eastAsia="arial" w:hAnsi="arial" w:cs="arial"/>
          <w:b/>
          <w:i/>
          <w:color w:val="000000"/>
          <w:sz w:val="20"/>
          <w:lang w:val="en-US" w:eastAsia="en-US" w:bidi="ar-SA"/>
        </w:rPr>
        <w:t>Melgarejo-Gomez</w:t>
      </w:r>
      <w:r>
        <w:rPr>
          <w:rFonts w:ascii="arial" w:eastAsia="arial" w:hAnsi="arial" w:cs="arial"/>
          <w:color w:val="000000"/>
          <w:sz w:val="20"/>
          <w:lang w:val="en-US" w:eastAsia="en-US" w:bidi="ar-SA"/>
        </w:rPr>
        <w:t xml:space="preserve">. This is not specifically relevant to the duty articulated in </w:t>
      </w:r>
      <w:r>
        <w:rPr>
          <w:rFonts w:ascii="arial" w:eastAsia="arial" w:hAnsi="arial" w:cs="arial"/>
          <w:b/>
          <w:i/>
          <w:color w:val="000000"/>
          <w:sz w:val="20"/>
          <w:lang w:val="en-US" w:eastAsia="en-US" w:bidi="ar-SA"/>
        </w:rPr>
        <w:t>Wong v. West</w:t>
      </w:r>
      <w:r>
        <w:rPr>
          <w:rFonts w:ascii="arial" w:eastAsia="arial" w:hAnsi="arial" w:cs="arial"/>
          <w:color w:val="000000"/>
          <w:sz w:val="20"/>
          <w:lang w:val="en-US" w:eastAsia="en-US" w:bidi="ar-SA"/>
        </w:rPr>
        <w:t xml:space="preserve"> (supra) but may bear on the question of the applicability of s. 181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Melgarejo-Gomez</w:t>
      </w:r>
      <w:r>
        <w:rPr>
          <w:rFonts w:ascii="arial" w:eastAsia="arial" w:hAnsi="arial" w:cs="arial"/>
          <w:color w:val="000000"/>
          <w:sz w:val="20"/>
          <w:lang w:val="en-US" w:eastAsia="en-US" w:bidi="ar-SA"/>
        </w:rPr>
        <w:t xml:space="preserve"> should be read as authority that, absent known circumstances which materially affect the reasonableness of assuming that others will obey the rules of the road, the court ought not to adjust the applicable duty premised on what a putative "reasonable person" in the position of the defendant </w:t>
      </w:r>
      <w:r>
        <w:rPr>
          <w:rFonts w:ascii="arial" w:eastAsia="arial" w:hAnsi="arial" w:cs="arial"/>
          <w:color w:val="000000"/>
          <w:sz w:val="20"/>
          <w:u w:val="single"/>
          <w:lang w:val="en-US" w:eastAsia="en-US" w:bidi="ar-SA"/>
        </w:rPr>
        <w:t>ought to</w:t>
      </w:r>
      <w:r>
        <w:rPr>
          <w:rFonts w:ascii="arial" w:eastAsia="arial" w:hAnsi="arial" w:cs="arial"/>
          <w:color w:val="000000"/>
          <w:sz w:val="20"/>
          <w:lang w:val="en-US" w:eastAsia="en-US" w:bidi="ar-SA"/>
        </w:rPr>
        <w:t xml:space="preserve"> have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Where, however, there are circumstances known to a motor vehicle operator, that render questionable the presumption that the rules of the road will be respected by pedestrians, the exercise of due care is not met by behaving in accordance with the presumption. One cannot be deemed to presume facts at odds with known circumstances. "Due care" on the night of this accident included the known, and (by the plaintiff), specifically observed circumstance that there were pedestrians about and, that given the nature of the event, they might not be taking all due care for their own safety. This required an extra degree of caution in the circumstances. The plaintiff acknowledged this herself in turning into the centre lane to avoid pedestrians.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question then becomes whether the plaintiff has proved that the plaintiff's want of due care, applying s. 181, contributed to the collision. </w:t>
      </w:r>
      <w:r>
        <w:rPr>
          <w:rFonts w:ascii="arial" w:eastAsia="arial" w:hAnsi="arial" w:cs="arial"/>
          <w:b/>
          <w:i/>
          <w:color w:val="000000"/>
          <w:sz w:val="20"/>
          <w:lang w:val="en-US" w:eastAsia="en-US" w:bidi="ar-SA"/>
        </w:rPr>
        <w:t>Liston v. Streiger</w:t>
      </w:r>
      <w:r>
        <w:rPr>
          <w:rFonts w:ascii="arial" w:eastAsia="arial" w:hAnsi="arial" w:cs="arial"/>
          <w:color w:val="000000"/>
          <w:sz w:val="20"/>
          <w:lang w:val="en-US" w:eastAsia="en-US" w:bidi="ar-SA"/>
        </w:rPr>
        <w:t xml:space="preserve">, CA 18770, CA19363 Vancouver Registry (June 25, 1996) is a case in which the Court of Appeal apportioned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60-40 against a pedestrian who was struck in Penticton during the "Peach Festival" in a somewhat comparable atmosphere, in that the exercise of due care included adjusting ones' driving habits to accommodate the possibility of careless behaviour by pedestrians. There the facts, as found by the trial judge and accepted by the Court of Appeal, included the plaintiff "running barefoot across a busy street at night, in a poorly lit area in a state of intoxication ... she glanced into the curb lane and proceeded to run into it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defendant's position is that apart from any discussion of legal presumptions and duties, the effect of the evidence is that the plaintiff simply ran into the defendant's car in circumstances where the defendant had no opportunity to avoid striking her. The widths of the lanes established in evidence suggest that the distance from the curb to the point of impact is not great and could be traversed in a matter of seconds by a person who was running. The defence submits that the plaintiff's evidence that she simply did not see the defendant until she was upon her may be attributed to the probability that the plaintiff was running.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useful evidence is, again, that of the defence witness Ms. Howes. Apart from establishing that the collision occurred while the traffic signals were against the plaintiff, and that the plaintiff was not in the crosswalk, Ms. Howes' evidence is that she saw a large group of people crossing the road from her vantage in the intersection. Some were running. Her evidence is that the plaintiff was among the last of that group attempting to cross. Ms. Howes saw shadows crossing the road and had enough time to form the impression that someone was going to be hit because approaching cars were not slowing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accept that Ms. Howes probably saw the plaintiff running. It may well be, as the defence assets that she ran right in front of the car leaving the defendant very little time to react to her specific presence. This does not, however, explain how the defendant could approach the intersection without slowing or without the utmost caution given that a large group of people had proceeded to cross moments before contrary to the traffic signal. The effect of Ms. Howes' evidence, which I accept, is that the presence of people on the road was manifest, and that the defendant should have been alert to that fact. She should not, in view of the circumstances, have been "surprised" by pedestrians behaving as the plaintiff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 am of the view that the plaintiff should bear the larger portion of the responsibility for what happened to her. With respect to the division of liability, I find it difficult to distinguish the relative degrees of responsibility here from those established in </w:t>
      </w:r>
      <w:r>
        <w:rPr>
          <w:rFonts w:ascii="arial" w:eastAsia="arial" w:hAnsi="arial" w:cs="arial"/>
          <w:b/>
          <w:i/>
          <w:color w:val="000000"/>
          <w:sz w:val="20"/>
          <w:lang w:val="en-US" w:eastAsia="en-US" w:bidi="ar-SA"/>
        </w:rPr>
        <w:t>Liston</w:t>
      </w:r>
      <w:r>
        <w:rPr>
          <w:rFonts w:ascii="arial" w:eastAsia="arial" w:hAnsi="arial" w:cs="arial"/>
          <w:color w:val="000000"/>
          <w:sz w:val="20"/>
          <w:lang w:val="en-US" w:eastAsia="en-US" w:bidi="ar-SA"/>
        </w:rPr>
        <w:t xml:space="preserve"> (supra). Accordingly, I divide responsibility for what occurred 60% to the plaintiff and 40%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T.M. McEWAN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0"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08" w:history="1">
        <w:r>
          <w:rPr>
            <w:rFonts w:ascii="arial" w:eastAsia="arial" w:hAnsi="arial" w:cs="arial"/>
            <w:b/>
            <w:bCs/>
            <w:i/>
            <w:color w:val="0077CC"/>
            <w:kern w:val="32"/>
            <w:sz w:val="28"/>
            <w:szCs w:val="32"/>
            <w:u w:val="single"/>
            <w:shd w:val="clear" w:color="auto" w:fill="FFFFFF"/>
            <w:lang w:val="en-US" w:eastAsia="en-US" w:bidi="ar-SA"/>
          </w:rPr>
          <w:t>MacDonald v. CWMM Consulting Engineers Ltd., [2008] B.C.J. No. 1316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 Ehrcke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3-5,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11,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S052915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1316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910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169 A.C.W.S. (3d) 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74 C.L.R. (3d) 302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CarswellBC 1452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Donald MacDonald, Plaintiff, and CWMM Consulting Engineers Ltd., Thomas Christensen, Tony Vermette and Dan Bobiash, DBA Docks R Us,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1"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7" w:name="Keywords_19"/>
      <w:bookmarkEnd w:id="127"/>
      <w:r>
        <w:rPr>
          <w:rFonts w:ascii="arial" w:eastAsia="arial" w:hAnsi="arial" w:cs="arial"/>
          <w:b/>
          <w:color w:val="000000"/>
          <w:sz w:val="20"/>
          <w:lang w:val="en-US" w:eastAsia="en-US" w:bidi="ar-SA"/>
        </w:rPr>
        <w:t>Damages — Contracts — Breach of contract — Action by McDonald for damages for breach of contract related to his boat dock which did not float as well and it should dismissed — There was no contract between McDonald and the defendants — McDonald's contract was with Docks R Us and Docks R US was not acting as McDonald's agent when it retained the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McDonald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related to his boat dock which did not float as well and it should dismissed — Even if there were failures on the part of the defendant inspector, those failures were not the cause of any loss suffered by McDonald — Moreover, there was no contract between McDonald and the defendants so the defendants bore no responsibility in tort for the inadequacies in the dock.</w:t>
      </w:r>
    </w:p>
    <w:p>
      <w:pPr>
        <w:jc w:val="both"/>
        <w:rPr>
          <w:rFonts w:ascii="arial" w:eastAsia="arial" w:hAnsi="arial" w:cs="arial"/>
          <w:sz w:val="20"/>
          <w:lang w:val="en-US" w:eastAsia="en-US" w:bidi="ar-SA"/>
        </w:rPr>
      </w:pPr>
      <w:bookmarkStart w:id="128" w:name="Counsel_19"/>
      <w:bookmarkEnd w:id="12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2"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J.W. Jachimowicz.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CWMM Consulting Engineers Ltd. and Thomas Christensen: G. Grunberg.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9" w:name="Judgment_19"/>
      <w:bookmarkEnd w:id="129"/>
      <w:r>
        <w:pict>
          <v:line id="_x0000_s1123" style="position:absolute;z-index:2517811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0" w:name="W. EHRCKE J."/>
            <w:bookmarkEnd w:id="130"/>
            <w:r>
              <w:rPr>
                <w:rFonts w:ascii="arial" w:eastAsia="arial" w:hAnsi="arial" w:cs="arial"/>
                <w:b/>
                <w:color w:val="000000"/>
                <w:sz w:val="30"/>
                <w:lang w:val="en-US" w:eastAsia="en-US" w:bidi="ar-SA"/>
              </w:rPr>
              <w:t>W. EHRCKE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is about a boat dock that does not float as well as it should. Four defendants are named in the statement of claim filed May 27, 2005, but only the first two were served. Accordingly, the trial proceeded against the first two named defendants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Donald MacDonald, resides in Belcarra, British Columbia. In 2000, he decided to have a dock constructed on the water across from his home to use for his boating activities. The structure would consist of a ramp leading to a float. Mr. MacDonald's plan was eventually to place a boat lift on the float.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Accordingly, he contacted a business called Docks R Us, a proprietorship operated by Tony Vermette and Dan Bobiash, who provided a quotation on August 8, 2000 to install the ramps and float for $67,773.80. Mr. MacDonald accepted the written quotation, which effectively became the contract. It required a deposit of one-third before commencing, and the final payment upon completion.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dock facility was completed in August 2001, and Mr. MacDonald made the final payment to Docks R Us pursuant to their contract. Over time, however, the float gradually started to sink lower in the water. He complained to Docks R Us, but they told him it would take time to adjust, and after eighteen months more air could be injected into the floatation tanks. Ultimately, however, that did not solve the problem. Although the float has at times risen somewhat, it remains lower in the water than it should be. As a consequence, Mr. MacDonald has not been able to proceed with construction of the boat lift on the deck of the float.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original design drawing for the float provided for it to be supported by 37 buoyancy tanks. Following construction, Mr. MacDonald did not count the number of tanks before making final payment to Docks R Us. Subsequently however, he had divers examine the float and found there were only 24 tanks. Mr. MacDonald believes that is the reason for the problem with the level of the float.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order to construct the dock, a number of permits and approvals were required, including a waterfront licence and approval by the Vancouver Port Authority ("VPA"). The contract between Mr. MacDonald and Docks R Us provided that all approvals and any survey costs would be paid by the owner, that is, Mr. MacDonald.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Docks R Us designed the float and produced a drawing with specifications. According to the drawing, the float would be supported by 37 plastic floatation tanks with a manufacturer's lifetime guarantee. It would be adjustable by flooding the floatation tanks.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specifications provided for a live load of 20 pounds per square foot. This was a matter of importance to Mr. MacDonald, because he wanted the float to be capable of supporting a boat lift so that he could access his boat all year 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Before construction began, Docks R Us retained the defendant CWMM Consulting Engineers Ltd. ("CWMM") to provide their services in connection with necessary approvals.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Thomas Christensen, a qualified engineer who was an employee of CWMM at the time, testified that CWMM received a call from Dan Bobiash of Docks R Us in October 2000, saying he was in a rush to obtain an engineer's seal on the float drawing he had produced. Accordingly, Mr. Christensen met with Mr. Bobiash and Mr. Vermette at the site, where Docks R Us engaged CWMM to provide two specific services: First, to review the float drawing and specification notes and provide an engineer's seal confirming compliance with the VPA 1996 Guidelines (the "1996 Guidelines"), and second, to inspect the completed facility and provide for the VPA a letter in the form of Schedule E to the 1996 Guidelines, confirming that the facility was constructed in general compliance with the VPA Guidelines.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Christensen completed the first task in October 2000. He examined the drawing, did the necessary calculations, and affixed his seal.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was after this that actual construction and installation of the facility began. It was completed around the end of July 2001. On August 3, 2001, Mr. Christensen attended the site and inspected the completed facility. He did a visual inspection of the float, gangway and ramp. He prepared Schedule E and signed it on behalf of CWMM. He never checked to confirm how many floatation tanks were used in the float as finally constructed. Thus, he did not discover that there were only 24 floatation tanks instead of the 37 tanks shown in the design drawing.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doing his inspection, Mr. Christensen was required by the 1996 Guidelines to measure something called "freeboard". He carried out this task by measuring the vertical distance from the top of the water to the top of the deck of the float. He performed this measurement at all four corners, and found that the distance was a little over 500 mm. The 1996 Guidelines required freeboard of between 350 and 500 mm. By signing Schedule E, he was confirming as a qualified professional engineer that the facility, as constructed, was in general conformity with the 1996 Guidelines. This would include confirmation that the freeboard was in conformity. Mr. Christensen's confirmation of the freeboard conformity was based on his measurements from the top of the deck to the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Christensen testified that he measured the freeboard using that generally accepted definition of that term. However, in the 1996 Guidelines, freeboard is defined in a different way, namely as the distance from the top of the water to the top of the floatation tanks. In 2008, the Guidelines were changed to conform with the more usual definition.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defendants introduced expert evidence of an engineer, Ralph Everts. He inspected the dock facility and found that using the 1996 definition, the freeboard does not comply with the 1996 Guidelines. He said that in completing Schedule E, Mr. Christensen should have used the 1996 Guidelines definition, that is, he should have measured from the waterline to the top of the tanks, not to the top of the deck. He also said that, "As the party responsible for structural adequacy it is considered that the defendant had an obligation to confirm the number of buoyancy tanks integrated into the float installed at the MacDonald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However, Mr. Everts also offered his opinion that the sinking problem was not caused by there being 24 rather than 37 floatation tanks. Rather, his opinion is that the problem is caused by too much water entering the tanks. In his opinion, if there were more tanks, it might slow down the rate at which the float sinks, but over time the same problem would emerge even with 37 tanks.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 also gave the opinion that although the float does not comply with the freeboard requirements of the 1996 Guidelines, this "had a negligible effect on its sufficiency for the use and enjoyment of the facility by the plaintiff." He added that this conclusion is based on his assumption that the plaintiff is unlikely to apply live loads in excess of 15 pounds per square foot. That assumption, however, is at odds with Mr. MacDonald's testimony that he specifically required a dock that would support 20 pounds per square foot so that he could install a boat lift.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Was There Privity of Contract Between Mr. MacDonald and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prayer for relief in the statement of claim is for damages for breach of contract or in the alternative, rescission of the contract. There is no other claim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defendants submit that there never was a contract between Mr. MacDonald and either CWMM or Mr. Christensen. They submit that it was Docks R Us who retained them, and they never had any contract with Mr. MacDonald.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submits that Docks R Us was acting as Mr. MacDonald's agent when CWMM was retained, and that he therefore has a sound claim in contract against CWMM. He says that this interpretation is confirmed by the fact that CWMM submitted its account to Mr. MacDonald for payment. He admits that it was CWMM that was retained to do the engineering work, and that although Mr. Christensen was an employee of CWMM, he was never personally a party to such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fact that CWMM looked to Mr. MacDonald for payment does not in itself establish that there was a contract between them. Rather, sending the account to Mr. MacDonald is also consistent with an inference that the contract was between Docks R Us and CWMM, but that for convenience, the billing was done in this way, rather than having Docks R Us pay CWMM's account and then Docks R Us billing Mr. MacDonald. Indeed, that latter interpretation would be consistent with the contract between Docks R Us and Mr. MacDonald, which provided that "all approvals and any survey costs paid by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his evidence, Mr. Christensen testified that CWMM was engaged by Docks R Us, not Mr. MacDonald. Moreover, Mr. MacDonald testified that he did not enter into a contract with either CWMM or Mr. Christensen. Rather, he said, Docks R Us hired them to approve the structure. This is consistent as well with the evidence Mr. MacDonald gave at his examination for discovery, where he said that he did not even know who Docks R Us were using for engineers.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There was, of course, no evidence from the proprietors of Docks R Us, Tony Vermette and Dan Bobiash, about the terms under which they hired CWMM to do the engineering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plaintiff cites </w:t>
      </w:r>
      <w:r>
        <w:rPr>
          <w:rFonts w:ascii="arial" w:eastAsia="arial" w:hAnsi="arial" w:cs="arial"/>
          <w:b/>
          <w:i/>
          <w:color w:val="000000"/>
          <w:sz w:val="20"/>
          <w:lang w:val="en-US" w:eastAsia="en-US" w:bidi="ar-SA"/>
        </w:rPr>
        <w:t>Dha v. Ozdoba</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[1990] B.C.J. No. 768</w:t>
        </w:r>
      </w:hyperlink>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39 C.L.R. 248</w:t>
        </w:r>
      </w:hyperlink>
      <w:r>
        <w:rPr>
          <w:rFonts w:ascii="arial" w:eastAsia="arial" w:hAnsi="arial" w:cs="arial"/>
          <w:color w:val="000000"/>
          <w:sz w:val="20"/>
          <w:lang w:val="en-US" w:eastAsia="en-US" w:bidi="ar-SA"/>
        </w:rPr>
        <w:t xml:space="preserve"> (BCSC) as support for his argument that a contractor hired by an owner acts as that owner's agent with respect to the subcontracts he enters into. On the facts of that case, however, the court found the engineer who had been hired by the general contractor to be liable to the owner in tort, not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Thus, </w:t>
      </w:r>
      <w:r>
        <w:rPr>
          <w:rFonts w:ascii="arial" w:eastAsia="arial" w:hAnsi="arial" w:cs="arial"/>
          <w:b/>
          <w:i/>
          <w:color w:val="000000"/>
          <w:sz w:val="20"/>
          <w:lang w:val="en-US" w:eastAsia="en-US" w:bidi="ar-SA"/>
        </w:rPr>
        <w:t>Dha v. Ozdoba</w:t>
      </w:r>
      <w:r>
        <w:rPr>
          <w:rFonts w:ascii="arial" w:eastAsia="arial" w:hAnsi="arial" w:cs="arial"/>
          <w:color w:val="000000"/>
          <w:sz w:val="20"/>
          <w:lang w:val="en-US" w:eastAsia="en-US" w:bidi="ar-SA"/>
        </w:rPr>
        <w:t xml:space="preserve"> does not support the proposition that where an owner hires a general contractor, there is privity of contract between the owner and any subcontractors engaged by the general contractor. On the contrary, as set out in </w:t>
      </w:r>
      <w:r>
        <w:rPr>
          <w:rFonts w:ascii="arial" w:eastAsia="arial" w:hAnsi="arial" w:cs="arial"/>
          <w:b/>
          <w:i/>
          <w:color w:val="000000"/>
          <w:sz w:val="20"/>
          <w:lang w:val="en-US" w:eastAsia="en-US" w:bidi="ar-SA"/>
        </w:rPr>
        <w:t>Goldsmith on Canadian Building Contracts (4th Ed.)</w:t>
      </w:r>
      <w:r>
        <w:rPr>
          <w:rFonts w:ascii="arial" w:eastAsia="arial" w:hAnsi="arial" w:cs="arial"/>
          <w:color w:val="000000"/>
          <w:sz w:val="20"/>
          <w:lang w:val="en-US" w:eastAsia="en-US" w:bidi="ar-SA"/>
        </w:rPr>
        <w:t xml:space="preserve"> (Thomson Carswell, 2005) at pp.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Normally, there is no contractual relationship whatsoever between the owner and the subcontractor. Neither usually has any contractual rights against the other nor is either under any contractual obligation to the other. If the work of a subcontractor does not comply with the specifications or requirements of the prime contract, the owner's contractual complaint is against the prime contractor, not against the subcontractor, and the owner has no right to direct a subcontractor what to do or how to do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the whole of the evidence, I am unable to conclude that there existed a contract between Mr. MacDonald and either CWMM or Mr. Christensen. Accordingly, the claim against them for breach of contract or rescission of contract as set out in the statement of claim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Is There a Claim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u w:val="single"/>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As previously noted, the prayer for relief in the statement of claim makes no mention of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Nevertheless, there is some language in paras. 16-17 that suggest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have been contemplated:</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against CWMM Consulting Engineers Ltd., and Thomas Christensen, the Plaintiff says the facts are that it is the duty of care upon preparing the drawings and providing the inspection to the Plaintiff.</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Both the Defendants, CWMM Consulting Engineers Ltd., and Thomas Christensen held out that they were experienced Engineers and the Plaintiff relied on their experience and qualifications when accepting the advice that the dock was constructed according to these specifications.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Apart from those two paragraphs, there is nothing else in the statement of claim to support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There is no allegation that CWMM or Mr. Christensen breached their standard of care. There is no allegation that the plaintiff suffered any damages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CWMM or Mr. Christensen.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defendants submit that this should be sufficient to dismiss the claim against them, but in the alternative, they submit that on the evidence, no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been made out because (1) neither CWMM nor Mr. Christensen had a duty of care to Mr. MacDonald, given that there is no evidence the dock facility is dangerous or unsafe; (2) the defendants did not fail to perform their tasks according to the appropriate standard; and (3) and loss suffered by Mr. MacDonald was not caused by the conduct of CWMM or Mr. Christensen.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defendants submit that Mr. MacDonald's real complaint is that he did not get what he bargained for. He paid Docks R Us for a dock that had 37 floatation tanks, and Docks R Us supplied only 24. He requested a float that would support 20 pounds per square foot, yet the float as constructed will not support that load. The defendants submit that these are issues for which Docks R Us is solely responsible, and the plaintiff has only sought relief against CWMM and Mr. Christensen because it was unable to serve the principals of Docks R 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agree with that analysis. Even if Mr. Christensen failed to properly measure the freeboard according to the 1996 Guidelines, and even if he should have counted the number of floatation tanks during his inspection for Schedule E, these failures were not the cause of any loss suffered by Mr. MacDonald. These failures did not cause the dock to be built with fewer than the specified number of tanks, nor did these failures cause the dock to sink. In the absence of any contract between CWMM or Mr. Christensen and Mr. MacDonald, the plaintiff has not shown that they bear any responsibility in tort to Mr. MacDonald for the inadequacies that he now finds with his dock.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do not accept the plaintiff's argument that if Mr. Christensen had noticed the deficient number of floatation tanks, Mr. MacDonald would not have paid the final instalment of his contract with Docks R Us. In the absence of any contract between CWMM or Mr. Christensen and Mr. MacDonald, neither CWMM nor Mr. Christensen had any duty of care to Mr. MacDonald to provide him with advice about whether he should pay Docks R Us. In any event, Mr. MacDonald testified that the reason he made the final contract payment to Docks R Us was because he trusted Docks R Us to have properly constructed the facility, not because he was relying on CWMM or Mr. Christensen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Thus, the plaintiff has failed to establish any liability on the part of CWMM or Mr. Christensen either in contract or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Moreover, even if liability had been established, no adequate evidence was led to quantify damages. The only evidence adduced was a quotation from Blue Water Systems Ltd dated June 2, 2008 in the amount of $21,680.00. The scope of work in the quotation includes: "Adding 13 floating pod; cleaning growth from exciting (sic) floating pods; replacing 2x10 facial boards." As the defendants point out, cleaning the growth and replacing the boards is maintenance that probably would have been required even if the float had been constructed properly. The quotation does not break down the cost for each item of work. Thus, there is no evidence as to the cost simply of adding the additional floating pods.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For all these reasons, the plaintiff's claim against CWMM and Mr. Christensen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 EHRCKE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4" style="position:absolute;z-index:251832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0"/>
          <w:headerReference w:type="default" r:id="rId311"/>
          <w:footerReference w:type="even" r:id="rId312"/>
          <w:footerReference w:type="default" r:id="rId313"/>
          <w:headerReference w:type="first" r:id="rId314"/>
          <w:footerReference w:type="first" r:id="rId31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316" w:history="1">
        <w:r>
          <w:rPr>
            <w:rFonts w:ascii="arial" w:eastAsia="arial" w:hAnsi="arial" w:cs="arial"/>
            <w:b/>
            <w:bCs/>
            <w:i/>
            <w:color w:val="0077CC"/>
            <w:kern w:val="32"/>
            <w:sz w:val="28"/>
            <w:szCs w:val="32"/>
            <w:u w:val="single"/>
            <w:shd w:val="clear" w:color="auto" w:fill="FFFFFF"/>
            <w:lang w:val="en-US" w:eastAsia="en-US" w:bidi="ar-SA"/>
          </w:rPr>
          <w:t>McIlvenna (litigation guardian of) v. Viebig, [2007] B.C.J. No. 422</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Kelleher J.</w:t>
      </w:r>
    </w:p>
    <w:p>
      <w:pPr>
        <w:spacing w:before="120" w:line="260" w:lineRule="atLeast"/>
        <w:jc w:val="center"/>
        <w:rPr>
          <w:lang w:val="en-US" w:eastAsia="en-US" w:bidi="ar-SA"/>
        </w:rPr>
      </w:pPr>
      <w:r>
        <w:rPr>
          <w:rFonts w:ascii="arial" w:eastAsia="arial" w:hAnsi="arial" w:cs="arial"/>
          <w:color w:val="000000"/>
          <w:sz w:val="20"/>
          <w:lang w:val="en-US" w:eastAsia="en-US" w:bidi="ar-SA"/>
        </w:rPr>
        <w:t>Heard: February 5 - 9, 2007.</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March 2, 2007.</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M032644</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[2007] B.C.J. No. 422</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2007 BCSC 288</w:t>
        </w:r>
      </w:hyperlink>
    </w:p>
    <w:p>
      <w:pPr>
        <w:spacing w:before="120" w:line="260" w:lineRule="atLeast"/>
        <w:rPr>
          <w:lang w:val="en-US" w:eastAsia="en-US" w:bidi="ar-SA"/>
        </w:rPr>
      </w:pPr>
      <w:r>
        <w:rPr>
          <w:rFonts w:ascii="arial" w:eastAsia="arial" w:hAnsi="arial" w:cs="arial"/>
          <w:color w:val="000000"/>
          <w:sz w:val="20"/>
          <w:lang w:val="en-US" w:eastAsia="en-US" w:bidi="ar-SA"/>
        </w:rPr>
        <w:t>Between Connor Allen Mcllvenna, an infant by his litigation guardian, Shawne Mcllvenna, Plaintiff, and Gerd Viebig,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(28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25" style="position:absolute;z-index:25167974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31" w:name="Keywords_20"/>
      <w:bookmarkEnd w:id="131"/>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Evidence and proof — Motor vehicles — Liability of driver — The action for damages for injuries sustained by the six-year-old plaintiff when his bicycle was struck by a car was dismissed — The plaintiff failed to prove on the balance of probabilities that the defendant's conduct fell below the standard of care and that his lack of care caused the plaintiff's injuries.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32" w:name="Case Summary_17"/>
            <w:bookmarkEnd w:id="132"/>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The six-year-old plaintiff's mother brought an action for damages for injuries sustained by the boy when he was struck by a car while riding his bicycle -- Counsel for the plaintiff argued the defendant driver failed to yield the right of way to the bicycle, or alternatively for failure to keep a lookout -- HELD: The action was dismissed -- There was insufficient evidence to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driver -- The plaintiff failed to prove on the balance of probabilities that the defendant's conduct fell below the standard of care and that his lack of care caused the plaintiff's injuries. </w:t>
            </w:r>
            <w:r>
              <w:rPr>
                <w:lang w:val="en-US" w:eastAsia="en-US" w:bidi="ar-SA"/>
              </w:rPr>
              <w:cr/>
            </w:r>
          </w:p>
          <w:p>
            <w:pPr>
              <w:rPr>
                <w:lang w:val="en-US" w:eastAsia="en-US" w:bidi="ar-SA"/>
              </w:rPr>
            </w:pPr>
          </w:p>
        </w:tc>
      </w:tr>
    </w:tbl>
    <w:p>
      <w:pPr>
        <w:jc w:val="both"/>
        <w:rPr>
          <w:lang w:val="en-US" w:eastAsia="en-US" w:bidi="ar-SA"/>
        </w:rPr>
      </w:pPr>
      <w:bookmarkStart w:id="133" w:name="Legislation Cited_15"/>
      <w:bookmarkEnd w:id="133"/>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26" style="position:absolute;z-index:25173094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Motor Vehicle Act, </w:t>
      </w:r>
      <w:hyperlink r:id="rId318" w:history="1">
        <w:r>
          <w:rPr>
            <w:rFonts w:ascii="arial" w:eastAsia="arial" w:hAnsi="arial" w:cs="arial"/>
            <w:i/>
            <w:color w:val="0077CC"/>
            <w:sz w:val="20"/>
            <w:u w:val="single"/>
            <w:shd w:val="clear" w:color="auto" w:fill="FFFFFF"/>
            <w:lang w:val="en-US" w:eastAsia="en-US" w:bidi="ar-SA"/>
          </w:rPr>
          <w:t>R.S.B.C. 1996, c. 318, s. 173</w:t>
        </w:r>
      </w:hyperlink>
      <w:r>
        <w:rPr>
          <w:lang w:val="en-US" w:eastAsia="en-US" w:bidi="ar-SA"/>
        </w:rPr>
        <w:cr/>
      </w:r>
    </w:p>
    <w:p>
      <w:pPr>
        <w:keepNext/>
        <w:spacing w:before="240" w:line="340" w:lineRule="atLeast"/>
        <w:rPr>
          <w:lang w:val="en-US" w:eastAsia="en-US" w:bidi="ar-SA"/>
        </w:rPr>
      </w:pPr>
      <w:bookmarkStart w:id="134" w:name="Counsel_20"/>
      <w:bookmarkEnd w:id="134"/>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27" style="position:absolute;z-index:25178214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Joseph E. Murphy, Q.C., Stephen E. Gibson.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Mary-Helen Wright, Allan Y. Chan.</w:t>
      </w:r>
      <w:r>
        <w:rPr>
          <w:lang w:val="en-US" w:eastAsia="en-US" w:bidi="ar-SA"/>
        </w:rPr>
        <w:cr/>
      </w:r>
    </w:p>
    <w:p>
      <w:pPr>
        <w:spacing w:after="240"/>
        <w:rPr>
          <w:lang w:val="en-US" w:eastAsia="en-US" w:bidi="ar-SA"/>
        </w:rPr>
      </w:pPr>
      <w:bookmarkStart w:id="135" w:name="Judgment_20"/>
      <w:bookmarkEnd w:id="135"/>
      <w:r>
        <w:pict>
          <v:line id="_x0000_s1128" style="position:absolute;z-index:251833344"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36" w:name="KELLEHER J."/>
            <w:bookmarkEnd w:id="136"/>
            <w:r>
              <w:rPr>
                <w:rFonts w:ascii="arial" w:eastAsia="arial" w:hAnsi="arial" w:cs="arial"/>
                <w:b/>
                <w:color w:val="000000"/>
                <w:sz w:val="30"/>
                <w:lang w:val="en-US" w:eastAsia="en-US" w:bidi="ar-SA"/>
              </w:rPr>
              <w:t>KELLEHER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September 14, 1995, Connor McIlvenna was riding his bicycle near the Tsawassessen Town Centre Mall in the City of Delta. He was 6 1/2 years old. He had a collision with an automobile driven by the defendant, Gerd Viebig. Connor sustained injuries. Connor's mother, Shawne McIlvenna, brings this action as his litigation guardian.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Connor was riding his bicycle, following his brother Patrick who was then nine, and another boy, Robert or Russell, who was also nine.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boys were proceeding east on a street or lane which is now called Library Road. The evidence does not establish that the street had a name at that time. This street comes to a T-intersection with a north-south roadway which is immediately west of the library in the Town Centre Mall.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third boy, Robert or Russell, reached the intersection first. He was followed by Patrick. They both turned left, or north. Connor was several car lengths behind and proceeding downhill on Library Road behind them.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Mr. Viebig, was proceeding south on the roadway adjacent to the library approaching Library Road. The collision occurred at the intersection of this north-south roadway and "Library Road".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Three persons who witnessed or nearly witnessed the accident gave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Connor remembers little of the accident. He testified he only recalls riding on the street in question and seeing the library in front of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May Nichols was driving two cars behind the defendant. She testified that the cars were proceeding slowly, including that of the defendant. The car in front of her braked and the car in front of that vehicle, Mr. Viebig's Mercedes, braked as well. She did not see any collision. She went quickly to the intersection and observed a small child, Connor, under the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Patrick McIlvenna testified that he and his friend and his brother were riding their bicycles to the 7-Eleven convenience store on 56th Street. They took a route down Library Road to the intersection in question. They were to turn left in front of the library, then turn right and continue east down a road to the north of the library. Patrick testified that he headed down what is now Library Road and that Connor was several car lengths behind him. The third boy was ahead of him. He made the left turn at the intersection in question and then was looking back to ensure that Connor was following.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Patrick stated that he saw the light coloured Mercedes driving toward the intersection. He looked back and saw that Connor and the Mercedes were "kind of coming on a collision course". He testified that he turned away to maintain his balance and did not see the impact. He heard a bang, then jumped off his bicycle to see what was the matter.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Counsel for the plaintiff argues that I should find that the plaintiff was struck, then fell off his bike, then was run over by the car. Counsel argues that is the only way Connor could have been found under the car.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Counsel argues that s. 173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determines who has the right of way at an uncontrolled intersection:</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173(1) Except as provided in section 175, if 2 vehicles approach or enter an intersection from different highways at approximately the same time and there are no yield signs, the driver of a vehicle must yield the right of way to the vehicle that is on the right of the vehicle that he or she is driving.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Counsel for the plaintiff argues that the defendant failed to yield the right of way to Connor, who was on the right of the defendant. The defendant is liable either on that basis, or for failing to keep an adequate look out.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the facts before me, I am unable to find the facts necessary to a conclusion that the defendant has been negligent. The onus is on the plaintiff to prove, on the balance of probabilities, that the defendant's conduct fell below the standard of care and that his lack of care caused Connor's injuries.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First of all, the submission that the plaintiff was struck and thereby fell off his bicycle and was run over is inconsistent with a statement made by Ms. Nichols twelve days after the accident. Ms. Nichols was interviewed by a person employed by the Insurance Corporation of B.C. After the interview, this person sent a statement to Ms. Nichols. Ms. Nichols signed the statement in front of a witness, her neighbour, and returned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statement contains two sentences which are relevant to the question before me: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Previous to the Mercedes braking, a young skateboarder had come from my left and to my right in front of the Mercedes and then </w:t>
      </w:r>
      <w:r>
        <w:rPr>
          <w:rFonts w:ascii="arial" w:eastAsia="arial" w:hAnsi="arial" w:cs="arial"/>
          <w:color w:val="000000"/>
          <w:sz w:val="20"/>
          <w:u w:val="single"/>
          <w:lang w:val="en-US" w:eastAsia="en-US" w:bidi="ar-SA"/>
        </w:rPr>
        <w:t>a young cyclist came from my right and rode into the front of the Mercedes</w:t>
      </w:r>
      <w:r>
        <w:rPr>
          <w:rFonts w:ascii="arial" w:eastAsia="arial" w:hAnsi="arial" w:cs="arial"/>
          <w:color w:val="000000"/>
          <w:sz w:val="20"/>
          <w:lang w:val="en-US" w:eastAsia="en-US" w:bidi="ar-SA"/>
        </w:rPr>
        <w:t>. [emphasis added]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And: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It is my opinion that the cyclist's [sic] is at fault for riding into the Mercedes.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Nichols, in giving evidence, did not take issue with the first statement when it was put to her. However, she did not agree with the second quotation. She testified that she signed that statement without reading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statement which Ms. Nichols made in 1995 indicates that it was Connor who drove into the defendant's car.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One normally considers that a person's memory of events is clearer a short time after the events than it is several years after the events. That is even more so in this case. Ms. Nichols agreed in cross-examination that she was interviewed by telephone in 2004. She agreed that she stated to the interviewer that she had had a stroke and that she did not recall the accident very well and that the stroke affected her memory.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read in certain evidence given by the defendant in his examination for discovery. The evidence referred to a sketch drawn by the defendant that indicates Connor turned his bicycle into the approaching Mercedes and struck the front of the defendant's car.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am not able to say on the evidence that that is what occurred. Mr. Viebig now lives in Europe. His health did not permit him to travel to Canada to give evidence in these proceedings. But the events as depicted in the situation represent one of many possible scenarios. There is not sufficient evidence in this case to establish any of the possible scenarios as being more probable than the others.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For any finding of liability to be made,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at least be shown to be a contributory cause to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conclude that it would be speculation to make find liability on the part of the defendant. The car may have come to a stop before the collision. The bicycle may have been going fast down the hill. The car may have entered the intersection well before the bicycle reached the intersection. I simply cannot determine the facts necessary to a finding of liability on the evidence before 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does not recall the accident. His brother Patrick did not see the collision. Ms. Nichols testified that she did not see the collision although she stated eleven years ago that the plaintiff drove into the defendant's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do not draw an adverse interest from Mr. Viebig's failure to testify. It is the plaintiff that must meet the burden of proof. In any event, counsel for Mr. Viebig explained that eleven years have passed: Mr. Viebig is now elderly, has Alzheimer's Disease and is no longer physically able to travel from Europe to give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burden of proof lies upon the plaintiff. The onus is on the plaintiff to show that the defendant failed to take reasonable care in the circumstances and that this failure caused Connor's injuries. Here the plaintiff must show that the defendant could reasonably have avoided the collision or that the defendant entered the intersection at approximately the same time as the plaintiff and failed to yield the right of way. Even then, breach of the provisions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would only be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not proof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asserted by the plaintiff: see </w:t>
      </w:r>
      <w:r>
        <w:rPr>
          <w:rFonts w:ascii="arial" w:eastAsia="arial" w:hAnsi="arial" w:cs="arial"/>
          <w:b/>
          <w:i/>
          <w:color w:val="000000"/>
          <w:sz w:val="20"/>
          <w:lang w:val="en-US" w:eastAsia="en-US" w:bidi="ar-SA"/>
        </w:rPr>
        <w:t>Canada v. Saskatchewan Wheat Pool</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143 D.L.R. (3d) 9</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Based on the evidence I am not satisfied that it is more likely than not that Mr. Viebig failed to yield the right of way or could have avoided the collision had he seen the plaintiff as soon as he reasonably should have seen him. The plaintiff has not proven that the defendant failed to take reasonable care in the circumstances.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action is therefore dismissed.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KELLEHER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25" w:history="1">
        <w:r>
          <w:rPr>
            <w:rFonts w:ascii="arial" w:eastAsia="arial" w:hAnsi="arial" w:cs="arial"/>
            <w:b/>
            <w:bCs/>
            <w:i/>
            <w:color w:val="0077CC"/>
            <w:kern w:val="32"/>
            <w:sz w:val="28"/>
            <w:szCs w:val="32"/>
            <w:u w:val="single"/>
            <w:shd w:val="clear" w:color="auto" w:fill="FFFFFF"/>
            <w:lang w:val="en-US" w:eastAsia="en-US" w:bidi="ar-SA"/>
          </w:rPr>
          <w:t>Ogilvie (Litigation guardian of) v. Mortimer, [2008] B.C.J. No. 908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Cranbrook,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R.R. Holmes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12-15, 18-22 and 25-29 and July 3-6, 9-12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16-18, 2007; written submissions, March 7,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(Plaintiff) and March 10, 2008 (Defendant).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20,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15698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Cranbrook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908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634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167 A.C.W.S. (3d) 312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Ceanna Ogilvie, by her Litigation Guardian Barbara Ogilvie, Plaintiff, and Joanna Elsie Mortimer,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(41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[Editor's note: Supplementary reasons for judgment were released June 24, 2008. See </w:t>
      </w:r>
      <w:hyperlink r:id="rId326" w:history="1">
        <w:r>
          <w:rPr>
            <w:rFonts w:ascii="arial" w:eastAsia="arial" w:hAnsi="arial" w:cs="arial"/>
            <w:i/>
            <w:color w:val="0077CC"/>
            <w:sz w:val="18"/>
            <w:u w:val="single"/>
            <w:shd w:val="clear" w:color="auto" w:fill="FFFFFF"/>
            <w:lang w:val="en-US" w:eastAsia="en-US" w:bidi="ar-SA"/>
          </w:rPr>
          <w:t>[2008] B.C.J. No. 1180</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0"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7" w:name="Keywords_21"/>
      <w:bookmarkEnd w:id="137"/>
      <w:r>
        <w:rPr>
          <w:rFonts w:ascii="arial" w:eastAsia="arial" w:hAnsi="arial" w:cs="arial"/>
          <w:b/>
          <w:color w:val="000000"/>
          <w:sz w:val="20"/>
          <w:lang w:val="en-US" w:eastAsia="en-US" w:bidi="ar-SA"/>
        </w:rPr>
        <w:t xml:space="preserve">Civil litigation — Civil procedure — Costs — Assessment or fixing of costs — Whether amount fair and reasonable — Particular circumstances — Where success divided — Plaintiff awarded 85 per cent of her costs and disbursements taxable in Scale C, despite the defendant only being found 25 per cent liable for the motor vehicle accident — The jury award indicated the plaintiff was successful on its view of the seriousness of the injuries and the causal link — The complexity and difficulties in prosecuting the claim, exacerbated in being before a jury, supported an increase in the appropriate scale of costs — Apportionment of costs pursuant to s. 3 of the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 would more than eliminate the plaintiff's net award, which was an unjust result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 s. 3.</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Assessment — Measure of damages — Deductions — Collateral benefits — Insurance — Reduction of plaintiff's damages award by $50,000 for out-of-pocket special damages and future care costs pursuant to s. 83 of the Insurance (Motor Vehicle) Act — That amount satisfied the need of a substantial excess reserve for the plaintiff to advance Part 7 benefit claims and included the necessary level of caution having regard to the variables involved in the assessment — Insurance (Motor Vehicle Act), s. 83.</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8" w:name="Case Summary_18"/>
            <w:bookmarkEnd w:id="13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parties on motion for judgment consequent upon the award the jury returned on July 18, 2007. The jury found the plaintiff 75 per cent and the defendant 25 per cent at fault for the motor vehicle accident, reducing the plaintiff's assessed damages 30 per cent for a failure to mitigate. The plaintiff's damages were assessed as follows: $200,000 in non-pecuniary damages, $50,000 in past wage loss, $300,000 in loss of opportunity, and $150,000 in future care costs. The net result was an award for $122,500, taking account of liability and mitigation of damages. The defendants sought determination of deduction from awards for out-of-pocket special damages and future care costs pursuant to s. 83 of the Insurance (Motor Vehicle) Act, the amount to be entered for judgment after account under that section, and of the costs to be awarded the plaintiff. The plaintiff sought judgment in terms of the jury award without deduction, and she further sought costs and disbursements at Scale C without apportionment.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9" w:name="Holdings of Court_12"/>
            <w:bookmarkEnd w:id="139"/>
            <w:r>
              <w:rPr>
                <w:rFonts w:ascii="arial" w:eastAsia="arial" w:hAnsi="arial" w:cs="arial"/>
                <w:color w:val="000000"/>
                <w:sz w:val="20"/>
                <w:lang w:val="en-US" w:eastAsia="en-US" w:bidi="ar-SA"/>
              </w:rPr>
              <w:t>HELD: Plaintiff awarded 85 per cent of her costs and disbursements taxable in Scale C.</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appropriate reduction pursuant to s. 83 was $50,000. That amount satisfied the need of a substantial excess reserve for the plaintiff to advance Part 7 benefit claims and included the necessary level of caution having regard to the variables involved in the assessment. As for costs, the defendant was not entitled to costs as she suffered no damage or loss. On balance, the plaintiff was forced to trial and required to prove the seriousness and extent of her injuries, their causal link to the accident and that there was a serious issue in regard to liability. The jury award indicated the plaintiff was successful on its view of the seriousness of the injuries and the causal link. The complexity and difficulties in prosecuting the claim, exacerbated in being before a jury, supported an increase in the appropriate scale of costs from B to C. Apportionment of costs pursuant to s. 3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would more than eliminate the plaintiff's net award, which was an unjust result.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0" w:name="Legislation Cited_16"/>
      <w:bookmarkEnd w:id="14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1"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57(9)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(Motor Vehicle) Act, </w:t>
      </w:r>
      <w:hyperlink r:id="rId327" w:history="1">
        <w:r>
          <w:rPr>
            <w:rFonts w:ascii="arial" w:eastAsia="arial" w:hAnsi="arial" w:cs="arial"/>
            <w:i/>
            <w:color w:val="0077CC"/>
            <w:sz w:val="20"/>
            <w:u w:val="single"/>
            <w:shd w:val="clear" w:color="auto" w:fill="FFFFFF"/>
            <w:lang w:val="en-US" w:eastAsia="en-US" w:bidi="ar-SA"/>
          </w:rPr>
          <w:t>RSBC 1996, CHAPTER 231, s. 83</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328" w:history="1">
        <w:r>
          <w:rPr>
            <w:rFonts w:ascii="arial" w:eastAsia="arial" w:hAnsi="arial" w:cs="arial"/>
            <w:i/>
            <w:color w:val="0077CC"/>
            <w:sz w:val="20"/>
            <w:u w:val="single"/>
            <w:shd w:val="clear" w:color="auto" w:fill="FFFFFF"/>
            <w:lang w:val="en-US" w:eastAsia="en-US" w:bidi="ar-SA"/>
          </w:rPr>
          <w:t>RSBC 1996, CHAPTER 333, s. 3</w:t>
        </w:r>
      </w:hyperlink>
      <w:r>
        <w:rPr>
          <w:rFonts w:ascii="arial" w:eastAsia="arial" w:hAnsi="arial" w:cs="arial"/>
          <w:color w:val="000000"/>
          <w:sz w:val="20"/>
          <w:lang w:val="en-US" w:eastAsia="en-US" w:bidi="ar-SA"/>
        </w:rPr>
        <w:t>(1)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1" w:name="Counsel_21"/>
      <w:bookmarkEnd w:id="14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2" style="position:absolute;z-index:2517831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Neil M. Robertson,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Danielle K. Byres.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2" w:name="Judgment_21"/>
      <w:bookmarkEnd w:id="142"/>
      <w:r>
        <w:pict>
          <v:line id="_x0000_s1133" style="position:absolute;z-index:2518343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3" w:name="R.R. HOLMES J._0"/>
            <w:bookmarkEnd w:id="143"/>
            <w:r>
              <w:rPr>
                <w:rFonts w:ascii="arial" w:eastAsia="arial" w:hAnsi="arial" w:cs="arial"/>
                <w:b/>
                <w:color w:val="000000"/>
                <w:sz w:val="30"/>
                <w:lang w:val="en-US" w:eastAsia="en-US" w:bidi="ar-SA"/>
              </w:rPr>
              <w:t>R.R. HOLMES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As the parties have been unable to agree upon judgment to be entered, they each apply on Motion for judgment consequent upon the award of the jury returned July 18, 2007. The parties have filed affidavit evidence and written argument and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Following a 5 1/2 week trial, the jury found the plaintiff 75%, and the defendant 25%, at fault for the motor vehicle collision in which the plaintiff was injured. The jury further reduced the damages assessed by 30% for a failure by the plaintiff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damages awarded by the jury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510"/>
        <w:gridCol w:w="1882"/>
        <w:gridCol w:w="54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 pecuniary:</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$200,000</w:t>
            </w:r>
          </w:p>
        </w:tc>
        <w:tc>
          <w:tcPr>
            <w:tcW w:w="532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1778"/>
        <w:gridCol w:w="54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w:t>
            </w:r>
          </w:p>
        </w:tc>
        <w:tc>
          <w:tcPr>
            <w:tcW w:w="532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8"/>
        <w:gridCol w:w="1464"/>
        <w:gridCol w:w="54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Opportunity:</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$300,000</w:t>
            </w:r>
          </w:p>
        </w:tc>
        <w:tc>
          <w:tcPr>
            <w:tcW w:w="532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4"/>
        <w:gridCol w:w="1568"/>
        <w:gridCol w:w="54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Care Costs: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$150,000</w:t>
            </w:r>
          </w:p>
        </w:tc>
        <w:tc>
          <w:tcPr>
            <w:tcW w:w="532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2718"/>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$700,000.00</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net judgment after taking account of liability and mitigation of damages is $122,500.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defendant's seek determination of deduction from awards for out of pocket special damages and future care costs, pursuant to s. 83 of the </w:t>
      </w:r>
      <w:r>
        <w:rPr>
          <w:rFonts w:ascii="arial" w:eastAsia="arial" w:hAnsi="arial" w:cs="arial"/>
          <w:b/>
          <w:i/>
          <w:color w:val="000000"/>
          <w:sz w:val="20"/>
          <w:lang w:val="en-US" w:eastAsia="en-US" w:bidi="ar-SA"/>
        </w:rPr>
        <w:t>Insurance(Vehicle) Act</w:t>
      </w:r>
      <w:r>
        <w:rPr>
          <w:rFonts w:ascii="arial" w:eastAsia="arial" w:hAnsi="arial" w:cs="arial"/>
          <w:color w:val="000000"/>
          <w:sz w:val="20"/>
          <w:lang w:val="en-US" w:eastAsia="en-US" w:bidi="ar-SA"/>
        </w:rPr>
        <w:t xml:space="preserve"> (formerly s. 25 of the </w:t>
      </w:r>
      <w:r>
        <w:rPr>
          <w:rFonts w:ascii="arial" w:eastAsia="arial" w:hAnsi="arial" w:cs="arial"/>
          <w:b/>
          <w:i/>
          <w:color w:val="000000"/>
          <w:sz w:val="20"/>
          <w:lang w:val="en-US" w:eastAsia="en-US" w:bidi="ar-SA"/>
        </w:rPr>
        <w:t>Insurance (Motor Vehicle) Act</w:t>
      </w:r>
      <w:r>
        <w:rPr>
          <w:rFonts w:ascii="arial" w:eastAsia="arial" w:hAnsi="arial" w:cs="arial"/>
          <w:color w:val="000000"/>
          <w:sz w:val="20"/>
          <w:lang w:val="en-US" w:eastAsia="en-US" w:bidi="ar-SA"/>
        </w:rPr>
        <w:t>)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the amount to be entered for judgment after account under s. 83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and of the costs to be awarded the plaintiff after determination of deductions under s. 83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and consideration of the jury's findings on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seeks judgment in terms of the jury award without deduction, and that she receive all her costs and disbursements at Scale C without 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SECTION 83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provisions of s. 83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were specifically pleaded in paragraph 12 of the Statement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Counsel at trial agreed to out of pocket special damages totalling $7,349.86. Those items have been reviewed by an ICBC adjuster, Harvey Gaster, who deposes $6,706.19 of that amount is the amount to which the plaintiff is entitled under Part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basis of the plaintiff's claim for future care cost was a report of Ms. Allison McClean. An economist, Mr. Hildebrand calculated the future care costs from Ms. Clean's report had a maximum value of $324,903.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Gaster reviewed the future care costs that would be payable under Part 7 in view of findings by the jury in reaching the award made before deductions. The components of the future care claim that would be payable under Part 7, subject to a $150,000 limit, have a total present value (based on the Hildebrand report) from a low of $132,395.66 to a high of $276,538.66, depending on whether the need of a life care worker for ten years or for life is chosen: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1987"/>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Occupational Therapist Case Manager:</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$20,856.00</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2"/>
        <w:gridCol w:w="3033"/>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Life Skills Worker:</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$74,305.00</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1"/>
        <w:gridCol w:w="3764"/>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 years:</w:t>
            </w:r>
          </w:p>
        </w:tc>
        <w:tc>
          <w:tcPr>
            <w:tcW w:w="368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$163,342.00</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4078"/>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Life</w:t>
            </w:r>
          </w:p>
        </w:tc>
        <w:tc>
          <w:tcPr>
            <w:tcW w:w="399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$218,448.00</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915"/>
        <w:gridCol w:w="2301"/>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Vocational Rehabilitation:</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$710.00</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4496"/>
        <w:gridCol w:w="2718"/>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Vocational Counselling:</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$2,084.00</w:t>
            </w:r>
          </w:p>
        </w:tc>
        <w:tc>
          <w:tcPr>
            <w:tcW w:w="256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Funding of Pain Clinic:</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$21,487.66</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869"/>
        <w:gridCol w:w="3346"/>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Counselling:</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$8,967.00</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5"/>
        <w:gridCol w:w="2510"/>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Transportation Costs (UBC):</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$2,385.00</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3555"/>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Medication:</w:t>
            </w:r>
          </w:p>
        </w:tc>
        <w:tc>
          <w:tcPr>
            <w:tcW w:w="34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$9,848.00</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2405"/>
        <w:gridCol w:w="2196"/>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High:</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$276,538.66</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40"/>
        <w:gridCol w:w="2301"/>
        <w:gridCol w:w="2301"/>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Low:</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$132,395.66</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relevant legislation is found in s. 83(1) to (6)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and s. 78 and s. 88 of the Regulations which concerns defined words and medical and rehabilitation benefits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Schmitt v. Thomson</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(1996), 18 B.C.L.R. (3d) 153</w:t>
        </w:r>
      </w:hyperlink>
      <w:r>
        <w:rPr>
          <w:rFonts w:ascii="arial" w:eastAsia="arial" w:hAnsi="arial" w:cs="arial"/>
          <w:color w:val="000000"/>
          <w:sz w:val="20"/>
          <w:lang w:val="en-US" w:eastAsia="en-US" w:bidi="ar-SA"/>
        </w:rPr>
        <w:t xml:space="preserve"> (C.A.), the Court of Appeal summarized and affirmed by reference to </w:t>
      </w:r>
      <w:r>
        <w:rPr>
          <w:rFonts w:ascii="arial" w:eastAsia="arial" w:hAnsi="arial" w:cs="arial"/>
          <w:b/>
          <w:i/>
          <w:color w:val="000000"/>
          <w:sz w:val="20"/>
          <w:lang w:val="en-US" w:eastAsia="en-US" w:bidi="ar-SA"/>
        </w:rPr>
        <w:t>Fisher v. Wabischewich</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(1978), 5 B.C.L.R. 335</w:t>
        </w:r>
      </w:hyperlink>
      <w:r>
        <w:rPr>
          <w:rFonts w:ascii="arial" w:eastAsia="arial" w:hAnsi="arial" w:cs="arial"/>
          <w:color w:val="000000"/>
          <w:sz w:val="20"/>
          <w:lang w:val="en-US" w:eastAsia="en-US" w:bidi="ar-SA"/>
        </w:rPr>
        <w:t xml:space="preserve"> (C.A) at 336 that "the clear purpose of the legislation is to discontinue lump sum awards for future care and to supply the future benefits as and when required provided application is made within the time prescribed by the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purpose of the deduction is succinctly described as two fold:</w:t>
      </w:r>
      <w:r>
        <w:rPr>
          <w:rFonts w:ascii="arial" w:eastAsia="arial" w:hAnsi="arial" w:cs="arial"/>
          <w:sz w:val="20"/>
          <w:lang w:val="en-US" w:eastAsia="en-US" w:bidi="ar-SA"/>
        </w:rPr>
        <w:cr/>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to determine the sum that the plaintiff shall receive at the time of the judgment. It is not to fix the amount of the future benefits. The amount of benefits that the plaintiff will receive in the future is determined by the provisions of the Act. These may well be in excess of the amount estimated by the trial judge in his award. However, by deducting the amount that the trial judge has estimated, the amount that is immediately payable to the plaintiff is determined; and</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to prevent the plaintiff from being compensated twice. He cannot receive a lump sum in respect of future benefits and also receive the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legislation distinguishes between the tortfeasor and ICBC: a tortfeasor is entitled to seek a s. 83 deduction regardless of a refusal by the ICBC to pay Part 7 benefits [</w:t>
      </w:r>
      <w:r>
        <w:rPr>
          <w:rFonts w:ascii="arial" w:eastAsia="arial" w:hAnsi="arial" w:cs="arial"/>
          <w:b/>
          <w:i/>
          <w:color w:val="000000"/>
          <w:sz w:val="20"/>
          <w:lang w:val="en-US" w:eastAsia="en-US" w:bidi="ar-SA"/>
        </w:rPr>
        <w:t>Sovani v. Jin</w:t>
      </w:r>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2005 BCSC 1285</w:t>
        </w:r>
      </w:hyperlink>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47 B.C.L.R. (4th) 97</w:t>
        </w:r>
      </w:hyperlink>
      <w:r>
        <w:rPr>
          <w:rFonts w:ascii="arial" w:eastAsia="arial" w:hAnsi="arial" w:cs="arial"/>
          <w:color w:val="000000"/>
          <w:sz w:val="20"/>
          <w:lang w:val="en-US" w:eastAsia="en-US" w:bidi="ar-SA"/>
        </w:rPr>
        <w:t>]. The ability to make the deduction is not dependent on the actual receipt of benefits by the plaintiff. Issues between the plaintiff and ICBC regarding the benefits are not relevant to their deductibility by a torfeasor from an award to the plaintiff [</w:t>
      </w:r>
      <w:r>
        <w:rPr>
          <w:rFonts w:ascii="arial" w:eastAsia="arial" w:hAnsi="arial" w:cs="arial"/>
          <w:b/>
          <w:i/>
          <w:color w:val="000000"/>
          <w:sz w:val="20"/>
          <w:lang w:val="en-US" w:eastAsia="en-US" w:bidi="ar-SA"/>
        </w:rPr>
        <w:t>McCreight v. Currie</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[2007] B.C.J. No. 2939</w:t>
        </w:r>
      </w:hyperlink>
      <w:r>
        <w:rPr>
          <w:rFonts w:ascii="arial" w:eastAsia="arial" w:hAnsi="arial" w:cs="arial"/>
          <w:color w:val="000000"/>
          <w:sz w:val="20"/>
          <w:lang w:val="en-US" w:eastAsia="en-US" w:bidi="ar-SA"/>
        </w:rPr>
        <w:t>, Kelowna Registry No. 68242, Ross J., May 3,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There need not be a match between the heads of damage in a tort award and specific heads of damages under the s. 83 benefit recovery scheme [Gurniak v. Nordquist, </w:t>
      </w:r>
      <w:hyperlink r:id="rId333" w:history="1">
        <w:r>
          <w:rPr>
            <w:rFonts w:ascii="arial" w:eastAsia="arial" w:hAnsi="arial" w:cs="arial"/>
            <w:i/>
            <w:color w:val="0077CC"/>
            <w:sz w:val="20"/>
            <w:u w:val="single"/>
            <w:shd w:val="clear" w:color="auto" w:fill="FFFFFF"/>
            <w:lang w:val="en-US" w:eastAsia="en-US" w:bidi="ar-SA"/>
          </w:rPr>
          <w:t>2003 SCC 59</w:t>
        </w:r>
      </w:hyperlink>
      <w:r>
        <w:rPr>
          <w:rFonts w:ascii="arial" w:eastAsia="arial" w:hAnsi="arial" w:cs="arial"/>
          <w:color w:val="000000"/>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[2003] 2 S.C.R. 652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Where a plaintiff is found to be contributorily negligent the calculation to determine judgment is by deduction of Part 7 benefits from the amount of the award remaining after it has been reduced for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Helme v. Bousquet</w:t>
      </w:r>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(1987), 12 B.C.L.R. (2d) 269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is a person entitled to Part 7 benefits and has received benefits. She is therefore deemed under s. 83 to have released her claim to the total of benefits she has received "... or is entitled to receive ...". I am advised by counsel that the plaintiff's writ for Part 7 benefits was filed in time and that ICBC takes no contrary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evidence is that the plaintiff was entitled to receive $6,706.19 of special damages under Part 7. The portions of the future care claim advanced by the plaintiff at trial that is payable under Part 7 has a present value of $132,395.66 using the lower of the totals based upon the need for a "life skills" worker for 30 years rather than for life, which was the alternative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onus to establish that a deduction is appropriate lies with the defendant and it is a difficult one where, as here, a global award has been made by a jury and it is uncertain what components of the claim were allowed and which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Although matching of claims in a tort award to Part 7 benefits is not required, it is, where present, a valuable aid to attempt in a fair fashion to unravel what portion of the tort award contains Part 7 benefit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components of the future care costs advanced for consideration here appear more weighted to discretionary payment than to mandatory, and that is also a factor for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Schmitt</w:t>
      </w:r>
      <w:r>
        <w:rPr>
          <w:rFonts w:ascii="arial" w:eastAsia="arial" w:hAnsi="arial" w:cs="arial"/>
          <w:color w:val="000000"/>
          <w:sz w:val="20"/>
          <w:lang w:val="en-US" w:eastAsia="en-US" w:bidi="ar-SA"/>
        </w:rPr>
        <w:t xml:space="preserve"> advocates a cautious approach when estimating a s. 83 deduction entitlement. The defendant suggests that Nielsen J. in </w:t>
      </w:r>
      <w:r>
        <w:rPr>
          <w:rFonts w:ascii="arial" w:eastAsia="arial" w:hAnsi="arial" w:cs="arial"/>
          <w:b/>
          <w:i/>
          <w:color w:val="000000"/>
          <w:sz w:val="20"/>
          <w:lang w:val="en-US" w:eastAsia="en-US" w:bidi="ar-SA"/>
        </w:rPr>
        <w:t>Sovani</w:t>
      </w:r>
      <w:r>
        <w:rPr>
          <w:rFonts w:ascii="arial" w:eastAsia="arial" w:hAnsi="arial" w:cs="arial"/>
          <w:color w:val="000000"/>
          <w:sz w:val="20"/>
          <w:lang w:val="en-US" w:eastAsia="en-US" w:bidi="ar-SA"/>
        </w:rPr>
        <w:t xml:space="preserve"> allowed roughly half of the amount sought as a deduction, which left a considerable reserve for entitlement to future benefits available, and met the criteria for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known facts of every case must dictate the result. I cannot subscribe to a given percentage being appropriate in every case, nor did Nielsen J. intend it in that manner. The test of reasonable margins remaining for future care claims being pursued and adherence to caution in determining a deduction are guidelines that must be observed.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determine on the evidence known to me from presiding at trial with jury, and the affidavits filed and helpful canvass of the legal principles and argument advanced by counsel on the present application, that the appropriate reduction pursuant to s. 83 is $50,000. I am of the view that amount satisfies the need of a substantial excess reserve for the plaintiff to advance Part 7 benefit claims and includes the necessary level of caution having regard to the variables involved in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Section 3(1)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R.S.B.C., c. 333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Unless the court otherwise directs, the liability for costs of the parties to every action is in the same proportion as their respective liability to make good the damage or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Rule 57(9)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subrule (12), costs of and incidental to a proceeding shall follow the event unless the court otherwise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court is thereby accorded a discretion to award costs as it deems just. The discretion of course is to be applied judicially.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jury divided liability for the subject accident 75% against the plaintiff and 25% against the defendant. The plaintiff's damages were reduced a further 30% for failure to mitigate. It is clear however the defendant is not entitled to costs as she suffered no damage or loss [</w:t>
      </w:r>
      <w:r>
        <w:rPr>
          <w:rFonts w:ascii="arial" w:eastAsia="arial" w:hAnsi="arial" w:cs="arial"/>
          <w:b/>
          <w:i/>
          <w:color w:val="000000"/>
          <w:sz w:val="20"/>
          <w:lang w:val="en-US" w:eastAsia="en-US" w:bidi="ar-SA"/>
        </w:rPr>
        <w:t>Flatley v. Denike</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(1997), 32 B.C.L.R. (3d) 97</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issue is whether the plaintiff should in the circumstances be granted an award of costs higher than the 25% degree of liability apportioned by the jury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Where the application of s. 3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would result in an injustice to the plaintiff, the courts discretionary power should be invoked to vary the cost award [</w:t>
      </w:r>
      <w:r>
        <w:rPr>
          <w:rFonts w:ascii="arial" w:eastAsia="arial" w:hAnsi="arial" w:cs="arial"/>
          <w:b/>
          <w:i/>
          <w:color w:val="000000"/>
          <w:sz w:val="20"/>
          <w:lang w:val="en-US" w:eastAsia="en-US" w:bidi="ar-SA"/>
        </w:rPr>
        <w:t>Ferguson v. Henshaw</w:t>
      </w:r>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[1989] B.C.J. No. 1199</w:t>
        </w:r>
      </w:hyperlink>
      <w:r>
        <w:rPr>
          <w:rFonts w:ascii="arial" w:eastAsia="arial" w:hAnsi="arial" w:cs="arial"/>
          <w:color w:val="000000"/>
          <w:sz w:val="20"/>
          <w:lang w:val="en-US" w:eastAsia="en-US" w:bidi="ar-SA"/>
        </w:rPr>
        <w:t xml:space="preserve"> (S.C.) (QL); </w:t>
      </w:r>
      <w:r>
        <w:rPr>
          <w:rFonts w:ascii="arial" w:eastAsia="arial" w:hAnsi="arial" w:cs="arial"/>
          <w:b/>
          <w:i/>
          <w:color w:val="000000"/>
          <w:sz w:val="20"/>
          <w:lang w:val="en-US" w:eastAsia="en-US" w:bidi="ar-SA"/>
        </w:rPr>
        <w:t>T.L.C. v. Vancouver (City)</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(1995), 13 B.C.L.R. (3d) 201</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Forsyth v. Sikorsky Aircraft Corp.</w:t>
      </w:r>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2002 BCCA 231</w:t>
        </w:r>
      </w:hyperlink>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100 B.C.L.R. (3d) 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It is important to note that impecuniosity and hardship should not be considered as factors in costs awards; instead consideration should arise "... from the nature and conduct of the litigation and not from the personal characteristics and circumstances of the litigants" [</w:t>
      </w:r>
      <w:r>
        <w:rPr>
          <w:rFonts w:ascii="arial" w:eastAsia="arial" w:hAnsi="arial" w:cs="arial"/>
          <w:b/>
          <w:i/>
          <w:color w:val="000000"/>
          <w:sz w:val="20"/>
          <w:lang w:val="en-US" w:eastAsia="en-US" w:bidi="ar-SA"/>
        </w:rPr>
        <w:t>Secord v. Doulis</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2002 BCSC 675</w:t>
        </w:r>
      </w:hyperlink>
      <w:r>
        <w:rPr>
          <w:rFonts w:ascii="arial" w:eastAsia="arial" w:hAnsi="arial" w:cs="arial"/>
          <w:color w:val="000000"/>
          <w:sz w:val="20"/>
          <w:lang w:val="en-US" w:eastAsia="en-US" w:bidi="ar-SA"/>
        </w:rPr>
        <w:t xml:space="preserve">, at para. 7-9, on review of </w:t>
      </w:r>
      <w:r>
        <w:rPr>
          <w:rFonts w:ascii="arial" w:eastAsia="arial" w:hAnsi="arial" w:cs="arial"/>
          <w:b/>
          <w:i/>
          <w:color w:val="000000"/>
          <w:sz w:val="20"/>
          <w:lang w:val="en-US" w:eastAsia="en-US" w:bidi="ar-SA"/>
        </w:rPr>
        <w:t>Brown v. Black Top Cabs Ltd.</w:t>
      </w:r>
      <w:r>
        <w:rPr>
          <w:rFonts w:ascii="arial" w:eastAsia="arial" w:hAnsi="arial" w:cs="arial"/>
          <w:color w:val="000000"/>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(1997), 43 B.C.L.R. (3d) 76</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Tompkins v. Barden</w:t>
      </w:r>
      <w:r>
        <w:rPr>
          <w:rFonts w:ascii="arial" w:eastAsia="arial" w:hAnsi="arial" w:cs="arial"/>
          <w:color w:val="000000"/>
          <w:sz w:val="20"/>
          <w:lang w:val="en-US" w:eastAsia="en-US" w:bidi="ar-SA"/>
        </w:rPr>
        <w:t xml:space="preserve">, </w:t>
      </w:r>
      <w:hyperlink r:id="rId341" w:history="1">
        <w:r>
          <w:rPr>
            <w:rFonts w:ascii="arial" w:eastAsia="arial" w:hAnsi="arial" w:cs="arial"/>
            <w:i/>
            <w:color w:val="0077CC"/>
            <w:sz w:val="20"/>
            <w:u w:val="single"/>
            <w:shd w:val="clear" w:color="auto" w:fill="FFFFFF"/>
            <w:lang w:val="en-US" w:eastAsia="en-US" w:bidi="ar-SA"/>
          </w:rPr>
          <w:t>2000 BCCA 381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Zeleniski Estate v. Fairway</w:t>
      </w:r>
      <w:r>
        <w:rPr>
          <w:rFonts w:ascii="arial" w:eastAsia="arial" w:hAnsi="arial" w:cs="arial"/>
          <w:color w:val="000000"/>
          <w:sz w:val="20"/>
          <w:lang w:val="en-US" w:eastAsia="en-US" w:bidi="ar-SA"/>
        </w:rPr>
        <w:t xml:space="preserve"> </w:t>
      </w:r>
      <w:hyperlink r:id="rId342" w:history="1">
        <w:r>
          <w:rPr>
            <w:rFonts w:ascii="arial" w:eastAsia="arial" w:hAnsi="arial" w:cs="arial"/>
            <w:i/>
            <w:color w:val="0077CC"/>
            <w:sz w:val="20"/>
            <w:u w:val="single"/>
            <w:shd w:val="clear" w:color="auto" w:fill="FFFFFF"/>
            <w:lang w:val="en-US" w:eastAsia="en-US" w:bidi="ar-SA"/>
          </w:rPr>
          <w:t>(1998), 60 B.C.L.R. (3d) 76</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 accept that where an apportionment of costs may have an adverse and unjust impact on a plaintiff's damage award that arises from "... the nature and conduct of the litigation ...", it is a factor appropriate for the court to weigh in exercise of a discretion to intervene. This basis does not involve the "... personal characteristics and circumstances of the litigants ..." as addressed by the Court of Appeal in </w:t>
      </w:r>
      <w:r>
        <w:rPr>
          <w:rFonts w:ascii="arial" w:eastAsia="arial" w:hAnsi="arial" w:cs="arial"/>
          <w:b/>
          <w:i/>
          <w:color w:val="000000"/>
          <w:sz w:val="20"/>
          <w:lang w:val="en-US" w:eastAsia="en-US" w:bidi="ar-SA"/>
        </w:rPr>
        <w:t>Black Top Cabs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involving impecuniosity of a party, or the relative impecuniosity of an average litigant who is opposed by an insurance financed defendant [</w:t>
      </w:r>
      <w:r>
        <w:rPr>
          <w:rFonts w:ascii="arial" w:eastAsia="arial" w:hAnsi="arial" w:cs="arial"/>
          <w:b/>
          <w:i/>
          <w:color w:val="000000"/>
          <w:sz w:val="20"/>
          <w:lang w:val="en-US" w:eastAsia="en-US" w:bidi="ar-SA"/>
        </w:rPr>
        <w:t>Logeman v. Rossa</w:t>
      </w:r>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2006 BCSC 692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case was strongly opposed by the defendant from inception and continued through trial. The defendant did not concede the seriousness of the plaintiff's injuries, the causation of those injuries, or liability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only offer of settlement by the defendant was $75,000, and it was made five weeks prior to trial; an offer by the plaintiff of $1,190,000 was made one week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agree with the view of counsel for the plaintiff that the issue of liability was not amenable to severance from liability, in the circumstances of the plaintiff's injury and the issue of causation. Although extremely difficult to estimate, I will accept the estimate of counsel for the plaintiff that liability issues did not occupy more than 15% of trial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balance, I accept the plaintiff was "forced to trial" and required to prove the seriousness and extent of her injuries, their causal link to the motor vehicle accident, and that there was a serious issue in regard to liability. The award of the jury indicates the plaintiff was successful on its view of the seriousness of the plaintiff's injuries and the causal link to the car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costs and disbursements of proceeding to trial were high, but generally speaking, required in order to present the plaintiff's claim for entitlement to a substantial damage award, as was found by the jury and reflected in the quantum of its award. The draft bill of costs and disbursements of the plaintiff indicate tariff costs of $71,845.40 and disbursements of $150,104.75, based on Scale B; and tariff costs of $106,525.40 and disbursements of $150,104.75 based on Scale C. These costs were increased by the fact the trial was with jury which required a good deal more time and detailed explanation by expert witnesses. The election for trial by jury was abandoned by the plaintiff, but secured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accept also that the trial involved complexity in respect of issues of the plaintiff's injuries, their unusual nature, effect on the plaintiff, and their permanence and causation resulting from a minor vehicle accident. There was difficulty posed to counsel in regard to managing the unusual conduct of the plaintiff during the course of the prosecution of her claim and at trial, and a need to canvass her medical, educational, social and employment history in greater than usual detail. In my view, the complexity and difficulties in prosecuting the claim, exacerbated in being before a jury, supports an increase in the appropriate scale of costs from B to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Apportionment of costs pursuant to s. 3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would more than eliminate the plaintiff's net award. In all the circumstances, that contributes in my view to an unjust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plaintiff's intransigence in respect of the liability issue does raise concern. One aspect is that the jury appears to not have believed the evidence of the plaintiff and thereby indicated lack of credibility. I am of the view that is a factor that must moderate the court's discretion in the upward movement of the plaintiff's cost entitlement.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the circumstances, I award the plaintiff 85% of her costs and disbursements, taxable on a tariff increased to Scale 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R.R. HOLMES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4"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50" w:history="1">
        <w:r>
          <w:rPr>
            <w:rFonts w:ascii="arial" w:eastAsia="arial" w:hAnsi="arial" w:cs="arial"/>
            <w:b/>
            <w:bCs/>
            <w:i/>
            <w:color w:val="0077CC"/>
            <w:kern w:val="32"/>
            <w:sz w:val="28"/>
            <w:szCs w:val="32"/>
            <w:u w:val="single"/>
            <w:shd w:val="clear" w:color="auto" w:fill="FFFFFF"/>
            <w:lang w:val="en-US" w:eastAsia="en-US" w:bidi="ar-SA"/>
          </w:rPr>
          <w:t>Pelletier v. Assurances de L'Est Inc., [2015] B.C.J. No. 933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C.J. Ross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20,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8,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S092102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933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2015 BCSC 760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2015 CarswellBC 1227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253 A.C.W.S. (3d) 754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49 C.C.L.I. (5th) 250</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Frederic Pelletier, Plaintiff, and Assurances de L'Est Inc., Belanger Mercier et Associes Inc. and Claude Saucier,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5"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4" w:name="Keywords_22"/>
      <w:bookmarkEnd w:id="144"/>
      <w:r>
        <w:rPr>
          <w:rFonts w:ascii="arial" w:eastAsia="arial" w:hAnsi="arial" w:cs="arial"/>
          <w:b/>
          <w:color w:val="000000"/>
          <w:sz w:val="20"/>
          <w:lang w:val="en-US" w:eastAsia="en-US" w:bidi="ar-SA"/>
        </w:rPr>
        <w:t xml:space="preserve">Insurance law — Brokers — Liability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obtaining adequate coverage — Action by insured for damages for improper cancellation of motor vehicle insurance policy allowed — Defendant insurance agent made misrepresentations to plaintiff that caused him to be without insurance when he got into motor vehicle accident — He breached his duty to plaintiff and caused him to sustain substantial damages — Defendants were required to reimburse plaintiff for repair costs and to indemnify him for all claims and costs that resulted from actions against plaintiff.</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Duty of care — Action by insured for damages for improper cancellation of motor vehicle insurance policy allowed — Defendant insurance agent made misrepresentations to plaintiff that caused him to be without insurance when he got into motor vehicle accident — He breached his duty to plaintiff and caused him to sustain substantial damages — Defendants were required to reimburse plaintiff for repair costs and to indemnify him for all claims and costs that resulted from actions against plaintiff.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5" w:name="Case Summary_19"/>
            <w:bookmarkEnd w:id="14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Pelletier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he claimed arose out of the alleged improper cancellation by the defendant insurance broker of his insurance policy. Pelletier lived in Quebec in 2006 and in that year he purchased a new pickup truck. He insured the truck though the defendant Belanger Mercier et Associes Inc. The defendant Assurances de L'Est Inc. was the successor company to Belanger. Pelletier dealt with the defendant Saucier, who was an insurance broker employed by Belanger. The policy had an effective date of July 14, 2006 and its expiration date was July 14, 2008. In the summer of 2007 Pelletier's employer asked him to relocate to British Columbia. Pelletier spoke to Saucier about insuring the truck in British Columbia. Saucier told him that the insurance would be cancelled but he repeatedly reassured him that the old policy would not be cancelled until the new policy was in place. Saucier also told him that he would be covered for three months after he moved. Pelletier moved on September 4, 2007. On October 18, 2007 he was involved in a motor vehicle accident. The day after the accident Pelletier received a letter from Saucier that advised that his insurance was cancelled effective October 8, 2007. After the accident four proceedings were commenced against Pelletier in British Columbia. Liability was admitted in each and the claims were settled by ICBC, pursuant to the uninsured motorist provisions of the Insurance (Vehicle) Act, for $91,000. Pelletier remained liable to ICBC. The car that Pelletier collided into sustained damages, which were repaired for $9,594. Pelletier paid this amount and he also paid $8,176 to repair his own vehicle. Pelletier conceded that he signed the cancellation document that provided for a cancellation date of October 8, 2007. However, he signed based on Saucier's representation that the document would not be filed until Pelletier told him that he had the new insurance in place.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6" w:name="Holdings of Court_13"/>
            <w:bookmarkEnd w:id="146"/>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Saucier represented to Pelletier that the cancellation document would not be filed until Pelletier told him that he had the replacement insurance in place. In breach of his duty and his instructions Saucier did not confirm the date of the move to British Columbia and he also did not confirm that Pelletier had the new insurance in place before the Quebec insurance was cancelled. Saucier breached his duty and this breach caused the losses alleged in this proceeding. Pelletier was awarded judgment for $17,770 for the repair costs that he paid. The defendants also had to indemnify Pelletier for all costs incurred in defending the British Columbia proceedings and regarding all claims against him in those proceedings.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7" w:name="Legislation Cited_17"/>
      <w:bookmarkEnd w:id="14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6"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(Vehicle) Act,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8" w:name="Counsel_22"/>
      <w:bookmarkEnd w:id="14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7" style="position:absolute;z-index:2517841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Mark L. Tweedy.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Andrew N. Epstein.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9" w:name="Judgment_22"/>
      <w:bookmarkEnd w:id="149"/>
      <w:r>
        <w:pict>
          <v:line id="_x0000_s1138" style="position:absolute;z-index:2518353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0" w:name="C.J. ROSS J."/>
            <w:bookmarkEnd w:id="150"/>
            <w:r>
              <w:rPr>
                <w:rFonts w:ascii="arial" w:eastAsia="arial" w:hAnsi="arial" w:cs="arial"/>
                <w:b/>
                <w:color w:val="000000"/>
                <w:sz w:val="30"/>
                <w:lang w:val="en-US" w:eastAsia="en-US" w:bidi="ar-SA"/>
              </w:rPr>
              <w:t>C.J. ROSS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 claim by the plaintiff Frederic Pelletier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arising out of what is alleged to be the improper cancellation of an insurance policy by the defendant insurance broker. Mr. Pelletier applies for judgment by summary trial pursuant to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parties agree that this action is suitable for summary trial. The parties have filed affidavit evidence and have made reference to the examinations for discovery. Mr. Pelletier filed the opinion of Ghislaine Perron addressing the standard of care for an insurance broker. Ms. Perron was produced for cross-examination by Order of Mr. Justice Grauer dated January 27, 2015, and the transcript of that cross-examination was filed in evidence. Upon a review of the evidence and submissions of counsel, I agree that the matter is suitable for determination by way of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Pelletier was living in Quebec in 2006. He purchased a new Ford F150 pickup truck the same year. He insured the truck through the offices of the defendant Belanger Mercier et Associes Inc. ("Belanger"). The defendant Assurances de L'Est Inc. ("Assurances") is the successor company to Belanger which was then further amalgamated in the company Univesta. Mr. Pelletier dealt with the defendant Claude Saucier, who was at the time employed by Belanger as an insurance broker.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automobile insurance policy was issued by ING insurance under policy number A28-1077 (the "Policy"). The Policy had an effective date of July 14, 2006, and an expiration date of July 14, 2008. The Policy provided first party coverage for Mr. Pelletier's vehicle, third party liability coverage, and coverage for defence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the summer of 2007, Mr. Pelletier's employer asked him to relocate to British Columbia. Mr. Pelletier then took steps to find out what to do about insuring his truck. Both Mr. Pelletier and his then girlfriend Marie-Claude Lemieux spoke with Mr. Saucier about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Lemieux deposed:</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June, 2007 I went to the offices of the Defendant Belanger Mercier et Associes Inc. ("Belanger Mercier") with the Plaintiff. We discussed with Mr. Claude Saucier that we were moving to BC to work and what to do regarding insurance on the Plaintiff's truck. Mr. Saucier said that the insurance could be cancelled but there would be a penalty. We were told that there would be no penalty if the insurance were cancelled on October 10, 2007. This could be a problem as we hadn't planned on being in BC until September 3, 2007 and there was a concern, given out of town work schedules, whether the BC insurance could be arranged in time. Mr. Saucier said that, regardless, he would not cancel the insurance until he had been told to do so.</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subsequently went back to see Mr. Saucier on my own, without the Plaintiff. He gave me a form cancelling the insurance as of October 10, 2007. I was once again concerned that that cancellation date would not give sufficient time to put new insurance in place. I was told by Mr. Saucier not to worry, that he wouldn't actually cancel the insurance until he had been told that new insurance was in place. He gave me the form for the Plaintiff to sign.</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took the form to the Plaintiff, who had been away. We both returned to see Mr. Saucier and were again told that the insurance would not be cancelled until the Plaintiff had advised Mr. Saucier that new insurance had been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Pelletier deposed:</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I found out that I would be moving to BC in around June, 2007 I took steps to find out what to do about insuring my truck. At first, I recall that I sent my then girlfriend Ms. Marie-Claude Lemieux to speak to Mr. Saucier.</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Ms. Lemieux had spoken to Mr. Saucier, I went with her to speak to Mr. Saucier myself. I spoke to Mr. Saucier about my plans to move to BC. He told me that I would be covered for three months after I moved and that I should call to cancel the Quebec insurance once the BC insurance was in place. He also told me that the documentation to cancel the insurance had to be filled out before I left for BC. I recall that the documentation provided for a cancellation date of October 8, 2007. I was concerned by that as I not sure [sic] I would have new insurance in BC in place by then. Mr. Saucier told that [sic] my insurance would not be cancelled until I told him BC insurance was in place. I left with the paperwork Mr. Saucier provided to me.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Sometime within the same week I believe, I returned to Mr. Saucier's office with the cancellation form signed. Mr. Saucier again assured me I had three months to get new insurance in BC and that I was to advise when I had so that the policy would be cancelled.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moved to BC on September 4, 2007, believing I had three months to insure my truck. On October 18, 2007 while making a left turn I was involved in a motor vehicle accident.</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day after the accident I received a letter dated October 19, 2007 from Mr. Saucier advising that my insurance had been cancelled effective October 8, 2007. A true copy of that letter is attached to my Affidavit as "Exhibit "A". I called Mr. Saucier. He said my my [sic] insurance had been cancelled. I asked him why and he told me he had made a mistake and would get back to me the next day. The next day he called back and said nothing could be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his examination for discovery, Mr. Saucier stated that he recalled the first discussion being with Mr. Pelletier, but that it was possible that the first discussion occurred with Mr. Pelletier's girlfriend. Mr. Saucier only recalled one meeting but agreed that it was possible that there were other meetings.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Saucier recalled that Ms. Lemieux told him that she needed to have an address for more than three months in British Columbia in order to purchase vehicle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Saucier agreed that he was aware in July 2007 that both Mr. Pelletier and Ms. Lemieux were concerned about insurance in British Columbia and that they were trying to do the right 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Saucier recalled that Ms. Lemieux came by and obtained the original of the insurance cancellation document. He could not recall if she signed the document in his office or took it away blank. He could not recall if the October 8, 2007 date was inserted in it when she took it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addition, Mr. Saucier testified to the following on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recall at any time any discussion with either Mr. Pelletier or Ms. Lemieux about simply holding the cancellation document and not doing anything with it until such time as they had moved to BC?</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that I don't remember.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it possible you had such discussions?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Possible.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 file log for client contacts was maintained at Belanger. The log with respect to Mr. Pelletier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06.26.2007: CLIENT VISIT, HE AND SHE ARE MOVING TO B.C. ON 08-01-07. [They] ASK ABOUT CANCELLATION PROCEDURE FOR AUTO POLICY ING A28-1077. EXPLAIN TO THEM MORE BENEFICIAL TO CANCEL ON ANNIVERSARY DATE SINCE A 12-MONTH PREMIUM. 06/26/2007 08:21 P.M. CLAUDE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07.05.2007: L812 REQUEST SIGNATURE FOR CANCELLATION; CLIENT MOVING TO B.C. EFFECTIVE 07-14-07. 07/05/2007 01:31 P.M. CLAUDE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07.13.2007: L121 FOR USE OUTSIDE QUEBEC EFFECTIVE 07-28-07 07/13/2007 02:15 P.M. CLAUDE (TITLE) mod. diverses/signatureclient/121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07.13.2007: CLIENT VISIT, SHE TELLS US THEY MUST HAVE [had] AN ADDRESS FOR 3 MONTHS FOR AUTO INSURANCE. 07/ 13/2007 02:27 P.M. CLAUDE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07.13.2007: OUTGOING TELEPHONE CALL: COMPANY ING - VERONIQUE FRIGON TELLS US IT IS THE 1ST TIME SHE HAS HEARD THAT THE PERSON MUST BE A RESIDENT FOR 3 MONTHS BEFORE INSURING A VEHICLE IN B.C. NORMALLY WHEN THE VEHICLE IS REGISTERED, IT CAN BE INSURED IMMEDIATELY. SHE ADDS ENDORSEMENT FOR USE OUTSIDE QUEBEC AND ASKS US FOR THE CLIENT'S SIGNATURE EFFECTIVE 10-08-07 FOR CANCELLATION ONCE CLIENT IS INSURED IN B.C. 07/13/2007 02:30 P.M. CLAUDE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07.13.2007: VISIT, I GIVE L121 TO HER [spouse] TO HAVE SIGNED BY HIM [client]. ASK [them] TO CHECK THE INFO SINCE IT CONTRADICTS WHAT ING KNOWS. SHE WILL CHECK AND HE WILL COME SEE US ON 07-20-07. 07/13/2007 02:32 P.M. CLAUDE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07.24.2007: CLIENT VISIT, HE CAME TO SIGN AUTO POLICY CANCELLATION ING A28-1077 EFFECTIVE DATE TO BE DETERMINED. 07/24/2007 03:10 P.M. CLAUDE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10.10.2007: INCOMING MAIL: CLIENT (HIS AND HER) SIGNATURE FOR AUTO POLICY CANCELLATION ING A28-1077 FOLLOWING MOVE TO BRITISH COLUMBIA. EFFECTIVE 10-08-07. 10/10/2007 09:21 A.M. CLAUDE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10.10.2007: TELESALE DONE AUTO POLICY CANCELLATION ING</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A28-1077 EFFECTIVE 10-08-07. 10/10/2007 09:23 A.M. CLAUDE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10/10/2007 I FILE CLIENT SIGNATURE AUTO POLICY CANCELLATION ING A28-1077 EFFECTIVE 10-08-07. 10/10/2007 09:44 A.M. CLAUDE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10.16.2007: I FILE NOTICE OF CANCELLATION AUTO POLICY ING A28-1077 EFFECTIVE 10-08-07 DURING TERM, CLIENT MOVING TO B.C. 10/16/2007 03:29 P.M. CLAUDE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Saucier deposed:</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June 26, 2007 Pelletier and his girlfriend came to see me with respect to cancelling the Policy as a result of their planned move to British Columbia on August 1, 2007.</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Pelletier asked me about insurance to operate his vehicle outside of Quebec until he could purchase automobile insurance in BC.</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July 5, 2007 I prepared Form L812, (the "Request for Cancellation") for completion by Pelletier and his girlfriend. Attached to this my Affidavit as Exhibit "B" is a true copy of the Request for Cancellation.</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July 13, 2007 I prepared form L121 which provided for operation of the vehicle outside of Quebec after July 28, 2007 (the "Policy Endorsement"). Attached to this my Affidavit as Exhibit "C" is a true copy of the Policy Endorsement.</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July 13, 2007 I was advised by Veronique Frigon of ING insurance that policy could not be extended beyond October 8, 2007.</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July 24, 2007 I gave the Request for Cancellation form to Mr. Pelletier for completion by Pelletier and his girlfriend.</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endorsement to the Policy was issued by ING and provided by me to Pelletier allowing for the use of the vehicle outside Quebec from July 28, 2007 until October 8, 2007 (the "Endorsement"). Attached to this my affidavit as Exhibit "D" is a true copy of a policy endorsement form dated August 3, 2007.</w:t>
      </w:r>
    </w:p>
    <w:p>
      <w:pPr>
        <w:numPr>
          <w:numId w:val="1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Page two of Exhibit "D" notes in large capital letters: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AJOUT USAGE HORS PROVINCE (JUSQU'AU 08.10.07 SEULEMENT)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SURPRIME (EXCLUANT LA TAXE DE VENTE) 279$</w:t>
      </w:r>
      <w:r>
        <w:rPr>
          <w:rFonts w:ascii="arial" w:eastAsia="arial" w:hAnsi="arial" w:cs="arial"/>
          <w:sz w:val="20"/>
          <w:lang w:val="en-US" w:eastAsia="en-US" w:bidi="ar-SA"/>
        </w:rPr>
        <w:cr/>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my knowledge of English, I believe the above statement from the Endorsement to read: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ADD USE OUTSIDE PROVI[N]CE (ONLY UNTIL 08.10.2007)</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PREMIUM (EXCLUDING SALES TAXES) $279</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relevant time, the Brokerage was operating as a "paperless" office. There were no physical files kept on behalf of clients, and there was no ability to hold a letter to be used at a later date.</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October 10, 2007 at 9:23 a.m. I received in the mail a completed and executed copy of the Request for Cancellation. It had been signed and dated October 8, 2007. I am certain that this occurred from my review of Exhibit "A" where the receipt of the mail was logged.</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receipt of the Request for Cancellation, I finalized the cancellation of the Policy on behalf of Pelletier on or about October 10, 2007 at 9:44 am (the "Cancellation").</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October 16, 2007 I received written confirmation of the Cancellation. A copy would have also been sent to Pelletier's last known address.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An endorsement to the Policy was issued by ING allowing for the use of the vehicle outside Quebec from July 28, 2007 to October 8, 2007 ("the Endorsement").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Pelletier moved to British Columbia on or about September 4, 2007. On October 18, 2007, he was involved in a motor vehicle accident. Mr. Saucier advised him that his insurance had been cancelled on October 8,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a result of the accident, four proceedings (the "MVA Proceedings") were commenced against Mr. Pelletier. Ultimately, liability was admitted in each. All four claims were settled by ICBC for the aggregate sum of approximately $91,000. Releases and assignments were executed by the plaintiffs in the MVA Proceedings. No payments have been made on account of ICBC's interest and Mr. Pelletier remains liable to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a result of the accident, the car with which Mr. Pelletier collided sustained damage, repaired at a cost of $9,594.92; this amount was paid directly by Mr. Pelletier.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a result of the accident, Mr. Pelletier's truck sustained damage which was repaired at a cost of $8,176.35; this amount was paid directly by Mr. Pelletier.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An expert opinion regarding the manner in which this matter was handled by the broker was provided by Ms. Perron, an insurance broker who practised in the province of Quebec. The report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Upon learning of Mr. Pelletier's intended move to Vancouver, BC on a date to be determined, what steps would a reasonable and prudent insurance broker have taken in the circumstances of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believe that the broker started the proper procedure upon learning of Mr. Pelletier's intended move to B.C. but he was remiss regarding the date of cancellation of the coverage and the conclusion of the matter.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 to the notes, Mr. Pelletier's move was to take place on August 1. Considering the client's comments regarding the need for 3 months residence before availability of insurance, a prudent broker would have reconfirmed the date of the move and asked the insurer for an extension of the cancellation date until Mr. Pelletier's insurance coverage with ICBC was secured that is Aug. 1 plus 3 months to wit Oct.30...</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Would a reasonable and prudent insurance broker have had Mr. Pelletier sign a form cancelling his insurance without knowing the date of his move to Vancouver, 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Request for cancellation form in the file indicates the cancellation should be effective October 8, 2007 which is the date chosen by Ms. Frigon of 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 to Principles and Practices for the Sale of Products and Services by Property And Casualty Insurance Brokers Association of Canada (IBAC).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- 1 - Interests of the Client. The client's interests take priority over the P&amp;C broker's interests and should not be sacrificed to the interests of others...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- 4 - Professionalism. P&amp;C brokers must act in good faith at all times. They must acquire an appropriate level of knowledge and meet professional ethical standards, including acting with honesty, integrity, fairness, due diligence and skill...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prudent broker would not have asked the client to sign a Request for cancellation indicating the effective date without knowing the real date of the move and without knowing when his client could secure local insurance coverage.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What steps would a reasonable and prudent insurance broker have taken upon receipt of the signed Request for Cancellation on about October 10, 2007.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doubt in my opinion that the broker should have verified if the I.C.B.C. required a 3 months stay before issuing an automobile insurance policy and he should have also verified with the client if the effective date of cancellation on the Request form was in accordance with the client's needs. The Request for cancellation Form should not have been predated if the policy was to be cancelled only when the client would have obtained insurance coverage in B.C. which was at an unknown date.</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Mr. Pelletier moved to BC on or about September 4, 2007. Would he have had insurance on October 18, 2007, save for the cancellation.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indication that ING would not have insured Mr. Pelletier until coverage was secured with I.C.B.C. so in my opinion, if this matter had been handled properly by the broker, Mr. Pelletier would have had the benefit of insurance coverage on October 18, 2007 save for the cancellation.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Submissions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Counsel submits on behalf of Mr. Pelletier that:</w:t>
      </w:r>
      <w:r>
        <w:rPr>
          <w:rFonts w:ascii="arial" w:eastAsia="arial" w:hAnsi="arial" w:cs="arial"/>
          <w:sz w:val="20"/>
          <w:lang w:val="en-US" w:eastAsia="en-US" w:bidi="ar-SA"/>
        </w:rPr>
        <w:cr/>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Mr. Pelletier and Ms. Lemieux concerning the discussions with Mr. Saucier is not contradicted;</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Pelletier signed the form to cancel his insurance only on Mr. Saucier's assurance that it would not be used until Mr. Pelletier obtained insurance in British Columbia;</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Saucier breached his duty to act in accordance with his instructions;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Saucier's conduct fell below the standard of care for brokers;</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Saucier's conduct was the cause of the loss suffered and potentially to be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Counsel for the defendants submits that:</w:t>
      </w:r>
      <w:r>
        <w:rPr>
          <w:rFonts w:ascii="arial" w:eastAsia="arial" w:hAnsi="arial" w:cs="arial"/>
          <w:sz w:val="20"/>
          <w:lang w:val="en-US" w:eastAsia="en-US" w:bidi="ar-SA"/>
        </w:rPr>
        <w:cr/>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Pelletier's account of the discussions with Mr. Saucier is not credible;</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problem Mr. Pelletier has is that he sought insurance for a problem he did not have (bridging the three-month waiting period), purchased the best policy available to him (as a soon-to-be former resident of Quebec), he failed to make the enquiry the broker told him to make (confirming that the three-month period was real or imagined), and is seeking damages from the broker for not placing a policy he could not buy;</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appropriate documents were given to Mr. Pelletier and those documents set out his coverage and the expiration date;</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event, Mr. Pelletier's claim for indemnification is not compensable at law because the claim has not yet been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defendants concede that Mr. Saucier owed Mr. Pelletier a duty of care and that Assurances and Belanger are responsible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if any, of Mr. Saucier. The issue in this case is whether there was a breach of that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nature of the duty of care of an insurance broker was discussed by Madam Justice Griffin in </w:t>
      </w:r>
      <w:r>
        <w:rPr>
          <w:rFonts w:ascii="arial" w:eastAsia="arial" w:hAnsi="arial" w:cs="arial"/>
          <w:i/>
          <w:color w:val="000000"/>
          <w:sz w:val="20"/>
          <w:lang w:val="en-US" w:eastAsia="en-US" w:bidi="ar-SA"/>
        </w:rPr>
        <w:t>Beck v. Johnston, Meier Insurance Agencies Ltd</w:t>
      </w:r>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2010 BCSC 719</w:t>
        </w:r>
      </w:hyperlink>
      <w:r>
        <w:rPr>
          <w:rFonts w:ascii="arial" w:eastAsia="arial" w:hAnsi="arial" w:cs="arial"/>
          <w:color w:val="000000"/>
          <w:sz w:val="20"/>
          <w:lang w:val="en-US" w:eastAsia="en-US" w:bidi="ar-SA"/>
        </w:rPr>
        <w:t xml:space="preserve"> at para. 18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The nature of an insurance broker's duty of care is to provide advice to a customer about available insurance coverage to meet the customer's needs, including advice about gaps in coverage, and how to protect against those gaps. This duty of care was described by the Ontario Court of Appeal in </w:t>
      </w:r>
      <w:r>
        <w:rPr>
          <w:rFonts w:ascii="arial" w:eastAsia="arial" w:hAnsi="arial" w:cs="arial"/>
          <w:i/>
          <w:color w:val="000000"/>
          <w:sz w:val="20"/>
          <w:lang w:val="en-US" w:eastAsia="en-US" w:bidi="ar-SA"/>
        </w:rPr>
        <w:t>Fine's Flowers Ltd. v. General Accident Assurance Co</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(1977), 17 O.R. (2d) 529</w:t>
        </w:r>
      </w:hyperlink>
      <w:r>
        <w:rPr>
          <w:rFonts w:ascii="arial" w:eastAsia="arial" w:hAnsi="arial" w:cs="arial"/>
          <w:color w:val="000000"/>
          <w:sz w:val="20"/>
          <w:lang w:val="en-US" w:eastAsia="en-US" w:bidi="ar-SA"/>
        </w:rPr>
        <w:t xml:space="preserve"> (C.A.), a decision cited with approval by the Supreme Court of Canada in </w:t>
      </w:r>
      <w:r>
        <w:rPr>
          <w:rFonts w:ascii="arial" w:eastAsia="arial" w:hAnsi="arial" w:cs="arial"/>
          <w:i/>
          <w:color w:val="000000"/>
          <w:sz w:val="20"/>
          <w:lang w:val="en-US" w:eastAsia="en-US" w:bidi="ar-SA"/>
        </w:rPr>
        <w:t>Fletcher v. MPIC</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[1990] 3 S.C.R. 191</w:t>
        </w:r>
      </w:hyperlink>
      <w:r>
        <w:rPr>
          <w:rFonts w:ascii="arial" w:eastAsia="arial" w:hAnsi="arial" w:cs="arial"/>
          <w:color w:val="000000"/>
          <w:sz w:val="20"/>
          <w:lang w:val="en-US" w:eastAsia="en-US" w:bidi="ar-SA"/>
        </w:rPr>
        <w:t xml:space="preserve"> at 216. As described by Wilson, J. of the Supreme Court of Canada in </w:t>
      </w:r>
      <w:r>
        <w:rPr>
          <w:rFonts w:ascii="arial" w:eastAsia="arial" w:hAnsi="arial" w:cs="arial"/>
          <w:i/>
          <w:color w:val="000000"/>
          <w:sz w:val="20"/>
          <w:lang w:val="en-US" w:eastAsia="en-US" w:bidi="ar-SA"/>
        </w:rPr>
        <w:t>Fletcher</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w:t>
      </w:r>
      <w:r>
        <w:rPr>
          <w:rFonts w:ascii="arial" w:eastAsia="arial" w:hAnsi="arial" w:cs="arial"/>
          <w:i/>
          <w:color w:val="000000"/>
          <w:sz w:val="20"/>
          <w:lang w:val="en-US" w:eastAsia="en-US" w:bidi="ar-SA"/>
        </w:rPr>
        <w:t>Fine's Flowers</w:t>
      </w:r>
      <w:r>
        <w:rPr>
          <w:rFonts w:ascii="arial" w:eastAsia="arial" w:hAnsi="arial" w:cs="arial"/>
          <w:color w:val="000000"/>
          <w:sz w:val="20"/>
          <w:lang w:val="en-US" w:eastAsia="en-US" w:bidi="ar-SA"/>
        </w:rPr>
        <w:t xml:space="preserve"> stands for the proposition that private insurance agents owe a duty to their customers </w:t>
      </w:r>
      <w:r>
        <w:rPr>
          <w:rFonts w:ascii="arial" w:eastAsia="arial" w:hAnsi="arial" w:cs="arial"/>
          <w:color w:val="000000"/>
          <w:sz w:val="20"/>
          <w:u w:val="single"/>
          <w:lang w:val="en-US" w:eastAsia="en-US" w:bidi="ar-SA"/>
        </w:rPr>
        <w:t>to provide not only information about available coverage, but also advice about which forms of coverage they require in order to meet their needs</w:t>
      </w:r>
      <w:r>
        <w:rPr>
          <w:rFonts w:ascii="arial" w:eastAsia="arial" w:hAnsi="arial" w:cs="arial"/>
          <w:color w:val="000000"/>
          <w:sz w:val="20"/>
          <w:lang w:val="en-US" w:eastAsia="en-US" w:bidi="ar-SA"/>
        </w:rPr>
        <w:t xml:space="preserve"> . I note that Professor Snow has summarized the effect of </w:t>
      </w:r>
      <w:r>
        <w:rPr>
          <w:rFonts w:ascii="arial" w:eastAsia="arial" w:hAnsi="arial" w:cs="arial"/>
          <w:i/>
          <w:color w:val="000000"/>
          <w:sz w:val="20"/>
          <w:lang w:val="en-US" w:eastAsia="en-US" w:bidi="ar-SA"/>
        </w:rPr>
        <w:t>Fine's Flowers</w:t>
      </w:r>
      <w:r>
        <w:rPr>
          <w:rFonts w:ascii="arial" w:eastAsia="arial" w:hAnsi="arial" w:cs="arial"/>
          <w:color w:val="000000"/>
          <w:sz w:val="20"/>
          <w:lang w:val="en-US" w:eastAsia="en-US" w:bidi="ar-SA"/>
        </w:rPr>
        <w:t xml:space="preserve"> in "Liability of Insurance Agents for Failure to Obtain Effective Coverage: </w:t>
      </w:r>
      <w:r>
        <w:rPr>
          <w:rFonts w:ascii="arial" w:eastAsia="arial" w:hAnsi="arial" w:cs="arial"/>
          <w:i/>
          <w:color w:val="000000"/>
          <w:sz w:val="20"/>
          <w:lang w:val="en-US" w:eastAsia="en-US" w:bidi="ar-SA"/>
        </w:rPr>
        <w:t>Fine's Flowers Ltd. v. General Accident Assurance Co.</w:t>
      </w:r>
      <w:r>
        <w:rPr>
          <w:rFonts w:ascii="arial" w:eastAsia="arial" w:hAnsi="arial" w:cs="arial"/>
          <w:color w:val="000000"/>
          <w:sz w:val="20"/>
          <w:lang w:val="en-US" w:eastAsia="en-US" w:bidi="ar-SA"/>
        </w:rPr>
        <w:t>" (1979), 9 Man. L.J. 165, in the following terms, at p. 169:</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implication of this case and many others like it in recent years seems clear. Consumers who place their faith in insurance agents holding themselves out as competent and find their faith misplaced, will frequently be able to find recourse against the agent. ... </w:t>
      </w:r>
      <w:r>
        <w:rPr>
          <w:rFonts w:ascii="arial" w:eastAsia="arial" w:hAnsi="arial" w:cs="arial"/>
          <w:color w:val="000000"/>
          <w:sz w:val="20"/>
          <w:u w:val="single"/>
          <w:lang w:val="en-US" w:eastAsia="en-US" w:bidi="ar-SA"/>
        </w:rPr>
        <w:t>[T]he extent of the duty owed by an insurance agent, both in placing insurance and in indicating to the insured which risks are covered and which are not, as set out in this case, is a fairly stringent one for the agent.</w:t>
      </w:r>
      <w:r>
        <w:rPr>
          <w:rFonts w:ascii="arial" w:eastAsia="arial" w:hAnsi="arial" w:cs="arial"/>
          <w:color w:val="000000"/>
          <w:sz w:val="20"/>
          <w:lang w:val="en-US" w:eastAsia="en-US" w:bidi="ar-SA"/>
        </w:rPr>
        <w:t xml:space="preserve"> Moreover, given the general situation of the principal relying very heavily on the expertise of the agent, it does not seem to be an unreasonable burden for an insurance agent to bear.</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duty of care owed by an insurance agent was further elaborated in </w:t>
      </w:r>
      <w:r>
        <w:rPr>
          <w:rFonts w:ascii="arial" w:eastAsia="arial" w:hAnsi="arial" w:cs="arial"/>
          <w:i/>
          <w:color w:val="000000"/>
          <w:sz w:val="20"/>
          <w:lang w:val="en-US" w:eastAsia="en-US" w:bidi="ar-SA"/>
        </w:rPr>
        <w:t>G.K.N. Keller Canada Ltd. v. Hartford Fire Insurance Co.</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(1983), 1 C.C.L.I. 34</w:t>
        </w:r>
      </w:hyperlink>
      <w:r>
        <w:rPr>
          <w:rFonts w:ascii="arial" w:eastAsia="arial" w:hAnsi="arial" w:cs="arial"/>
          <w:color w:val="000000"/>
          <w:sz w:val="20"/>
          <w:lang w:val="en-US" w:eastAsia="en-US" w:bidi="ar-SA"/>
        </w:rPr>
        <w:t xml:space="preserve"> (Ont. H.C.) (conf. on appeal </w:t>
      </w:r>
      <w:hyperlink r:id="rId356" w:history="1">
        <w:r>
          <w:rPr>
            <w:rFonts w:ascii="arial" w:eastAsia="arial" w:hAnsi="arial" w:cs="arial"/>
            <w:i/>
            <w:color w:val="0077CC"/>
            <w:sz w:val="20"/>
            <w:u w:val="single"/>
            <w:shd w:val="clear" w:color="auto" w:fill="FFFFFF"/>
            <w:lang w:val="en-US" w:eastAsia="en-US" w:bidi="ar-SA"/>
          </w:rPr>
          <w:t>(1984), 4 C.C.L.I. xxxvii</w:t>
        </w:r>
      </w:hyperlink>
      <w:r>
        <w:rPr>
          <w:rFonts w:ascii="arial" w:eastAsia="arial" w:hAnsi="arial" w:cs="arial"/>
          <w:color w:val="000000"/>
          <w:sz w:val="20"/>
          <w:lang w:val="en-US" w:eastAsia="en-US" w:bidi="ar-SA"/>
        </w:rPr>
        <w:t xml:space="preserve"> (Ont. C.A.)). It was held in that case that where the customer adequately describes the nature of his or her business to the agent, the onus is then on the agent to review the insurance needs of the customer and provide the full coverage requested. </w:t>
      </w:r>
      <w:r>
        <w:rPr>
          <w:rFonts w:ascii="arial" w:eastAsia="arial" w:hAnsi="arial" w:cs="arial"/>
          <w:color w:val="000000"/>
          <w:sz w:val="20"/>
          <w:u w:val="single"/>
          <w:lang w:val="en-US" w:eastAsia="en-US" w:bidi="ar-SA"/>
        </w:rPr>
        <w:t>Should an uninsured loss occur, the agent will be liable unless he or she has pointed out the gaps in coverage to the customer and advised him or her how to protect against those gaps.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[Emphasis in </w:t>
      </w:r>
      <w:r>
        <w:rPr>
          <w:rFonts w:ascii="arial" w:eastAsia="arial" w:hAnsi="arial" w:cs="arial"/>
          <w:i/>
          <w:color w:val="000000"/>
          <w:sz w:val="20"/>
          <w:lang w:val="en-US" w:eastAsia="en-US" w:bidi="ar-SA"/>
        </w:rPr>
        <w:t>Beck</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defendants cited </w:t>
      </w:r>
      <w:r>
        <w:rPr>
          <w:rFonts w:ascii="arial" w:eastAsia="arial" w:hAnsi="arial" w:cs="arial"/>
          <w:i/>
          <w:color w:val="000000"/>
          <w:sz w:val="20"/>
          <w:lang w:val="en-US" w:eastAsia="en-US" w:bidi="ar-SA"/>
        </w:rPr>
        <w:t>D D &amp; D Drillers Ltd. (c.o.b. Triple D Drillers Ltd.) v. Robertson</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[1999] B.C.J. No. 2531</w:t>
        </w:r>
      </w:hyperlink>
      <w:r>
        <w:rPr>
          <w:rFonts w:ascii="arial" w:eastAsia="arial" w:hAnsi="arial" w:cs="arial"/>
          <w:color w:val="000000"/>
          <w:sz w:val="20"/>
          <w:lang w:val="en-US" w:eastAsia="en-US" w:bidi="ar-SA"/>
        </w:rPr>
        <w:t xml:space="preserve"> (S.C.) at para. 46, for the proposition that a plaintiff alleging that an insurance broker failed to place appropriate insurance must prove that the policy they wanted was available in the market. I agree with the plaintiff that this authority is not applicable in the circumstances of the present case. This is not a case in which the issue arises out of a gap in coverage. Rather, in this case, Mr. Pelletier had insurance in place that would have covered the loss at issue. The complaint is that the broker, acting in breach of his duty, cancelled that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Pelletier concedes that he signed the cancellation document that provided for a cancellation date of October 8, 2007. His position is that he signed on the basis of the representation by Mr. Saucier that the document would not be filed until Mr. Pelletier advised Mr. Saucier that he had British Columbia insurance in place. I find the accounts of Mr. Pelletier and Ms. Lemieux concerning their dealings with Mr. Saucier to be credible. In addition, in my view, their account is more plausible and more in keeping with what common sense provides. In coming to this conclusion I note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Saucier did not deny their version or say that he would never have done what they asserted; he said he could not recall and that it was possible that things transpired as they asserted. It is clear, and Mr. Saucier agreed, that Mr. Pelletier and Ms. Lemieux were concerned about the insurance and that they were trying to do the right thing. I note that the evidence of Ms. Lemieux is consistent with that of Mr. Pelletier concerning the discussions with Mr. Saucier and that although the two were a couple at the material time, they have not been in a relationship since June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Common sense suggests that the intention of the insured was to maintain coverage for the vehicle. I do not think that it is at all likely that a person who was making multiple visits to the broker in order to ensure that the insurance for the vehicle was properly sorted out in advance of the move to British Columbia would, as defence counsel asserts, simply ignore the documents he had signed and purposely leave it "until it was too late". In my view it is far more likely that Mr. Pelletier signed the documents on the strength of the representation by Mr. Saucier that the cancellation would not be used until he advised Mr. Saucier that British Columbia insurance was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note further that it appears from the log entry dated July 13, 2007, that Ms. Frigon, the ING representative requested the client's signature for cancellation "once client is insured in B.C." This too is consistent with the intention that there was to be no gap in the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find that Mr. Pelletier's instructions to Mr. Saucier were to organize his vehicle insurance to take account of the impending move to British Columbia. I find further that Mr. Pelletier intended and instructed that his Quebec insurance was not to be cancelled until his British Columbia insurance was in place. On the strength of the discussions with Mr. Saucier, Mr. Pelletier believed when he moved in September 2007 that he had three months within which to obtain British Columbia insurance for his truck. I find that Mr. Saucier represented to Mr. Pelletier that the cancellation document would not be filed until Mr. Pelletier advised him that he had British Columbia insurance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find that in breach of his duty and his instructions, Mr. Saucier did not confirm the date of the move to British Columbia. In addition, contrary to his duty and his representation to Mr. Pelletier, he did not confirm that Mr. Pelletier had British Columbia insurance in place before cancelling the Policy. I accept Ms. Perron's opinion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As noted above, this is not a case involving a gap in coverage. Mr. Saucier confirmed that the Policy would have covered the losses alleged in this litigation. Moreover, if the Endorsement for use outside Quebec had been dated from the time of the move, it would have been in effect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find that Mr. Saucier was in breach of his duty to Mr. Pelletier and that this breach caused the losses alleged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defendants have submitted that Mr. Pelletier's claim for indemnity is not compensable at law since that claim has not been advanced and is approaching expiration of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Mr. Pelletier's counsel noted that the MVA Proceedings were commenced against Mr. Pelletier after the accident. Liability was admitted in each. All of the MVA Proceedings were defended and legal costs incurred. The MVA Proceedings were settled by ICBC pursuant to the uninsured motorist provisions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The actions are ongoing, and have neither been dismissed nor discontinued. The rights of the individual plaintiffs in the four actions comprising the MVA Proceedings have been assigned to ICBC. Thus, four claims have been advanced and remain outstanding. There is no limitation issue because the actions have already been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agree with the submissions of Mr. Pelletier's counsel concerning remedy. Accordingly, I make the following orders:</w:t>
      </w:r>
      <w:r>
        <w:rPr>
          <w:rFonts w:ascii="arial" w:eastAsia="arial" w:hAnsi="arial" w:cs="arial"/>
          <w:sz w:val="20"/>
          <w:lang w:val="en-US" w:eastAsia="en-US" w:bidi="ar-SA"/>
        </w:rPr>
        <w:cr/>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have judgment against the defendants in the sum of $17,771.27, plus Court Order interest.</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defendants indemnify the plaintiff for all costs incurred in defending the MVA Proceedings.</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defendants indemnify the plaintiff in respect of all claims that might be made against him as a result of the settlements in the MVA Proceedings.</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defendants pay to the plaintiff the costs of and incidental to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C.J. ROSS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9" style="position:absolute;z-index:2518804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58"/>
          <w:headerReference w:type="default" r:id="rId359"/>
          <w:footerReference w:type="even" r:id="rId360"/>
          <w:footerReference w:type="default" r:id="rId361"/>
          <w:headerReference w:type="first" r:id="rId362"/>
          <w:footerReference w:type="first" r:id="rId36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64" w:history="1">
        <w:r>
          <w:rPr>
            <w:rFonts w:ascii="arial" w:eastAsia="arial" w:hAnsi="arial" w:cs="arial"/>
            <w:b/>
            <w:bCs/>
            <w:i/>
            <w:color w:val="0077CC"/>
            <w:kern w:val="32"/>
            <w:sz w:val="28"/>
            <w:szCs w:val="32"/>
            <w:u w:val="single"/>
            <w:shd w:val="clear" w:color="auto" w:fill="FFFFFF"/>
            <w:lang w:val="en-US" w:eastAsia="en-US" w:bidi="ar-SA"/>
          </w:rPr>
          <w:t>Pete v. Axworthy, [2004] B.C.J. No. 2511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Smithers,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J.W. Williams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 29 - October 3, 6 - 9, 15, 16,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29, 2004.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Smithers Registry No. 11169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[2004] B.C.J. No. 2511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2004 BCSC 1563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136 A.C.W.S. (3d) 282</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Gordon Patrick Pete, plaintiff, and James Axworthy, Her Majesty the Queen in Right of the Province of British Columbia, as represented by The Ministry of Attorney General, Nicholas Carr, Terrace Regional Health Care Society and Terrace and Area Health Council,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0"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1" w:name="Keywords_23"/>
      <w:bookmarkEnd w:id="151"/>
      <w:r>
        <w:rPr>
          <w:rFonts w:ascii="arial" w:eastAsia="arial" w:hAnsi="arial" w:cs="arial"/>
          <w:b/>
          <w:color w:val="000000"/>
          <w:sz w:val="20"/>
          <w:lang w:val="en-US" w:eastAsia="en-US" w:bidi="ar-SA"/>
        </w:rPr>
        <w:t xml:space="preserve">Civil procedure — Costs — Bullock or Sanderson order — Damages — General damages — For personal injuries — Non-pecuniary damages, including pain and suffering — Calculation — Mitigating factors — Limits on compensatory damages — Duty to mitigate — Government law — Crown — Action by and against Crown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by Crown.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2" w:name="Case Summary_20"/>
            <w:bookmarkEnd w:id="15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Assessment of damages from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Crown. The plaintiff Pete was assaulted and injured by another inmate while he was incarcerated at Terrace Community Correctional Centre. He sustained fractures to his jaw. His claim was limited to non-pecuniary damages, being pain and suffering which resulted from the assault. Pete passed away in hospital shortly after the conclusion of the trial. Counsel had agreed that the fact of his death should be admitted into evidence and the judgment should be back dated nunc pro tunc.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3" w:name="Holdings of Court_14"/>
            <w:bookmarkEnd w:id="153"/>
            <w:r>
              <w:rPr>
                <w:rFonts w:ascii="arial" w:eastAsia="arial" w:hAnsi="arial" w:cs="arial"/>
                <w:color w:val="000000"/>
                <w:sz w:val="20"/>
                <w:lang w:val="en-US" w:eastAsia="en-US" w:bidi="ar-SA"/>
              </w:rPr>
              <w:t>HELD: Damages assessed at $67,500.</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Prior to the assault Pete enjoyed reasonable physical health and was described as fit. He had no prior jaw injury. He was not limited in terms of his ability to work. After the assault, and following his release from custody, Pete experienced a number of changes, some of which were permanent. Those changes included: continuing jaw discomfort and infections; jaw numbness, which caused him to drool; marked changes in his physical appearance, such as a pronounced receding of his jaw; ongoing weight loss to the point that at the time of trial he weighed less than 100 pounds; and an overall diminishment in the plaintiff's enjoyment and quality of life. There was evidence that he had other medical and physical difficulties that contributed to his deterioration. He was an alcoholic and had lung disease, arthritis, stomach problems and other medical conditions. However, the court concluded that the pain and suffering experienced by Pete as a result of the assault was substantial and that it persisted for a period of six years. Due to his death shortly after trial, the amount awarded did not include any consideration for future pain and suffering. The appropriate sum for pain and suffering was $75,000. The court deducted 10% for Pete's failure to mitigate. It concluded that he was, to some extent, derelict in pursuing medical follow-up and thus had failed to mitigate his losses. The court declined to reduce the award further to take into account Pete's death on the basis that the award for pain and suffering had no component for any future pain and suffering.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4" w:name="Legislation Cited_18"/>
      <w:bookmarkEnd w:id="15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1"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57(18).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5" w:name="Counsel_23"/>
      <w:bookmarkEnd w:id="15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2" style="position:absolute;z-index:2517852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I. Lawson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Her Majesty the Queen in Right of the Province of British Columbia: K.L. Johnston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Nicholas Carr: P. Willcock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6" w:name="Judgment_23"/>
      <w:bookmarkEnd w:id="156"/>
      <w:r>
        <w:pict>
          <v:line id="_x0000_s1143" style="position:absolute;z-index:25183641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7" w:name="J.W. WILLIAMS J."/>
            <w:bookmarkEnd w:id="157"/>
            <w:r>
              <w:rPr>
                <w:rFonts w:ascii="arial" w:eastAsia="arial" w:hAnsi="arial" w:cs="arial"/>
                <w:b/>
                <w:color w:val="000000"/>
                <w:sz w:val="30"/>
                <w:lang w:val="en-US" w:eastAsia="en-US" w:bidi="ar-SA"/>
              </w:rPr>
              <w:t>J.W. WILLIAMS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reasons for judgment released October 19, 2004, it was determined that the plaintiff, Mr. Pete, had proven his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Crown. These reasons will address the issues of damages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tort law concepts of causation and remoteness dictate that there must be some proximate and causal connection between the negligent act and the damage for which compensation is sought. In the present matter, the surgery which followed the assault cannot be characterized as an act which breaks the chain of causation. The defendant Crown is responsible for the consequences following the event, including the medical complications which Mr. Pete experienced.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By way of summary, Mr. Pete, while an inmate at Terrace Community Correctional Centre, was assaulted and injured by another inmate. He sustained fractures to both sides of his jaw. The claim advanced was limited to non-pecuniary damages, that is, pain and suffering which resulted from the assault upon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Death of Mr. Pete: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As noted in my earlier reasons, Mr. Pete died in hospital shortly after the conclusion of the trial, at which time judgment was reserved. Counsel agreed that the fact of his death should be admitted into evidence and the judgment should be back dated nunc pro tunc. This approach is in accordance with the decision of the Court of Appeal in Monahan Estate v. Nelson, </w:t>
      </w:r>
      <w:hyperlink r:id="rId366" w:history="1">
        <w:r>
          <w:rPr>
            <w:rFonts w:ascii="arial" w:eastAsia="arial" w:hAnsi="arial" w:cs="arial"/>
            <w:i/>
            <w:color w:val="0077CC"/>
            <w:sz w:val="20"/>
            <w:u w:val="single"/>
            <w:shd w:val="clear" w:color="auto" w:fill="FFFFFF"/>
            <w:lang w:val="en-US" w:eastAsia="en-US" w:bidi="ar-SA"/>
          </w:rPr>
          <w:t>[2000] B.C.J. No. 944</w:t>
        </w:r>
      </w:hyperlink>
      <w:r>
        <w:rPr>
          <w:rFonts w:ascii="arial" w:eastAsia="arial" w:hAnsi="arial" w:cs="arial"/>
          <w:color w:val="000000"/>
          <w:sz w:val="20"/>
          <w:lang w:val="en-US" w:eastAsia="en-US" w:bidi="ar-SA"/>
        </w:rPr>
        <w:t xml:space="preserve"> (C.A.) [hereinafter Monahan Estate], and the principles from that decision will be applied in the instant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Assessment of 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principal evidence to be considered in the assessment of general damages is that of the plaintiff and, to a lesser extent, his brother, Willie Pete. The brother testified concerning his observations of the plaintiff, both before and after the event. As well, the plaintiff's medical records are in evidence as are four photographs which depict him prior to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time of trial, the plaintiff was 43 years of age. He had a grade 11 education and had worked intermittently at a series of physical jobs in his life. He was an alcoholic and was suffering from a number of physical problems, not all of which were related to the assault and its aftermath.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find that the plaintiff experienced substantial pain and discomfort as an immediate consequence of the assault. His face was very swollen. That condition persisted over the following days as he was taken to hospital, treated temporarily to relieve the pain, and then returned to hospital three days later, at which time he underwent surgery. He was released from hospital at the end of the day following surgery and returned to the correctional centre. The pain continued post-operatively, although it resolved significantly in the weeks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As a consequence of the injury and the operation, Mr. Pete had a substantially limited ability to open his mouth. He experienced numbness to his jaw. Both of these conditions continued and became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Prior to the incident, Mr. Pete had lost a significant number of teeth. His dentition and his ability to chew were less than optimal; however, it is my conclusion that he was functionally able to masticate his food prior to the incident. Following the incident, that was no longer the case. There was a substantial malocclusion, that is, his teeth did not line up and meet so that he was able to chew in a reasonably normal way. As well, his ability to open and close his jaw in the usual manner was significantly compromised. Upon his return to the correctional centre, the authorities found it necessary to put his food through a blender to ensure that he could receive nutrition. This situation continued after his release, and upon his return to his family home, it was necessary to obtain a blender and continue to blenderize the food in the same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Prior to the assault, Mr. Pete apparently enjoyed reasonable physical health and could fairly be described as fit. His weight was approximately 155 pounds. I find as a fact that he had sustained no prior injury to his jaw. As best I can discern, he had no physical limitations in terms of being able to work, other than a condition called "white hand" which evidently made it difficult for him to perform some functions, such as holding a chainsaw for a prolonged period of time in cold weather. Otherwise, there is no reason to doubt that he was physically 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Following the plaintiff's discharge from hospital and his subsequent release from custody, there were a number of changes that occurred, some of which became permanent in his life:</w:t>
      </w:r>
      <w:r>
        <w:rPr>
          <w:rFonts w:ascii="arial" w:eastAsia="arial" w:hAnsi="arial" w:cs="arial"/>
          <w:sz w:val="20"/>
          <w:lang w:val="en-US" w:eastAsia="en-US" w:bidi="ar-SA"/>
        </w:rPr>
        <w:cr/>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discomfort to his jaw continued; he arranged to see a dentist who in turn referred him to a specialist. It became apparent that the surgery to repair the jaw had not been effective and at some point, infection set in.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consequence of either the assault or the subsequent surgery, Mr. Pete experienced numbness in his jaw. This continued and became permanent; it caused him discomfort and caused him to drool.</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 marked change in Mr. Pete's appearance. Specifically, the shape of his jaw eroded to the point that, at trial, it was notably deformed. His face had a sunken appearance and his jaw had receded most pronouncedly.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consequences of the assault had a real and substantial impact upon Mr. Pete's general physical well-being. He experienced an ongoing weight loss, not dramatic at first, but continuing to the point that, at time of trial, he weighed less than 100 pounds.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change to his appearance, together with the fact that he was unable to eat solid food in the normal way, contributed to a real diminishment in his enjoyment of the quality of life. He testified that people would stare at him. He was embarrassed, depressed and disheartened about both his appearance and his condition and he became more and more withdrawn socially.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ongoing discomfort and difficulty that the jaw caused, he was required to attend upon different doctors and specialists for the purpose of considering what repair could be made. This sometimes entailed travel, including trips to Prince George and Vancouver. At one point, a surgeon in Vancouver opened the site of the injury and removed the hardware which had been used in the initial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 is no doubt that the plaintiff had other significant medical and physical difficulties in his life which contributed to the deterioration which he underwent. He was an alcoholic; he had lung disease (the tuberculosis he had as a child recurred in the years following the assault), arthritis, stomach problems and other medical conditions. I recognize that those medical difficulties were not consequences of the assault and I specifically instruct myself that their contribution to the pain and suffering experienced by the plaintiff between the time of the incident (November 1, 1997) and the conclusion of the trial (October 16, 2003) cannot be attributed to the defendant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Reference has been made by counsel to a number of decisions of this Court and the Court of Appeal, each of which deal with the determination of quantum of non-pecuniary damages in situations where the plaintiff has sustained a jaw injury similar to the case at bar. The cases which have been placed before me and which I have reviewed cover a significant range, both in terms of their facts and the damages which were awarded: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Vaillancourt v. Molnar Estate, </w:t>
      </w:r>
      <w:hyperlink r:id="rId367" w:history="1">
        <w:r>
          <w:rPr>
            <w:rFonts w:ascii="arial" w:eastAsia="arial" w:hAnsi="arial" w:cs="arial"/>
            <w:i/>
            <w:color w:val="0077CC"/>
            <w:sz w:val="20"/>
            <w:u w:val="single"/>
            <w:shd w:val="clear" w:color="auto" w:fill="FFFFFF"/>
            <w:lang w:val="en-US" w:eastAsia="en-US" w:bidi="ar-SA"/>
          </w:rPr>
          <w:t>[2002] B.C.J. No. 2831</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Dyke v. Ferguson, </w:t>
      </w:r>
      <w:hyperlink r:id="rId368" w:history="1">
        <w:r>
          <w:rPr>
            <w:rFonts w:ascii="arial" w:eastAsia="arial" w:hAnsi="arial" w:cs="arial"/>
            <w:i/>
            <w:color w:val="0077CC"/>
            <w:sz w:val="20"/>
            <w:u w:val="single"/>
            <w:shd w:val="clear" w:color="auto" w:fill="FFFFFF"/>
            <w:lang w:val="en-US" w:eastAsia="en-US" w:bidi="ar-SA"/>
          </w:rPr>
          <w:t>[1991] O.J. No. 190</w:t>
        </w:r>
      </w:hyperlink>
      <w:r>
        <w:rPr>
          <w:rFonts w:ascii="arial" w:eastAsia="arial" w:hAnsi="arial" w:cs="arial"/>
          <w:color w:val="000000"/>
          <w:sz w:val="20"/>
          <w:lang w:val="en-US" w:eastAsia="en-US" w:bidi="ar-SA"/>
        </w:rPr>
        <w:t xml:space="preserve"> (Ont. Ct., Gen. Div.)</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Hiltz v. Adili, </w:t>
      </w:r>
      <w:hyperlink r:id="rId369" w:history="1">
        <w:r>
          <w:rPr>
            <w:rFonts w:ascii="arial" w:eastAsia="arial" w:hAnsi="arial" w:cs="arial"/>
            <w:i/>
            <w:color w:val="0077CC"/>
            <w:sz w:val="20"/>
            <w:u w:val="single"/>
            <w:shd w:val="clear" w:color="auto" w:fill="FFFFFF"/>
            <w:lang w:val="en-US" w:eastAsia="en-US" w:bidi="ar-SA"/>
          </w:rPr>
          <w:t>[1992] B.C.J. No. 408</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Madunic v. Malin, </w:t>
      </w:r>
      <w:hyperlink r:id="rId370" w:history="1">
        <w:r>
          <w:rPr>
            <w:rFonts w:ascii="arial" w:eastAsia="arial" w:hAnsi="arial" w:cs="arial"/>
            <w:i/>
            <w:color w:val="0077CC"/>
            <w:sz w:val="20"/>
            <w:u w:val="single"/>
            <w:shd w:val="clear" w:color="auto" w:fill="FFFFFF"/>
            <w:lang w:val="en-US" w:eastAsia="en-US" w:bidi="ar-SA"/>
          </w:rPr>
          <w:t>[1992] B.C.J. No. 769</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Wilson v. Wall, </w:t>
      </w:r>
      <w:hyperlink r:id="rId371" w:history="1">
        <w:r>
          <w:rPr>
            <w:rFonts w:ascii="arial" w:eastAsia="arial" w:hAnsi="arial" w:cs="arial"/>
            <w:i/>
            <w:color w:val="0077CC"/>
            <w:sz w:val="20"/>
            <w:u w:val="single"/>
            <w:shd w:val="clear" w:color="auto" w:fill="FFFFFF"/>
            <w:lang w:val="en-US" w:eastAsia="en-US" w:bidi="ar-SA"/>
          </w:rPr>
          <w:t>[1988] B.C.J. No. 2143</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Drummond v. Fisher, </w:t>
      </w:r>
      <w:hyperlink r:id="rId372" w:history="1">
        <w:r>
          <w:rPr>
            <w:rFonts w:ascii="arial" w:eastAsia="arial" w:hAnsi="arial" w:cs="arial"/>
            <w:i/>
            <w:color w:val="0077CC"/>
            <w:sz w:val="20"/>
            <w:u w:val="single"/>
            <w:shd w:val="clear" w:color="auto" w:fill="FFFFFF"/>
            <w:lang w:val="en-US" w:eastAsia="en-US" w:bidi="ar-SA"/>
          </w:rPr>
          <w:t>[1992] B.C.J. No. 2827</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Linnen v. Bradford, </w:t>
      </w:r>
      <w:hyperlink r:id="rId373" w:history="1">
        <w:r>
          <w:rPr>
            <w:rFonts w:ascii="arial" w:eastAsia="arial" w:hAnsi="arial" w:cs="arial"/>
            <w:i/>
            <w:color w:val="0077CC"/>
            <w:sz w:val="20"/>
            <w:u w:val="single"/>
            <w:shd w:val="clear" w:color="auto" w:fill="FFFFFF"/>
            <w:lang w:val="en-US" w:eastAsia="en-US" w:bidi="ar-SA"/>
          </w:rPr>
          <w:t>[1993] A.J. No. 209</w:t>
        </w:r>
      </w:hyperlink>
      <w:r>
        <w:rPr>
          <w:rFonts w:ascii="arial" w:eastAsia="arial" w:hAnsi="arial" w:cs="arial"/>
          <w:color w:val="000000"/>
          <w:sz w:val="20"/>
          <w:lang w:val="en-US" w:eastAsia="en-US" w:bidi="ar-SA"/>
        </w:rPr>
        <w:t xml:space="preserve"> (Q.B.)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Koukounakis v. Stainrod </w:t>
      </w:r>
      <w:hyperlink r:id="rId374" w:history="1">
        <w:r>
          <w:rPr>
            <w:rFonts w:ascii="arial" w:eastAsia="arial" w:hAnsi="arial" w:cs="arial"/>
            <w:i/>
            <w:color w:val="0077CC"/>
            <w:sz w:val="20"/>
            <w:u w:val="single"/>
            <w:shd w:val="clear" w:color="auto" w:fill="FFFFFF"/>
            <w:lang w:val="en-US" w:eastAsia="en-US" w:bidi="ar-SA"/>
          </w:rPr>
          <w:t>(1995), 23 O.R. (3d) 299</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Kemp v. Wittenberg, </w:t>
      </w:r>
      <w:hyperlink r:id="rId375" w:history="1">
        <w:r>
          <w:rPr>
            <w:rFonts w:ascii="arial" w:eastAsia="arial" w:hAnsi="arial" w:cs="arial"/>
            <w:i/>
            <w:color w:val="0077CC"/>
            <w:sz w:val="20"/>
            <w:u w:val="single"/>
            <w:shd w:val="clear" w:color="auto" w:fill="FFFFFF"/>
            <w:lang w:val="en-US" w:eastAsia="en-US" w:bidi="ar-SA"/>
          </w:rPr>
          <w:t>[2001] B.C.J. No. 616</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Lurtz v. Duchesne, </w:t>
      </w:r>
      <w:hyperlink r:id="rId376" w:history="1">
        <w:r>
          <w:rPr>
            <w:rFonts w:ascii="arial" w:eastAsia="arial" w:hAnsi="arial" w:cs="arial"/>
            <w:i/>
            <w:color w:val="0077CC"/>
            <w:sz w:val="20"/>
            <w:u w:val="single"/>
            <w:shd w:val="clear" w:color="auto" w:fill="FFFFFF"/>
            <w:lang w:val="en-US" w:eastAsia="en-US" w:bidi="ar-SA"/>
          </w:rPr>
          <w:t>[2003] O.J. No. 1540</w:t>
        </w:r>
      </w:hyperlink>
      <w:r>
        <w:rPr>
          <w:rFonts w:ascii="arial" w:eastAsia="arial" w:hAnsi="arial" w:cs="arial"/>
          <w:color w:val="000000"/>
          <w:sz w:val="20"/>
          <w:lang w:val="en-US" w:eastAsia="en-US" w:bidi="ar-SA"/>
        </w:rPr>
        <w:t xml:space="preserve"> (S.C.J.)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have considered each of those decisions; however, at the end of the day, I have to determine the appropriate quantum for these specific circumstances at the time of entitlement.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have concluded that the pain and suffering experienced by Mr. Pete was substantial and that it persisted over a six-year period of time. Because of his untimely death shortly after the trial, however, the amount which I determine cannot include any consideration for future pain and suffering, which non-pecuniary awards often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all the circumstances, it is my conclusion that the appropriate sum to be fixed for the pain and suffering experienced by the plaintiff is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 submits that the award should be subject to a substantial reduction because of a failure to mitigate. In my earlier reasons for judgment, reference was made to the fact that Mr. Pete was less than completely diligent in following up on the problems which he experienced after his release from custody, which problems were consequences of the injury and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is no doubt that the plaintiff could have been more responsible in his self-care. At the same time, it is my view that there should not be any substantial reduction under this head of consideration. I base that conclusion upon the following:</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 principle of tort law that the tortfeasor must accept the victim as found. In this case, the victim was an unsophisticated individual who was, by his very nature, not inclined to deal with issues as precisely and responsibly as might many members of the community. In effect, his laxity in dealing with the matter was a function of his natural disposition and his circumstances, including his lack of financial wherewithal to have matters dealt with promptly. As well, I am satisfied that the pain and disfigurement which Mr. Pete experienced contributed to a degree of malaise and his failure to pursue all of the proper medical remedies in short order.</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Additionally, I am loathe to attribute a substantial degree of blame to the plaintiff in circumstances where the arrangements that had been made for him to be followed medically were as minimal as they were. While I have concluded that the lack of follow-up was not such as to be characterizable as negligent, it was not by any means ardent, ideal or such that Mr. Pete could be faulted for having failed to comply with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Having made those observations, there is a proper basis to find the plaintiff was, to some degree, derelict in pursuing medical follow-up and thus has failed to mitigate his loss. In all the circumstances, I conclude that there should be a reduction of 10% from the award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Reduction in View of the Plaintiff's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Counsel for the defendant Crown submits that the application of the rulings in Monahan Estate, supra, and in Vollrath v. Bruce, </w:t>
      </w:r>
      <w:hyperlink r:id="rId377" w:history="1">
        <w:r>
          <w:rPr>
            <w:rFonts w:ascii="arial" w:eastAsia="arial" w:hAnsi="arial" w:cs="arial"/>
            <w:i/>
            <w:color w:val="0077CC"/>
            <w:sz w:val="20"/>
            <w:u w:val="single"/>
            <w:shd w:val="clear" w:color="auto" w:fill="FFFFFF"/>
            <w:lang w:val="en-US" w:eastAsia="en-US" w:bidi="ar-SA"/>
          </w:rPr>
          <w:t>[2000] A.J. No. 1584</w:t>
        </w:r>
      </w:hyperlink>
      <w:r>
        <w:rPr>
          <w:rFonts w:ascii="arial" w:eastAsia="arial" w:hAnsi="arial" w:cs="arial"/>
          <w:color w:val="000000"/>
          <w:sz w:val="20"/>
          <w:lang w:val="en-US" w:eastAsia="en-US" w:bidi="ar-SA"/>
        </w:rPr>
        <w:t xml:space="preserve"> (Q.B.) [hereinafter Vollrath] to this case should result in a substantial -- he suggests 50% -- reduction in the award of general damages. Upon careful consideration of the reasons in those two cases, I cannot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Monahan Estate, supra, Hall J.A. concluded that the trial judge's award of general damages encompassed both pre-trial and post-trial periods. There, the plaintiff had died shortly after the trial. The award was halved in order to attribute 50% to the period prior to the death of the plaintiff and 50% to the period following. In other words, the reduction was based upon the clear understanding that the award of damages had not been adjusted by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Vollrath,supra, the court was again dealing with a situation where the plaintiff died between the end of the trial and judgment. The court reduced the award of general damages by 50% because of a finding that the plaintiff had a pre-existing condition, concluding that he was not entirely non-symptomatic and would likely have continued to suffer pain. Thus, it was only because the court concluded that the plaintiff would have suffered the symptoms to some degree in any event that the damage award was reduced by 50%. The reasons for judgment indicate that the trial judge was aware of the requirement to limit the award to damages suffered up to the time of trial and not award anything for future pain and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To be clear, in the present matter, I have determined the quantum of damages for the period between the assault upon the plaintiff and the last day of trial. The award has no component for any future pain and suffering, that is, subsequent to the last day of trial, and accordingly there is no basis upon which to effect a reduction.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general rule that costs follow the event is applicable in the circumstances of this case. The plaintiff is entitled to recover his party-and-party costs from the defendant against whom he has succeeded, the Crown. As well, the defendant against whom liability has not been proven, Dr. Carr, is entitled to recover his party-and-party costs from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submissions respecting costs, the plaintiff initially took the position that, pursuant to the decision Qureshi v. Nickerson, </w:t>
      </w:r>
      <w:hyperlink r:id="rId378" w:history="1">
        <w:r>
          <w:rPr>
            <w:rFonts w:ascii="arial" w:eastAsia="arial" w:hAnsi="arial" w:cs="arial"/>
            <w:i/>
            <w:color w:val="0077CC"/>
            <w:sz w:val="20"/>
            <w:u w:val="single"/>
            <w:shd w:val="clear" w:color="auto" w:fill="FFFFFF"/>
            <w:lang w:val="en-US" w:eastAsia="en-US" w:bidi="ar-SA"/>
          </w:rPr>
          <w:t>[1991] B.C.J. No. 264</w:t>
        </w:r>
      </w:hyperlink>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53 B.C.L.R. (2d) 379</w:t>
        </w:r>
      </w:hyperlink>
      <w:r>
        <w:rPr>
          <w:rFonts w:ascii="arial" w:eastAsia="arial" w:hAnsi="arial" w:cs="arial"/>
          <w:color w:val="000000"/>
          <w:sz w:val="20"/>
          <w:lang w:val="en-US" w:eastAsia="en-US" w:bidi="ar-SA"/>
        </w:rPr>
        <w:t xml:space="preserve"> (C.A.) [hereinafter Qureshi], the plaintiff expected there would be no claim for costs made by Dr. Carr. This submission was strenuously opposed by Dr. Carr.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correctness of the holding in Qureshi, supra, and its applicability to other fact patterns is apparently a matter of some controversy. There are a number of cases that have distinguished the decision. In my view, there is no need to embark upon a detailed analysis of the authorities and their application. In the present case, there is no evidence before this Court that Dr. Carr's costs of representation have been paid or will be reimbursed by the C.M.P.A. Accordingly, given that fundamental distinction, Qureshi, supra, has no application in the present case and I am driven to conclude that Dr. Carr is entitled to recover his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Application of Rule 57(18):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the determination of costs, it is necessary to consider whether this is a situation where the costs of the successful defendant should be payable by the unsuccessful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specific issue to be addressed is whether the plaintiff's joining of the two defendants in the same action was reasonable and justified. If so, there is a judicial discretion to make an order pursuant to Rule 57(1): Robertson v. North Island College Technical and Vocational Institute </w:t>
      </w:r>
      <w:hyperlink r:id="rId380" w:history="1">
        <w:r>
          <w:rPr>
            <w:rFonts w:ascii="arial" w:eastAsia="arial" w:hAnsi="arial" w:cs="arial"/>
            <w:i/>
            <w:color w:val="0077CC"/>
            <w:sz w:val="20"/>
            <w:u w:val="single"/>
            <w:shd w:val="clear" w:color="auto" w:fill="FFFFFF"/>
            <w:lang w:val="en-US" w:eastAsia="en-US" w:bidi="ar-SA"/>
          </w:rPr>
          <w:t>(1980), 26 B.C.L.R. 225</w:t>
        </w:r>
      </w:hyperlink>
      <w:r>
        <w:rPr>
          <w:rFonts w:ascii="arial" w:eastAsia="arial" w:hAnsi="arial" w:cs="arial"/>
          <w:color w:val="000000"/>
          <w:sz w:val="20"/>
          <w:lang w:val="en-US" w:eastAsia="en-US" w:bidi="ar-SA"/>
        </w:rPr>
        <w:t xml:space="preserve"> (C.A.). There are a number of factors which can bear upon this matter. In the present case, I am satisfied that the following features militate in favour of the plaintiff, and thus entitle the plaintiff to recover those costs from the defendant Crown:</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against both defendants arose out of the two closely-linked and related events; that is the assault and the surgery which followed;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was not unreasonable for the plaintiff to believe he had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both Dr. Carr and the Crown;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Crown defended the plaintiff's claim by alleging that Dr. Carr had caused or contributed to the plaintiff's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all the circumstances, it was eminently sensible for the plaintiff to proceed as he did, that is, against both of these defendants. The wisdom of proceeding otherwise would have been dubious indeed.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This is a matter where it is appropriate to apply Rule 57(18). Specifically, there will be an order that the defendant Crown will pay, to the defendant Dr. Carr, the costs that Dr. Carr is entitled to recover from the plaintiff, that is, a Sanderson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Scale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advances the claim that the case at bar should be described as being of "unusual difficulty or importance", pursuant to s. 1(2) of Appendix B of the Rules of Court. In the circumstances, the plaintiff urges this Court to award costs against the defendant at scale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have considered the submissions of the plaintiff on this point. I am unable to find that the liability of prison authorities is an area of law that is not well litigated or could fairly be described as being of unusual difficulty. While it is recognized that the plaintiff called an expert witness in the area, that is not particularly unusual, and cannot justify the contention for a higher scale of costs. Similarly, I reject the submission that the case is of lasting importance to a disadvantaged class of persons, namely those who are incarcerated in correctional institutes, or to government officials who operate and monitor low security provincial institutions.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is entitled to recover costs against the defendant Crown at scale 3, and the defendant Dr. Carr entitled to recover costs at the same scale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Pete is awarded damages against the defendant Crown in the amount of $67,500. The plaintiff shall recover from the defendant Crown costs at scale 3. There will be a Sanderson order requiring the defendant Crown to pay Dr. Carr's costs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view of the untimely demise of Mr. Pete and the submissions which have been received, urging this Court to apply the principles in Monahan Estate, supra, the award of damages is backdated nunc pro tunc to October 16, 2003. The plaintiff is entitled to post-judgment interest from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J.W. WILLIAMS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4" style="position:absolute;z-index:2518814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81"/>
          <w:headerReference w:type="default" r:id="rId382"/>
          <w:footerReference w:type="even" r:id="rId383"/>
          <w:footerReference w:type="default" r:id="rId384"/>
          <w:headerReference w:type="first" r:id="rId385"/>
          <w:footerReference w:type="first" r:id="rId3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87" w:history="1">
        <w:r>
          <w:rPr>
            <w:rFonts w:ascii="arial" w:eastAsia="arial" w:hAnsi="arial" w:cs="arial"/>
            <w:b/>
            <w:bCs/>
            <w:i/>
            <w:color w:val="0077CC"/>
            <w:kern w:val="32"/>
            <w:sz w:val="28"/>
            <w:szCs w:val="32"/>
            <w:u w:val="single"/>
            <w:shd w:val="clear" w:color="auto" w:fill="FFFFFF"/>
            <w:lang w:val="en-US" w:eastAsia="en-US" w:bidi="ar-SA"/>
          </w:rPr>
          <w:t>Scheck v. Parkdale Place Housing Society, [2019] B.C.J. No. 56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Rossland,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 Johnston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30,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18,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12828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Rossland</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BCSC 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88 M.P.L.R. (5th) 308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2019 CarswellBC 72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Muriel Winona Scheck, Plaintiff, and Parkdale Place Housing Society and The Corporation of the District of Summerland,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(28 paras.)</w:t>
      </w:r>
    </w:p>
    <w:p>
      <w:pPr>
        <w:jc w:val="both"/>
        <w:rPr>
          <w:rFonts w:ascii="arial" w:eastAsia="arial" w:hAnsi="arial" w:cs="arial"/>
          <w:sz w:val="20"/>
          <w:lang w:val="en-US" w:eastAsia="en-US" w:bidi="ar-SA"/>
        </w:rPr>
      </w:pPr>
      <w:bookmarkStart w:id="158" w:name="Counsel_24"/>
      <w:bookmarkEnd w:id="15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5"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J.T.E. Gelber.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The Corporation of the District of Summerland J.J. Krusell.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9" w:name="Judgment_24"/>
      <w:bookmarkEnd w:id="159"/>
      <w:r>
        <w:pict>
          <v:line id="_x0000_s1146" style="position:absolute;z-index:2517350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0" w:name="R. JOHNSTON J."/>
            <w:bookmarkEnd w:id="160"/>
            <w:r>
              <w:rPr>
                <w:rFonts w:ascii="arial" w:eastAsia="arial" w:hAnsi="arial" w:cs="arial"/>
                <w:b/>
                <w:color w:val="000000"/>
                <w:sz w:val="30"/>
                <w:lang w:val="en-US" w:eastAsia="en-US" w:bidi="ar-SA"/>
              </w:rPr>
              <w:t>R. JOHNSTON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December 29, 2015, the plaintiff Ms. Scheck was injured when she slipped and fell on a sidewalk adjoining her seniors' residence in Summerland,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She sued Parkdale Place Housing Society ("Parkdale"), the occupier of the building in which she lived, and the Corporation of the District of Summerland ("Summerland"), on whose sidewalk she slipped and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Both defendants applied to dismiss Ms. Scheck's claims on a summary trial. For reasons found at </w:t>
      </w:r>
      <w:hyperlink r:id="rId388" w:history="1">
        <w:r>
          <w:rPr>
            <w:rFonts w:ascii="arial" w:eastAsia="arial" w:hAnsi="arial" w:cs="arial"/>
            <w:i/>
            <w:color w:val="0077CC"/>
            <w:sz w:val="20"/>
            <w:u w:val="single"/>
            <w:shd w:val="clear" w:color="auto" w:fill="FFFFFF"/>
            <w:lang w:val="en-US" w:eastAsia="en-US" w:bidi="ar-SA"/>
          </w:rPr>
          <w:t>2018 BCSC 938</w:t>
        </w:r>
      </w:hyperlink>
      <w:r>
        <w:rPr>
          <w:rFonts w:ascii="arial" w:eastAsia="arial" w:hAnsi="arial" w:cs="arial"/>
          <w:color w:val="000000"/>
          <w:sz w:val="20"/>
          <w:lang w:val="en-US" w:eastAsia="en-US" w:bidi="ar-SA"/>
        </w:rPr>
        <w:t>, the claim against Parkdale was dismissed, and Summerland's application was adjourned for further evidence. As this trial is a continuation of the earlier one, those reasons are integral to these, and the two must be read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Further evidence has been provided in the form of an affidavit from Ms. Scheck in which she swears that she slipped on a patch of ice and fell in spite of using her four-wheeled walker. She swears that this happened shortly before lunch time, and that she saw fresh snow on the public sidewalk on which she fell, which she describes as "significant." Ms. Scheck swears that it had recently snowed during the night or early morning and there was a coating of snow on the sidewalks. I accept this evidence. In doing so, I have preferred it over the evidence of Mr. Cook, the maintenance coordinator of Parkdale Place, who testified on discovery that the sidewalks were bare and dry, and that it had not snowed for some time. Mr. Cook's evidence was heavily reliant on his records, and his conviction that he would have followed his normal routine of morning inspection, including looking out for snow or ice. I find Ms. Scheck's recall of her observations on December 29, 2015, more reliable than Mr. Cook's recollection based largely on entries in records, or the absence of a notation of snow in those records. As well, slipping on ice is the most likely explanation for Ms. Scheck's fall in spite of using her four-wheeled walker.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place no weight on Ms. Scheck's opinions that no one had attempted to clear this snow before she fell or that the ice underneath the snow was a "hidden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With the fresh evidence from Ms. Scheck, and a further affidavit from Mr. Denegar, Summerland's Director of Corporate Services, Summerland has renewed its application to dismiss Ms. Scheck's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As stated in the earlier reasons, Summerland's primary argument is that any duty of care it owed to Ms. Scheck that related to the condition of its sidewalks was vitiated or negated in this case by Bylaw No. 93-065, </w:t>
      </w:r>
      <w:r>
        <w:rPr>
          <w:rFonts w:ascii="arial" w:eastAsia="arial" w:hAnsi="arial" w:cs="arial"/>
          <w:i/>
          <w:color w:val="000000"/>
          <w:sz w:val="20"/>
          <w:lang w:val="en-US" w:eastAsia="en-US" w:bidi="ar-SA"/>
        </w:rPr>
        <w:t>A Bylaw to Require the Removal of Snow, Ice, and Rubbish from the Municipality's Sidewalks &amp; Footpaths</w:t>
      </w:r>
      <w:r>
        <w:rPr>
          <w:rFonts w:ascii="arial" w:eastAsia="arial" w:hAnsi="arial" w:cs="arial"/>
          <w:color w:val="000000"/>
          <w:sz w:val="20"/>
          <w:lang w:val="en-US" w:eastAsia="en-US" w:bidi="ar-SA"/>
        </w:rPr>
        <w:t xml:space="preserve"> (25 October 1993). Summerland maintains it adopted the Bylaw in good faith, after weighing the public good against the municipality's available resources, and that the Bylaw represents a reasonable and rational policy decision on its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earlier reasons referred to the decisions in </w:t>
      </w:r>
      <w:r>
        <w:rPr>
          <w:rFonts w:ascii="arial" w:eastAsia="arial" w:hAnsi="arial" w:cs="arial"/>
          <w:i/>
          <w:color w:val="000000"/>
          <w:sz w:val="20"/>
          <w:lang w:val="en-US" w:eastAsia="en-US" w:bidi="ar-SA"/>
        </w:rPr>
        <w:t>Brown v. British Columbia</w:t>
      </w:r>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[1994] 1 S.C.R. 420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Just v. British Columbia</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xml:space="preserve">. These decisions are part of a line of Supreme Court of Canada authorities regarding the intersection between duties owed by public authorities on application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and public authorities' legitimate need to establish priorities among the demands on finite public resources.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 am satisfied that Bylaw 93-065 represented a reasonable, rational, and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policy decision by Summerland's Council. It was a genuine attempt to balance the duty of care Summerland owed to those using its sidewalks against the services that Summerland could afford to deliver to those users.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That does not end the matter. Bylaw 93-065 does not stand alone. As the earlier reasons indicate (at para. 25), Bylaw 93-065 does not deal with inspection of municipal sidewalks. However, Summerland assumed an obligation to inspect its sidewalks for the presence of snow and ice through its policy manual, which it revised in 2014. Policy No. 400.3, </w:t>
      </w:r>
      <w:r>
        <w:rPr>
          <w:rFonts w:ascii="arial" w:eastAsia="arial" w:hAnsi="arial" w:cs="arial"/>
          <w:i/>
          <w:color w:val="000000"/>
          <w:sz w:val="20"/>
          <w:lang w:val="en-US" w:eastAsia="en-US" w:bidi="ar-SA"/>
        </w:rPr>
        <w:t>Winter Road and Sidewalk Maintenance</w:t>
      </w:r>
      <w:r>
        <w:rPr>
          <w:rFonts w:ascii="arial" w:eastAsia="arial" w:hAnsi="arial" w:cs="arial"/>
          <w:color w:val="000000"/>
          <w:sz w:val="20"/>
          <w:lang w:val="en-US" w:eastAsia="en-US" w:bidi="ar-SA"/>
        </w:rPr>
        <w:t xml:space="preserve"> (10 October 2014) includes the following provisions:</w:t>
      </w:r>
      <w:r>
        <w:rPr>
          <w:rFonts w:ascii="arial" w:eastAsia="arial" w:hAnsi="arial" w:cs="arial"/>
          <w:sz w:val="20"/>
          <w:lang w:val="en-US" w:eastAsia="en-US" w:bidi="ar-SA"/>
        </w:rPr>
        <w:cr/>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winter months, roads and sidewalks shall be inspected daily for the presence of snow and 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Winter sidewalk maintenance will be performed exclusively on those portions of sidewalks that are within the frontage of a District property.</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 may, at any time and at his sole discretion, alter winter road and sidewalk maintenance priorities and schedules due to current availability of equipment and personnel or to current weather conditions.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 may, at any time and at his sole discretion, delay or alter winter road and sidewalk maintenance in order to delegate trucks, equipment, and personnel to other concurrent emergent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Denegar has provided the following affidavit evidence regarding Summerland's usual practices in relation to snow and ice maintenance:</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Due to the limited budget and human resources of the District, the District's bylaw inspection and enforcement (via its Bylaw Services department) is a reactive, complaints-driven service, and there is no active monitoring of inspection by District staff in respect of compliance with Bylaw 93-065, nor of any other District bylaws.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Each year before snow or ice is likely to accumulate, the District reminds residents and businesses of their requirement to clear their sidewalks as per Bylaw 93-065. This is done with a notice in our monthly newsletter, which is sent along with District utility bills to every property owner, and via e-mail to any resident who has signed up for our electronic newsletters. Further, the reminder is also posted on our website's home page and on our Facebook and Twitter pages.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complaint is received regarding a sidewalk that is uncleaned or which has ice or snow on it, District staff will then inspect and photograph the area, and give notice to the adjacent owner (and tenant, if applicable) to clear the accumulation.</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Final notice from District staff to the property owner gives one hour to clear the accumulation. If the accumulation is not cleared or ice removed, the District will have its contractor clean or clear the accumulation, and the expense is charged back to the property owner. A District Bylaw Services Officer then re-inspects the area to see that it has been cleared.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a previous affidavit, Mr. Denegar affirmed that he reviewed Summerland's records and found nothing to indicate that prior to December 29, 2015, Summerland had received a complaint of snow or ice on the sidewalk in the area of the plaintiff's fall, nor any record that Summerland gave notice to Parkdale that it was not complying with its snow clearing obligations under Bylaw 93-065. Additionally, Mr. Denegar found no record that Summerland had penalized Parkland under Bylaw 93-065, and no record of a reported fall and injury in the area of the plaintiff's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It appears that there is a disconnect between Summerland's written policy requiring daily sidewalk inspections and Mr. Denegar's evidence that because of budget and human resources limitations, "there is no active monitoring or inspection by District staff in respect of compliance with Bylaw 93-065."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While Summerland has established that its policy decision to shift the obligation to clear sidewalks onto adjacent owners and occupiers, as set out in Bylaw 93-065, was reached in good faith and is both rational and reasonable, it has also established that its Council adopted a companion policy, No. 400.3, which required it to inspect for snow and ice on a daily basis during the winter months. Summerland has established that this daily inspection policy was not followed. Mr. Denegar's explanation that Summerland's failure to follow its written inspection policy was due to its limited budget and human resources does not, in the face of the formally adopted policy to inspect, rise to the level of a "policy immunity defence." At best, it is an operational decision to ignore the policy adopted by the municipal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Put simply, Summerland breached its own policy by failing to inspect its sidewalks for snow and ice, which I have already found were present on the sidewalk outside Ms. Scheck's home on December 29,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When Ms. Scheck fell she was on her way home from a store a short distance away. She puts the fall "shortly before lunch time," and there is no reason to challenge her on that assertion. Mr. Cook's discovery evidence was to the effect that he routinely inspected the outside of Parkdale Place each morning, including the adjacent sidewalks, as he was alive to the burden placed on Parkdale Place by Bylaw 93-065. Although December 29, 2015 was a holiday for Mr. Cook, he testified that he would have conducted his usual inspection anyway as he lived nearby. Although I have already preferred Ms. Scheck's direct evidence that there was ice and snow on the sidewalk over Mr. Cook's inference drawn from the lack of a record of snow or ice in his logs, it is possible that it snowed between any early inspection and the accident. Unfortunately, no meteorological or other evidence has been presented to establish whether snow fell during the morning of December 29,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Having found that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Summerland owed to Ms. Scheck to take reasonable care to make its sidewalk safe for her passage was negated by the policy decision reflected in Bylaw 93-065, but that Summerland had assumed an obligation to inspect its sidewalks for snow and ice on a daily basis during snow and ice season through Policy No. 400.3, and that it deliberately decided not to conduct the inspections, I conclude that the failure to inspect was a breach of the duty Summerland owed to Ms. Scheck.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is no question that Ms. Scheck suffered compensable damage when she was injured by her fall on December 29, 2015, and I have accepted her evidence that she fell as a result of slipping on ice covered by snow that had accumulated on the sidewalk. The presence of snow on a sidewalk is easily observable on even a cursory inspection of the sort that can be done by driving along the street. As I have already found, Summerland assumed an obligation to inspect its sidewalks for snow and ice daily during winter months under Policy No. 400.3. Thus, Ms. Scheck has proved on a balance of probabilities that Summerland owed her a duty to inspect for snow and ice, that Summerland breached that duty by adopting a practice of reacting to complaints rather than inspecting as required by its written policy, and that she sustained compensable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What remains is to decide whether Summerland's breach of the duty to inspect that it owed Ms. Scheck caused her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traditional test for causation is the "but for" test, which requires a plaintiff to show on a balance of probabilities that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injuries complained of would not have occurred: see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For some time, there appeared to be another possible route to finding a causal relationship between a breach of duty and injury or damage, if a breach were found to be a "material contribution" to the injury. As the Court said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"but for" test is unworkable in some circumstances, so the courts have recognized that causation is established where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injury: </w:t>
      </w:r>
      <w:r>
        <w:rPr>
          <w:rFonts w:ascii="arial" w:eastAsia="arial" w:hAnsi="arial" w:cs="arial"/>
          <w:i/>
          <w:color w:val="000000"/>
          <w:sz w:val="20"/>
          <w:lang w:val="en-US" w:eastAsia="en-US" w:bidi="ar-SA"/>
        </w:rPr>
        <w:t>Myers v. Peel County Board of Education</w:t>
      </w:r>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[1981] 2 S.C.R. 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Bonnington Castings, Ltd. v. Wardlaw</w:t>
      </w:r>
      <w:r>
        <w:rPr>
          <w:rFonts w:ascii="arial" w:eastAsia="arial" w:hAnsi="arial" w:cs="arial"/>
          <w:color w:val="000000"/>
          <w:sz w:val="20"/>
          <w:lang w:val="en-US" w:eastAsia="en-US" w:bidi="ar-SA"/>
        </w:rPr>
        <w:t xml:space="preserve">, [1956] 1 All E.R. 615 (H.L.); </w:t>
      </w:r>
      <w:r>
        <w:rPr>
          <w:rFonts w:ascii="arial" w:eastAsia="arial" w:hAnsi="arial" w:cs="arial"/>
          <w:i/>
          <w:color w:val="000000"/>
          <w:sz w:val="20"/>
          <w:lang w:val="en-US" w:eastAsia="en-US" w:bidi="ar-SA"/>
        </w:rPr>
        <w:t>McGhee v. National Coal Board</w:t>
      </w:r>
      <w:r>
        <w:rPr>
          <w:rFonts w:ascii="arial" w:eastAsia="arial" w:hAnsi="arial" w:cs="arial"/>
          <w:color w:val="000000"/>
          <w:sz w:val="20"/>
          <w:lang w:val="en-US" w:eastAsia="en-US" w:bidi="ar-SA"/>
        </w:rPr>
        <w:t xml:space="preserve">, [[1972] 3 All E.R. 1008 (H.L.)]. A contributing factor is material if it falls outside the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range: </w:t>
      </w:r>
      <w:r>
        <w:rPr>
          <w:rFonts w:ascii="arial" w:eastAsia="arial" w:hAnsi="arial" w:cs="arial"/>
          <w:i/>
          <w:color w:val="000000"/>
          <w:sz w:val="20"/>
          <w:lang w:val="en-US" w:eastAsia="en-US" w:bidi="ar-SA"/>
        </w:rPr>
        <w:t>Bonnington Castings v. Wardlaw, supra</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R. v. Pinske</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(1988), 30 B.C.L.R. (2d) 114</w:t>
        </w:r>
      </w:hyperlink>
      <w:r>
        <w:rPr>
          <w:rFonts w:ascii="arial" w:eastAsia="arial" w:hAnsi="arial" w:cs="arial"/>
          <w:color w:val="000000"/>
          <w:sz w:val="20"/>
          <w:lang w:val="en-US" w:eastAsia="en-US" w:bidi="ar-SA"/>
        </w:rPr>
        <w:t xml:space="preserve"> (B.C.C.A.), aff'd </w:t>
      </w:r>
      <w:hyperlink r:id="rId394" w:history="1">
        <w:r>
          <w:rPr>
            <w:rFonts w:ascii="arial" w:eastAsia="arial" w:hAnsi="arial" w:cs="arial"/>
            <w:i/>
            <w:color w:val="0077CC"/>
            <w:sz w:val="20"/>
            <w:u w:val="single"/>
            <w:shd w:val="clear" w:color="auto" w:fill="FFFFFF"/>
            <w:lang w:val="en-US" w:eastAsia="en-US" w:bidi="ar-SA"/>
          </w:rPr>
          <w:t>[1989] 2 S.C.R. 979</w:t>
        </w:r>
      </w:hyperlink>
      <w:r>
        <w:rPr>
          <w:rFonts w:ascii="arial" w:eastAsia="arial" w:hAnsi="arial" w:cs="arial"/>
          <w:color w:val="000000"/>
          <w:sz w:val="20"/>
          <w:lang w:val="en-US" w:eastAsia="en-US" w:bidi="ar-SA"/>
        </w:rPr>
        <w:t>.</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w:t>
      </w:r>
      <w:hyperlink r:id="rId144"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this Court recently confirmed that the plaintiff must prove that the defendant's tortious conduct caused or contributed to the plaintiff's injury. The causation test is not to be applied too rigidly. Causation need not be determined by scientific precision; as Lord Salmon stated in </w:t>
      </w:r>
      <w:r>
        <w:rPr>
          <w:rFonts w:ascii="arial" w:eastAsia="arial" w:hAnsi="arial" w:cs="arial"/>
          <w:i/>
          <w:color w:val="000000"/>
          <w:sz w:val="20"/>
          <w:lang w:val="en-US" w:eastAsia="en-US" w:bidi="ar-SA"/>
        </w:rPr>
        <w:t>Alphacell Ltd. v. Woodward</w:t>
      </w:r>
      <w:r>
        <w:rPr>
          <w:rFonts w:ascii="arial" w:eastAsia="arial" w:hAnsi="arial" w:cs="arial"/>
          <w:color w:val="000000"/>
          <w:sz w:val="20"/>
          <w:lang w:val="en-US" w:eastAsia="en-US" w:bidi="ar-SA"/>
        </w:rPr>
        <w:t>, [1972] 2 All E.R. 475, at p. 490, and as was quoted by Sopinka J. at p. 328, it is "essentially a practical question of fact which can best be answered by ordinary common sense". Although the burden of proof remains with the plaintiff, in some circumstances an inference of causation may be drawn from the evidence without positive scientific proof.</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w:t>
      </w:r>
      <w:r>
        <w:rPr>
          <w:rFonts w:ascii="arial" w:eastAsia="arial" w:hAnsi="arial" w:cs="arial"/>
          <w:i/>
          <w:color w:val="000000"/>
          <w:sz w:val="20"/>
          <w:lang w:val="en-US" w:eastAsia="en-US" w:bidi="ar-SA"/>
        </w:rPr>
        <w:t>sole cause</w:t>
      </w:r>
      <w:r>
        <w:rPr>
          <w:rFonts w:ascii="arial" w:eastAsia="arial" w:hAnsi="arial" w:cs="arial"/>
          <w:color w:val="000000"/>
          <w:sz w:val="20"/>
          <w:lang w:val="en-US" w:eastAsia="en-US" w:bidi="ar-SA"/>
        </w:rPr>
        <w:t xml:space="preserve"> of the injury. There will frequently be a myriad of other background events which were necessary preconditions to the injury occurring. ... As long as a defendant is </w:t>
      </w:r>
      <w:r>
        <w:rPr>
          <w:rFonts w:ascii="arial" w:eastAsia="arial" w:hAnsi="arial" w:cs="arial"/>
          <w:i/>
          <w:color w:val="000000"/>
          <w:sz w:val="20"/>
          <w:lang w:val="en-US" w:eastAsia="en-US" w:bidi="ar-SA"/>
        </w:rPr>
        <w:t>part</w:t>
      </w:r>
      <w:r>
        <w:rPr>
          <w:rFonts w:ascii="arial" w:eastAsia="arial" w:hAnsi="arial" w:cs="arial"/>
          <w:color w:val="000000"/>
          <w:sz w:val="20"/>
          <w:lang w:val="en-US" w:eastAsia="en-US" w:bidi="ar-SA"/>
        </w:rPr>
        <w:t xml:space="preserve"> of the cause of an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Supreme Court of Canada has considered the question of causation in tort in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Ediger v. Johnston</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2013 SCC 18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 woman was injured when a motorcycle operated by her husband (on which she was a passenger) crashed. The crash was found to have occurred because the defendant husband had overloaded the motorcycle, and was exceeding the speed limit. The husband did not know that a nail had punctured the motorcycle's rear tire, and the nail fell out when he sped up to pass a vehicle. The rear tire started to lose pressure and the motorcycle began to wobble. The crash and consequent injuries were contributed to by the husband's speeding on a motorcycle he had loaded beyond its safe capacity, and by the nail puncture in the rear tire. The trial judge found that on the facts, the injured passenger was unable to show that "but for" her husband's negligent driving her injuries would not have occurred, but held that the husband's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"material contribution" to her injuries, and found him liable. The Court of Appeal set aside the trial judgment on the basis that the "material contribution" test did not apply, and the plaintiff had failed to prove on a balance of probabilities that "but for" her husband's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she would not have been injured. The Supreme Court of Canada considered the possibility that a "material contribution" test might apply where a plaintiff was unable to meet the "but for" test for causation, and concluded at para. 46:</w:t>
      </w:r>
      <w:r>
        <w:rPr>
          <w:rFonts w:ascii="arial" w:eastAsia="arial" w:hAnsi="arial" w:cs="arial"/>
          <w:sz w:val="20"/>
          <w:lang w:val="en-US" w:eastAsia="en-US" w:bidi="ar-SA"/>
        </w:rPr>
        <w:cr/>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foregoing discussion leads me to the following conclusions as to the present state of the law in Canada:</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general rule, a plaintiff cannot succeed unless she shows as a matter of fact that she would not have suffered the loss "but for" the negligent act or acts of the defendant. A trial judge is to take a robust and pragmatic approach to determining if a plaintiff has established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her loss. Scientific proof of causation is not required.</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Exceptionally, a plaintiff may succeed by showing that the defendant's conduct materially contributed to risk of the plaintiff's injury, where (a) the plaintiff has established that her loss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two or more tortfeasors, each possibly in fact responsible for the loss; and (b) the plaintiff, through no fault of her own, is unable to show that any one of the possible tortfeasors in fact was the necessary or "but for" cause of her injury, because each can point to one another as the possible "but for" cause of the injury, defeating a finding of causation on a balance of probabilities against anyone.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Court reaffirmed the general rule in </w:t>
      </w:r>
      <w:r>
        <w:rPr>
          <w:rFonts w:ascii="arial" w:eastAsia="arial" w:hAnsi="arial" w:cs="arial"/>
          <w:i/>
          <w:color w:val="000000"/>
          <w:sz w:val="20"/>
          <w:lang w:val="en-US" w:eastAsia="en-US" w:bidi="ar-SA"/>
        </w:rPr>
        <w:t>Ediger</w:t>
      </w:r>
      <w:r>
        <w:rPr>
          <w:rFonts w:ascii="arial" w:eastAsia="arial" w:hAnsi="arial" w:cs="arial"/>
          <w:color w:val="000000"/>
          <w:sz w:val="20"/>
          <w:lang w:val="en-US" w:eastAsia="en-US" w:bidi="ar-SA"/>
        </w:rPr>
        <w:t xml:space="preserve"> at paras. 28-29, omitting any discussion of the exceptional "material contribution" scenario:</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Court recently summarized the legal test for causation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[2012] 2 S.C.R. 181</w:t>
        </w:r>
      </w:hyperlink>
      <w:r>
        <w:rPr>
          <w:rFonts w:ascii="arial" w:eastAsia="arial" w:hAnsi="arial" w:cs="arial"/>
          <w:color w:val="000000"/>
          <w:sz w:val="20"/>
          <w:lang w:val="en-US" w:eastAsia="en-US" w:bidi="ar-SA"/>
        </w:rPr>
        <w:t>. Causation is assessed using the "but for" test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paras. 8 and 13;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at paras. 21-22). That is, the plaintiff must show on a balance of probabilities that "but for" the defendant's negligent act, the injury would not have occurred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 8). "Inherent in the phrase 'but for' is the requirement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necessary to bring about the injury -- in other words that the injury would not have occurred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(para. 8 (emphasis deleted)).</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 is a factual inquiry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at paras. 8 and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This case does not involve multiple tortfeasors: I have already found that Parkdale owed no duty of care to Ms. Scheck. Summerland did owe her a duty to inspect, and breached it by failing to follow its own written inspection policy. Accordingly, I decline to consider whether Summerland's breach "materially contributed" to Ms. Scheck's risk of injury, and will apply the general "but for"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find that because Summerland did not look for snow or ice on December 29, 2015, the steps necessary to remove it were not taken, either by Summerland notifying Parkdale of the icy condition so Parkdale could do what Bylaw 93-065 required of it, or by Summerland calling its contractor in the event of Parkdale's failure to deal with the snow and ice accumulation.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 conclude that Summerland's breach was a significant factor in Ms. Scheck's injury, as that phrase is used in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 23:</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[t]his Court,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Major J., discussed the limitations of the "but for" test and the propriety of exceptionally using a material contribution test. Major J. emphasized that a robust common sense approach to the "but for" test permits an inference of "but for" causation from evidence that the defendant's conduct was a significant factor in the injury, and concluded that "[t]he plaintiff must prove causation by meeting the 'but for' or material contribution test" (para. 41). Major J. concluded that the 25 percent contribution found by the trial judge was a "material contribution" sufficient to meet the "but for" test. The term "material contribution", read in context, does not detract from the fact that the Court in the end applied a robust, common sense application of the "but for" test, in accordance with </w:t>
      </w:r>
      <w:r>
        <w:rPr>
          <w:rFonts w:ascii="arial" w:eastAsia="arial" w:hAnsi="arial" w:cs="arial"/>
          <w:i/>
          <w:color w:val="000000"/>
          <w:sz w:val="20"/>
          <w:lang w:val="en-US" w:eastAsia="en-US" w:bidi="ar-SA"/>
        </w:rPr>
        <w:t>Snell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By inference, I find on the balance of probabilities that Summerland's failure to inspect for snow and ice was a cause of Ms. Scheck's slip, fall, and injury, and order Summerland to pay damages to Ms. Scheck, to be assessed or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 JOHNSTON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7" style="position:absolute;z-index:2517862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02" w:history="1">
        <w:r>
          <w:rPr>
            <w:rFonts w:ascii="arial" w:eastAsia="arial" w:hAnsi="arial" w:cs="arial"/>
            <w:b/>
            <w:bCs/>
            <w:i/>
            <w:color w:val="0077CC"/>
            <w:kern w:val="32"/>
            <w:sz w:val="28"/>
            <w:szCs w:val="32"/>
            <w:u w:val="single"/>
            <w:shd w:val="clear" w:color="auto" w:fill="FFFFFF"/>
            <w:lang w:val="en-US" w:eastAsia="en-US" w:bidi="ar-SA"/>
          </w:rPr>
          <w:t>Shaw v. Thody, [2014] B.C.J. No. 706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R.J. Sewell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2-6, 9-12,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23,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S053986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706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688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Martyn Shaw and Tammy Louise Shaw, Plaintiffs, and Margret Elaine Thody, Care Realty Ltd., John Alexander McKilligan, Crest Realty Ltd., carrying on business as Re/Max Crest Realty and Susan Gedge,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8" style="position:absolute;z-index:2516848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1" w:name="Keywords_24"/>
      <w:bookmarkEnd w:id="161"/>
      <w:r>
        <w:rPr>
          <w:rFonts w:ascii="arial" w:eastAsia="arial" w:hAnsi="arial" w:cs="arial"/>
          <w:b/>
          <w:color w:val="000000"/>
          <w:sz w:val="20"/>
          <w:lang w:val="en-US" w:eastAsia="en-US" w:bidi="ar-SA"/>
        </w:rPr>
        <w:t>Real property law — Real estate agents and brokers — Agent's duties to principal — Contractual and tort duties — Duty to disclose relevant information — Duty to disclose information — Duty to make full disclosure where information may affect property value — Action by plaintiffs against realtor for economic losses arising from decrease in value of their residence due to risk of future landslide dismissed — Plaintiffs purchased residence in 2001 — In 2005, landslide occurred three properties from their residence, which was not damaged — Previous landslide had occurred on property in 1979 — Geotechnical report indicated property at moderate to high risk — Plaintiffs had not established realtor should have been aware of facts that would suggest inquiries about geotechnical risks should have been made — Realtor did not fail to meet standard of care required of him.</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2" w:name="Case Summary_21"/>
            <w:bookmarkEnd w:id="16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plaintiffs against their realtor for economic losses arising from the decrease in value of their residence due to the risk of a future landslide. The plaintiffs purchased the residence, located on an escarpment, in 2001 for $395,000. The property disclosure statement made no reference to any geotechnical problems relating to the property. In 2005, a landslide occurred three properties from their residence. Their home was not damaged. A previous landslide had occurred on the property in 1979. A geotechnical report prepared after that landslide disclosed a significant risk of further landsides occurring on the escarpment and that the subject property was at moderate to high risk of major instability unless remedial measures were taken. After the 2005 landslide, the District took remedial measures to reduce the risk of further landslides. The plaintiffs had unsuccessfully attempted to sell the property. The realtor did not know an earlier landslide had occurred on the property or of the existence of the geotechnical report.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3" w:name="Holdings of Court_15"/>
            <w:bookmarkEnd w:id="163"/>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no evidence it was local knowledge in 2001 that there was a landslide hazard on the escarpment. The geotechnical report was not readily available to members of the public who would have made inquiries about the property in 2001. The plaintiffs had not established the realtor should have been aware of facts that would suggest inquiries about geotechnical risks should have been made. The realtor did not fail to meet the standard of care required of him by failing to make enquiries about the property at the District. The plaintiffs failed to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contract.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4" w:name="Legislation Cited_19"/>
      <w:bookmarkEnd w:id="16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9" style="position:absolute;z-index:2517360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11-6, Rule 12-5(4)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5" w:name="Counsel_25"/>
      <w:bookmarkEnd w:id="16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0" style="position:absolute;z-index:251787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J.L. Straith and K.J. Spears.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 Thody: G.S. McAlister.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 McKilligan and Care Realty Ltd.: W.E. Knutson,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6" w:name="Judgment_25"/>
      <w:bookmarkEnd w:id="166"/>
      <w:r>
        <w:pict>
          <v:line id="_x0000_s1151" style="position:absolute;z-index:25183744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7" w:name="R.J. SEWELL J."/>
            <w:bookmarkEnd w:id="167"/>
            <w:r>
              <w:rPr>
                <w:rFonts w:ascii="arial" w:eastAsia="arial" w:hAnsi="arial" w:cs="arial"/>
                <w:b/>
                <w:color w:val="000000"/>
                <w:sz w:val="30"/>
                <w:lang w:val="en-US" w:eastAsia="en-US" w:bidi="ar-SA"/>
              </w:rPr>
              <w:t>R.J. SEWELL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Many people are attracted to live in North Vancouver by its scenic beauty and proximity to nature. However, in the past some properties there were developed in a manner that did not adequately take the forces of nature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case involves one such property, 2217 Berkley Avenue, in the District of North Vancouver. It is located on what is known either as the Berkley Escarpment or the Berkley Riverside Escarpment (the "Escarpment"). 2217 Berkley is part of a subdivision developed in the 1950s or 1960s. In the course of the development, fill was placed on the lots along Berkley Avenue to create level building lots. Unfortunately the developer appears not to have taken adequate measures to ensure the geotechnical stability of the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December 1979, there was a landslide involving some of the lots on Berkley Avenue, including 2217 Berkley. As a result the District commissioned geotechnical reports from Golder and Associates and from Klohn Leonoff, both geotechnical engineering firms. These reports disclosed a significant risk of further landslides occurring on the Escarpment. The Klohn Leonoff Report concluded that 2217 Berkley faced a moderate to high risk of major instability unless remedial measures were 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December 2001, the plaintiff, Tammy Shaw, purchased 2217 Berkley. Early in the morning of January 19, 2005, a heavy rainstorm saturated the fill that had been placed on the slope of the Escarpment, triggering a landslide on Berkley Avenue. The landslide did not occur directly on 2217 Berkley but on a lot three lots down Berkley Avenue. One person was killed and another seriously injured when debris from the landslide damaged a house on Chapman Way at the base of the Escarpment. The plaintiffs and their children, along with many other residents of homes on and below the Escarpment, were evacuated overnight but permitted to return to their homes the next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commenced this action on September 22, 2008 against a number of defendants including the District of North Vancouver, Linda and Alfred Kersche, the persons from whom they purchased 2217 Berkley, the realtor who acted on behalf of the Kersches and her employer. However, by the time this case came to trial in December 2013, the only remaining defendants were Margret Elaine Thody, a former owner of 2217 Berkley, the plaintiffs' realtor John McKilligan, and Care Realty Ltd., Mr. McKilligan's Realty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2005 landslide did not cause any physical damage to 2217 Berkley. The plaintiffs' claim is for economic loss. They allege that the risk of a future landslide on the Escarpment has adversely affected the value of 2217 Berkley as compared to similar properties in the area not located on the Escarpment. Alternatively, they allege that the unstable geotechnical condition identified in the Klohn Leonoff Report is a latent defect that must be remedied.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say Ms. Thody knew the 1979 landslide had occurred on 2217 Berkley, and she was aware or ought to have been aware of the contents of the Klohn Leonoff Report. Ms Thody occupied 2217 Berkley at the time of the 1979 landslide but did not do anything to contribute to the unstable slope conditions on the Escarpment. The plaintiffs alleged that Ms. Thody owed a duty not only to whomever she sold 2217 Berkley but also to subsequent purchasers of the property to disclose the risk of instability and her knowledge of the conclusions of the Klohn Leonoff Report. The theory of the plaintiffs' case against Ms. Thody was that if Ms. Thody had disclosed these risks to the Kersches, they in turn would have been able and under a duty to disclose them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At the close of the plaintiffs case I granted Ms. Thody's application to dismiss the claim against her pursuant to Rule 12-5(4)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on the basis that there was not sufficient proximity between the plaintiffs and Ms. Thody to give rise to a duty of care to them on her part and that there were broader policy reasons for denying a duty on the part of persons selling their homes to warn subsequent purchasers about defects in the home not caused by them. In so doing I adopted the analysis of Joyce J. in </w:t>
      </w:r>
      <w:r>
        <w:rPr>
          <w:rFonts w:ascii="arial" w:eastAsia="arial" w:hAnsi="arial" w:cs="arial"/>
          <w:i/>
          <w:color w:val="000000"/>
          <w:sz w:val="20"/>
          <w:lang w:val="en-US" w:eastAsia="en-US" w:bidi="ar-SA"/>
        </w:rPr>
        <w:t>Carew v. Goose</w:t>
      </w:r>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2005 BCSC 949</w:t>
        </w:r>
      </w:hyperlink>
      <w:r>
        <w:rPr>
          <w:rFonts w:ascii="arial" w:eastAsia="arial" w:hAnsi="arial" w:cs="arial"/>
          <w:color w:val="000000"/>
          <w:sz w:val="20"/>
          <w:lang w:val="en-US" w:eastAsia="en-US" w:bidi="ar-SA"/>
        </w:rPr>
        <w:t xml:space="preserve"> at paras. 98-106.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These reasons therefore address only the claims against Mr. McKilligan and Care Realty.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2001, the plaintiffs decided to purchase a larger home for their family. They began by putting the home they owned at that time on the market. Because their regular realtor was out of the country for an extended period they chose Mr. McKilligan to act as their realtor. They listed their home with Mr. McKilligan and Ms. Shaw and Mr. McKilligan began to look for a suitable new home. The plaintiffs had two school aged children and wanted to find a home in the same school catchment area as their former home. In December 2001, Ms. Shaw noticed a listing for 2217 Berkley on the internet and at about the same time Mr. McKilligan also brought it to her attention. At that time the Vancouver area real-estate market was going through a period of rapid price increases and short supply of available homes.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Shaw and Mr. McKilligan viewed the home twice. Mr. Shaw was out of town at that time and only returned in time to quickly inspect the home at the end of the second viewing. Ms. Shaw testified that she fell in love with the home because of its park like setting and because it fit the family's desire for larger accommodation in the Hamilton School catchment area. Ms. Shaw made an offer and, after some negotiation, executed an agreement to purchase the property for $395,000 on December 14, 2001. For reasons not related to these proceedings, Ms. Shaw purchased the property in her name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purchase agreement contained a standard clause making it subject to a satisfactory building inspection. Ms. Shaw did order and receive an inspection report for the property but was unable to locate it when this litigation commenced. Her evidence is that the only thing the inspector brought to her attention with respect to slope stability was that a shed at the rear of the property appeared to be sloped slightly. She stated that the inspector told her this was nothing to be concerned about.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purchase agreement incorporated a property disclosure statement dated December 10, 2001 in the standard form then used by the Real Estate Board of Greater Vancouver. The property disclosure statement made no reference to any geotechnical problems relating to the property but did disclose that the shed at the rear of the property sloped.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Based on the information she had available, Ms. Shaw removed the subject clauses from the purchase agreement and completed the purchase of 2217 Berkley on February 25,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McKilligan did not mention any problems about the property to Ms. Shaw before she purchased it and in particular did not advise her about any geotechnical issues that might affect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2004 Mr. Shaw contracted for the construction of a garage on the property. In connection with that construction Ms. Shaw, as the sole registered owner, was required to obtain building permits. However, Mr. Shaw dealt with the District of North Vancouver with respect to obtaining the necessary permits. He testified that he went to the District offices to enquire about 2217 Berkley and was told that the District had nothing on file concerning it. In connection with the construction, the District sent a letter to Ms. Shaw requiring that perimeter drains be installed and connected to the District's storm sewer system. However in 2004 there was no storm sewer on Berkley Avenue, so the perimeter drains were connected to a sump on the property and ultimately drained to the slope at the rear.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After the 2005 landslide, the plaintiffs made inquiries about the geotechnical history of the Escarpment. As a result of those inquiries they became aware of the 1979 landslide and learned that a small portion of the fill at the back of 2217 Berkley had slid down the Escarpment in that landslide. They also learned that the Klohn Leonoff Report identified 2217 Berkley as having a moderate to high risk of instability and recommended fill be removed to address that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District turned its attention to geotechnical issues on the Escarpment in the wake of the 2005 landslide. It arranged for geotechnical reports to address those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On January 13, 2006, BGC Engineering Inc. delivered a report to the District entitled </w:t>
      </w:r>
      <w:r>
        <w:rPr>
          <w:rFonts w:ascii="arial" w:eastAsia="arial" w:hAnsi="arial" w:cs="arial"/>
          <w:i/>
          <w:color w:val="000000"/>
          <w:sz w:val="20"/>
          <w:lang w:val="en-US" w:eastAsia="en-US" w:bidi="ar-SA"/>
        </w:rPr>
        <w:t>Phase 1 Risk Assessment with Respect to Berkley Landslide Risk Management</w:t>
      </w:r>
      <w:r>
        <w:rPr>
          <w:rFonts w:ascii="arial" w:eastAsia="arial" w:hAnsi="arial" w:cs="arial"/>
          <w:color w:val="000000"/>
          <w:sz w:val="20"/>
          <w:lang w:val="en-US" w:eastAsia="en-US" w:bidi="ar-SA"/>
        </w:rPr>
        <w:t>. A Phase 2 risk assessment report, issued May 11, 2006, assessed various options to reduce the risk of future landslides on a cost benefit analysis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District also undertook remedial measures to reduce the risk of further landslides. These included the installation of a storm sewer along Berkley Avenue, the acquisition of the four lots immediately to the southwest of 2217 Berkley and the demolition of the homes on those lots, removal of fill on six designated properties and the installation of monitoring devices along the top of the Escarpment.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On January 15, 2007, BGC Engineering issued a final report entitled </w:t>
      </w:r>
      <w:r>
        <w:rPr>
          <w:rFonts w:ascii="arial" w:eastAsia="arial" w:hAnsi="arial" w:cs="arial"/>
          <w:i/>
          <w:color w:val="000000"/>
          <w:sz w:val="20"/>
          <w:lang w:val="en-US" w:eastAsia="en-US" w:bidi="ar-SA"/>
        </w:rPr>
        <w:t>Updated Landslide Risk Assessment Following Stage 1 Mitigation</w:t>
      </w:r>
      <w:r>
        <w:rPr>
          <w:rFonts w:ascii="arial" w:eastAsia="arial" w:hAnsi="arial" w:cs="arial"/>
          <w:color w:val="000000"/>
          <w:sz w:val="20"/>
          <w:lang w:val="en-US" w:eastAsia="en-US" w:bidi="ar-SA"/>
        </w:rPr>
        <w:t>. The report concluded that at that time no potential landslide sources posed an unacceptable societal or individual risk to occupants of homes along the Escarpment. The report defined an acceptable risk as a risk of anyone living on the Escarpment dying in a landslide being less than 1 in 100,000 in any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District also significantly improved its ability to access historical information about the properties on or below the Escarpment and make that information available to the public by setting up a website that allowed access to geotechnical information in its possession, including the Golder and Klohn Leonoff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After the 2005 landslide, the plaintiffs decided they no longer wished to live at 2217 Berkley. Ms. Shaw listed the property for sale initially at a price of $739,000 from May 2005 to May 2006. This price was arrived at by comparing the prices of other homes listed in the same general area. They received only one offer, at $111,000 below their asking price. They did not accept the offer. Having received no other offers, they took 2217 Berkley off the market on May 31,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After taking the property off the market the plaintiffs made inquiries about the cost of remediating the property to reduce the risk of a landslide occurring on it. However the costs quoted to them for such remediation exceeded their resources. The plaintiffs have recently made further efforts to sell their home but have been unable to obtain any offers at a price equivalent to the price of similar homes in the area that are not on the Escarpment.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this action the plaintiffs seek damages against Mr. McKilligan and Care Realty. Although the actions of Mr. McKilligan form the basis of their claim against both of these defendants, they acknowledge that any claim against him personally has been discharged as a result of Mr. McKilligan having filed an assignment in bankruptcy and being discharged from that bankruptcy.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It is however agreed that Care Realty is vicariously liable for any fault on the part of Mr. McKilligan. It is also agreed that there was an agency relationship between Ms. Shaw and Care Realty that imposed a duty of care directly on Care Realty.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plaintiffs' allegations against Mr. McKilligan and Care Realty are:</w:t>
      </w:r>
      <w:r>
        <w:rPr>
          <w:rFonts w:ascii="arial" w:eastAsia="arial" w:hAnsi="arial" w:cs="arial"/>
          <w:sz w:val="20"/>
          <w:lang w:val="en-US" w:eastAsia="en-US" w:bidi="ar-SA"/>
        </w:rPr>
        <w:cr/>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McKilligan owed a duty of care as a fiduciary and agent.</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McKilligan failed to make reasonable efforts to investigate the geotechnical stability of the slope.</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McKilligan failed to exercise reasonable care and skill in providing information and opinion to the plaintiffs.</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McKilligan failed to make reasonable investigations as to the accuracy and completeness of information provided by the vendors.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plaintiffs did not advance any claim for breach of fiduciary duty at trial. There is no dispute that Care Realty owed a duty of care to the plaintiffs as well as a contractual duty as Ms. Shaw's agent. Therefore the sole issue is whether Care Realty failed to discharge its duty to Ms. Shaw. Care Realty also submits that Ms. Shaw has not proven she suffered any damages as a result of any failure on its part to discharge its duty of care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parties are in basic agreement as to the elements necessary to establish a claim either in contract or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circumstances of this case. The plaintiffs must establish that a duty of care was owed, the standard of care necessary to discharge that duty and that the defendant failed to meet that standard of care. In </w:t>
      </w:r>
      <w:r>
        <w:rPr>
          <w:rFonts w:ascii="arial" w:eastAsia="arial" w:hAnsi="arial" w:cs="arial"/>
          <w:i/>
          <w:color w:val="000000"/>
          <w:sz w:val="20"/>
          <w:lang w:val="en-US" w:eastAsia="en-US" w:bidi="ar-SA"/>
        </w:rPr>
        <w:t>Summit Staging Ltd. v. 596373 BC Ltd.</w:t>
      </w:r>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2008 BCSC 198</w:t>
        </w:r>
      </w:hyperlink>
      <w:r>
        <w:rPr>
          <w:rFonts w:ascii="arial" w:eastAsia="arial" w:hAnsi="arial" w:cs="arial"/>
          <w:color w:val="000000"/>
          <w:sz w:val="20"/>
          <w:lang w:val="en-US" w:eastAsia="en-US" w:bidi="ar-SA"/>
        </w:rPr>
        <w:t>, Rice J. succinctly stated the principle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Summit must establish what standard of care was owed and that Mr. Burmy failed to meet this standard. The authorities show that the price, if it was accepted in reliance upon the advice of the agent, must be adequate and the transaction must be a righteous one: </w:t>
      </w:r>
      <w:r>
        <w:rPr>
          <w:rFonts w:ascii="arial" w:eastAsia="arial" w:hAnsi="arial" w:cs="arial"/>
          <w:i/>
          <w:color w:val="000000"/>
          <w:sz w:val="20"/>
          <w:lang w:val="en-US" w:eastAsia="en-US" w:bidi="ar-SA"/>
        </w:rPr>
        <w:t>Re Crackle and/or Greyfriars Realty Ltd.</w:t>
      </w:r>
      <w:r>
        <w:rPr>
          <w:rFonts w:ascii="arial" w:eastAsia="arial" w:hAnsi="arial" w:cs="arial"/>
          <w:color w:val="000000"/>
          <w:sz w:val="20"/>
          <w:lang w:val="en-US" w:eastAsia="en-US" w:bidi="ar-SA"/>
        </w:rPr>
        <w:t xml:space="preserve"> </w:t>
      </w:r>
      <w:hyperlink r:id="rId405" w:history="1">
        <w:r>
          <w:rPr>
            <w:rFonts w:ascii="arial" w:eastAsia="arial" w:hAnsi="arial" w:cs="arial"/>
            <w:i/>
            <w:color w:val="0077CC"/>
            <w:sz w:val="20"/>
            <w:u w:val="single"/>
            <w:shd w:val="clear" w:color="auto" w:fill="FFFFFF"/>
            <w:lang w:val="en-US" w:eastAsia="en-US" w:bidi="ar-SA"/>
          </w:rPr>
          <w:t>(1983), 47 B.C.L.R. 256</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Kingpin Investments Ltd. v. Melton Real Estate Ltd.,</w:t>
      </w:r>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(1977), 7 A.R. 567</w:t>
        </w:r>
      </w:hyperlink>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3 Alta. L.R. (2d) 324</w:t>
        </w:r>
      </w:hyperlink>
      <w:r>
        <w:rPr>
          <w:rFonts w:ascii="arial" w:eastAsia="arial" w:hAnsi="arial" w:cs="arial"/>
          <w:color w:val="000000"/>
          <w:sz w:val="20"/>
          <w:lang w:val="en-US" w:eastAsia="en-US" w:bidi="ar-SA"/>
        </w:rPr>
        <w:t xml:space="preserve"> (S.C. (T.D.)).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plaintiffs' position is that as a realtor whose principal area of operation was the North Shore, Mr. McKilligan should have been aware that there had been geotechnical issues relating to the Escarpment in the past and that he was in fact made aware of such concerns before acting on behalf of Ms. Shaw. In or about 2000 Mr. McKilligan represented purchasers of a property on Riverside Drive located at the foot of the Escarpment. At that time, the purchasers expressed concern about the steep slope above the property and Mr. McKilligan advised them to go to the District of North Vancouver and make inquiries about whether there were any concerns about the area. His evidence, which I accept, is that his client reported back to him that she had been told by the engineering department of the District that there was nothing to worry about.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found Mr. McKilligan to be a credible witness and I accept his evidence about his knowledge of landslide risk. He did acknowledge that he had some recollection about a slide or slides that had occurred in that area around 1979 or 1980. I find that he had a vague recollection of an earlier landslide that occurred about 1980 but had no specific knowledge about that event. I accept that he did not know that the earlier slide had occurred on 2217 Berkley. I also find that nothing that occurred with respect to the transaction involving the property on Riverside Drive would reasonably have alerted him about a landslide risk with respect to 2217 Berkley.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my view, therefore, the critical issue in this case is the extent to which Mr. McKilligan was required to make inquiries with respect to the risks associated with properties on the Escarpment.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There can be little doubt that if Mr. McKilligan had knowledge of the Golder or Klohn Leonoff reports he would have had a duty to disclose them to Ms. Shaw and advise her to obtain advice with respect to the geotechnical risks to the properties on Berkley Avenue. However, as he was not aware of them in 2001 and 2002, the issue is whether he failed to meet the required standard of care in failing to make inquiries about the landslide risks of the Escarpment and, if he had, whether those inquiries would have disclosed the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onus is on the plaintiffs to establish the standard of care required of Mr. McKilligan and Care Realty. Except in cases in which the court can readily determine that a standard of care has not been met expert evidence is required to establish the accepted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above principle is found in numerous cases in this court. Recently it was summarized by Kloegman J. in </w:t>
      </w:r>
      <w:r>
        <w:rPr>
          <w:rFonts w:ascii="arial" w:eastAsia="arial" w:hAnsi="arial" w:cs="arial"/>
          <w:i/>
          <w:color w:val="000000"/>
          <w:sz w:val="20"/>
          <w:lang w:val="en-US" w:eastAsia="en-US" w:bidi="ar-SA"/>
        </w:rPr>
        <w:t>Perrault v. North Vancouver (District)</w:t>
      </w:r>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2010 BCSC 382</w:t>
        </w:r>
      </w:hyperlink>
      <w:r>
        <w:rPr>
          <w:rFonts w:ascii="arial" w:eastAsia="arial" w:hAnsi="arial" w:cs="arial"/>
          <w:color w:val="000000"/>
          <w:sz w:val="20"/>
          <w:lang w:val="en-US" w:eastAsia="en-US" w:bidi="ar-SA"/>
        </w:rPr>
        <w:t xml:space="preserve"> at paras. 15-19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Specifically, the defendants say evidence is required to establish the standard practice of realtors in the relevant time period, by attesting to such things as:</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investigation that a reasonably prudent listing realtor would carry out in listing a property for sale;</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if any to which those investigations would involve inquiry into the history of the property;</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if any which those investigations would involve inquiries of the District of North Vancouver, and the nature of any such inquiries;</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Information regarding the training and licensing of realtors;</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Relevant passages from practice manuals, guidelines, codes of ethics, business practices, and other publications existing in the profession at the relevant time;</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standard practice of a reasonably prudent realtor relating to the completion by a vendor of a disclosure statement;</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if any, of discussions between a reasonably prudent listing agent and the vendor about the information provided by the vendor on the Disclosure Statement.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Similar comments apply to the type of evidence that would be required to establish the standard practice of the purchaser's agent.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The plaintiffs submit that expert evidence is not required to establish what in their view is a clear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plaintiffs' counsel submits that the law governing realtors'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set the standard of care of a reasonable and prudent realtor. He points out a quotation taken from William Foster, </w:t>
      </w:r>
      <w:r>
        <w:rPr>
          <w:rFonts w:ascii="arial" w:eastAsia="arial" w:hAnsi="arial" w:cs="arial"/>
          <w:i/>
          <w:color w:val="000000"/>
          <w:sz w:val="20"/>
          <w:lang w:val="en-US" w:eastAsia="en-US" w:bidi="ar-SA"/>
        </w:rPr>
        <w:t>Real Estate Agency Law</w:t>
      </w:r>
      <w:r>
        <w:rPr>
          <w:rFonts w:ascii="arial" w:eastAsia="arial" w:hAnsi="arial" w:cs="arial"/>
          <w:color w:val="000000"/>
          <w:sz w:val="20"/>
          <w:lang w:val="en-US" w:eastAsia="en-US" w:bidi="ar-SA"/>
        </w:rPr>
        <w:t xml:space="preserve">, (Toronto: Carswell, 1984) at p. 245 as cited in </w:t>
      </w:r>
      <w:r>
        <w:rPr>
          <w:rFonts w:ascii="arial" w:eastAsia="arial" w:hAnsi="arial" w:cs="arial"/>
          <w:i/>
          <w:color w:val="000000"/>
          <w:sz w:val="20"/>
          <w:lang w:val="en-US" w:eastAsia="en-US" w:bidi="ar-SA"/>
        </w:rPr>
        <w:t>Sedgemore v. Block Bros. Realty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(1985), 39 R.P.R. 38</w:t>
      </w:r>
      <w:r>
        <w:rPr>
          <w:rFonts w:ascii="arial" w:eastAsia="arial" w:hAnsi="arial" w:cs="arial"/>
          <w:color w:val="000000"/>
          <w:sz w:val="20"/>
          <w:lang w:val="en-US" w:eastAsia="en-US" w:bidi="ar-SA"/>
        </w:rPr>
        <w:t xml:space="preserve">, at p. 49 (B.C.S.C.), as well as </w:t>
      </w:r>
      <w:r>
        <w:rPr>
          <w:rFonts w:ascii="arial" w:eastAsia="arial" w:hAnsi="arial" w:cs="arial"/>
          <w:i/>
          <w:color w:val="000000"/>
          <w:sz w:val="20"/>
          <w:lang w:val="en-US" w:eastAsia="en-US" w:bidi="ar-SA"/>
        </w:rPr>
        <w:t>Brown v. Fritz</w:t>
      </w:r>
      <w:r>
        <w:rPr>
          <w:rFonts w:ascii="arial" w:eastAsia="arial" w:hAnsi="arial" w:cs="arial"/>
          <w:color w:val="000000"/>
          <w:sz w:val="20"/>
          <w:lang w:val="en-US" w:eastAsia="en-US" w:bidi="ar-SA"/>
        </w:rPr>
        <w:t xml:space="preserve">, </w:t>
      </w:r>
      <w:hyperlink r:id="rId408" w:history="1">
        <w:r>
          <w:rPr>
            <w:rFonts w:ascii="arial" w:eastAsia="arial" w:hAnsi="arial" w:cs="arial"/>
            <w:i/>
            <w:color w:val="0077CC"/>
            <w:sz w:val="20"/>
            <w:u w:val="single"/>
            <w:shd w:val="clear" w:color="auto" w:fill="FFFFFF"/>
            <w:lang w:val="en-US" w:eastAsia="en-US" w:bidi="ar-SA"/>
          </w:rPr>
          <w:t>[1993] B.C.J. No. 2182</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Bolton v. Salaga</w:t>
      </w:r>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[1989] B.C.J. No. 1565</w:t>
        </w:r>
      </w:hyperlink>
      <w:r>
        <w:rPr>
          <w:rFonts w:ascii="arial" w:eastAsia="arial" w:hAnsi="arial" w:cs="arial"/>
          <w:color w:val="000000"/>
          <w:sz w:val="20"/>
          <w:lang w:val="en-US" w:eastAsia="en-US" w:bidi="ar-SA"/>
        </w:rPr>
        <w:t xml:space="preserve">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The relevant portion of the quotation from </w:t>
      </w:r>
      <w:r>
        <w:rPr>
          <w:rFonts w:ascii="arial" w:eastAsia="arial" w:hAnsi="arial" w:cs="arial"/>
          <w:i/>
          <w:color w:val="000000"/>
          <w:sz w:val="20"/>
          <w:lang w:val="en-US" w:eastAsia="en-US" w:bidi="ar-SA"/>
        </w:rPr>
        <w:t>Real Estate Agency Law</w:t>
      </w:r>
      <w:r>
        <w:rPr>
          <w:rFonts w:ascii="arial" w:eastAsia="arial" w:hAnsi="arial" w:cs="arial"/>
          <w:color w:val="000000"/>
          <w:sz w:val="20"/>
          <w:lang w:val="en-US" w:eastAsia="en-US" w:bidi="ar-SA"/>
        </w:rPr>
        <w:t xml:space="preserve"> is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broker must at least check the completeness and accuracy, both of all information which is usual or customary for brokers to verify, and of all other information as to the completeness and accuracy of which he [or she] is in doubt.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The difficulty with this submission of the plaintiffs is that there is no evidence before me as to what information is usual or customary for brokers to verify. Put another way, is searching the Municipal Planning Department or the Public Library for notices or claims issued by a public body over two decades earlier a usual or customary step taken by a reasonable and prudent realtor? The same question could be asked about searching for geotechnical reports that were issued over twenty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Perrault</w:t>
      </w:r>
      <w:r>
        <w:rPr>
          <w:rFonts w:ascii="arial" w:eastAsia="arial" w:hAnsi="arial" w:cs="arial"/>
          <w:color w:val="000000"/>
          <w:sz w:val="20"/>
          <w:lang w:val="en-US" w:eastAsia="en-US" w:bidi="ar-SA"/>
        </w:rPr>
        <w:t xml:space="preserve"> arose out the same landslide that gave rise to this action. The allegations made in that case against the realtor were similar to those made in this case. In my view, the comments made in paragraph 19 of </w:t>
      </w:r>
      <w:r>
        <w:rPr>
          <w:rFonts w:ascii="arial" w:eastAsia="arial" w:hAnsi="arial" w:cs="arial"/>
          <w:i/>
          <w:color w:val="000000"/>
          <w:sz w:val="20"/>
          <w:lang w:val="en-US" w:eastAsia="en-US" w:bidi="ar-SA"/>
        </w:rPr>
        <w:t>Perrault</w:t>
      </w:r>
      <w:r>
        <w:rPr>
          <w:rFonts w:ascii="arial" w:eastAsia="arial" w:hAnsi="arial" w:cs="arial"/>
          <w:color w:val="000000"/>
          <w:sz w:val="20"/>
          <w:lang w:val="en-US" w:eastAsia="en-US" w:bidi="ar-SA"/>
        </w:rPr>
        <w:t xml:space="preserve"> apply equally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only expert evidence led by the plaintiffs on the issue of standard of care was from Mr. Mark Lester. Counsel for the defendants objected to the admission of Mr. Lester's opinion letter. However I admitted it into evidence even though it did not comply with the requirements of Rule 11-6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I did so in part because of the necessity for expert evidence in this case on the critical issue of standard of care. I did however rule that that portion of his opinion that referred to the Realtor Code of Conduct was not relevant because the Code referred to was not in force in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Lester's opinion was that once a realtor becomes aware of a material defect such as a geotechnical hazard the realtor has an obligation to disclose that defect to the parties involved in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defendants take no issue with that statement. However they submit that in this case is Mr. McKilligan was not aware of any such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core of Mr. Lester's opinion is found in the following paragraph: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situation, it would appear to me that any Realtors working within this marketplace should have been aware that this part of North Vancouver was known to have geotechnical Issues that might affect property values. Presumably, the historic sale prices of some of the homes near or on the District Escarpment would have been affected by local knowledge of these issues. If a Realtor was not aware of the potential for a slide in this area, however, a simple Inquiry to the District of North Vancouver would have revealed that the potential hazard had been documented. In such case a prudent Realtor should have made the effort to obtain any documentation related to the geotechnical analyses that had been undertaken. Once the Realtor is aware of a material defect such as a geotechnical hazard or environmental contamination, that Realtor has an obligation to, at least, disclose such defects to all parties involved in a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Lester does not expressly state what facts constitute the "situation" referred to at the beginning of the above quoted paragraph. As I read his opinion, it appears that he assumed that the situation included two factors: historical sale prices of homes at or near the top of the Escarpment had been affected by local knowledge of a slide risk; and a simple enquiry at the District of North Vancouver would have disclosed that the hazard had been documented. However neither of these assumed factors has been established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defendant's expert, Mr. Kitsul, prepared an appraisal survey comparing pre landslide historical prices of homes on the Escarpment to other similar homes in the area that were not on the Escarpment. He concluded there was no compelling evidence that sale prices of homes in the vicinity of the Escarpment differed from other comparable homes. I accept his evidence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addition, there is simply no evidence that it was local knowledge in 2001 that there was a landslide hazard on the Escarpment. Similarly, I conclude from the evidence that the Golder and Klohn Leonoff reports were not readily available to members of the public who would have made inquiries about 2217 Berkley in 2001. The purchasers of the Riverside Drive property that Mr. McKilligan was involved in were not informed of any landslide risk associated with the Escarpment in general. Mr. Shaw was told there was nothing on file concerning 2217 Berkley when he made inquiries in connection with permits for the garage constructed in 2004. The evidence established that the Golder and Klohn Leonoff reports were kept in the library of the engineering department of the District. However, it appears that by 2001 they had been largely forgotten.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addition, Mr. Lester did not assert that a prudent realtor ought to make inquiries about geotechnical risks in every case but only when there were facts that he or she ought to have been aware of that would suggest such inquiries should be made. Ms. Shaw has not established that Mr. McKilligan ought to have been aware of any such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Lester's report does not address what inquiries a real estate agent without knowledge of geotechnical defects should make. His report therefore does not provide any evidence of the standard of care required of a real estate agent in the circumstances of this case. It therefore does not assist the plaintiffs in establishing that Mr. McKilligan failed to meet the required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the absence of any such evidence I am unable to find that Mr. McKilligan failed to meet the standard of care required of him by failing to make enquiries about the property at the offices of the District of North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am also not satisfied that any enquiries would have disclosed the existence of the Golder and Klohn Leonoff reports. While those reports were in the library of the engineering department they do not appear to have been posted publicly. By 2002 the reports were over 20 years old and there is no evidence their existence was widely known. I am satisfied on the evidence presented in this case that the reports only became generally known after the 2005 landslide.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Accordingly I conclude that the plaintiffs have failed to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contract and the action against Care Realty Ltd.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considered assessing the plaintiffs' damages in the event I am wrong in concluding that they have not established liability. However I decline to do so. The plaintiffs tendered evidence of a quotation from a contractor for removing the fill from 2217 Berkley. However I ruled that evidence to be inadmissible because it was opinion evidence and the plaintiffs had not met the requirements for the admission of the opinion. In addition they led evidence about their own efforts to sell their home and being unable to obtain what they considered to be a price equivalent to other homes that were not on the Escarpment but did not lead any appraisal evidence to support the alleged price differential.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If I had decided that Ms. Shaw had established liability I would have invited submissions as to whether I should permit the plaintiffs to reopen their case to lead further evidence on damages. However, in view of my decision on liability I do not think it is appropriate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action against Care Realty Ltd.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Care Realty Ltd. and Margret Thody are entitled to their costs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R.J. SEWELL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2" style="position:absolute;z-index:2518824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16" w:history="1">
        <w:r>
          <w:rPr>
            <w:rFonts w:ascii="arial" w:eastAsia="arial" w:hAnsi="arial" w:cs="arial"/>
            <w:b/>
            <w:bCs/>
            <w:i/>
            <w:color w:val="0077CC"/>
            <w:kern w:val="32"/>
            <w:sz w:val="28"/>
            <w:szCs w:val="32"/>
            <w:u w:val="single"/>
            <w:shd w:val="clear" w:color="auto" w:fill="FFFFFF"/>
            <w:lang w:val="en-US" w:eastAsia="en-US" w:bidi="ar-SA"/>
          </w:rPr>
          <w:t>Singh v. Bains, [2007] B.C.J. No. 2197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 Morrison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25-29 and September 24-27,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5,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S050256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2197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1500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162 A.C.W.S. (3d) 849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Karamjeet Kour Singh, also known as Karamjeet Kour Waters, Plaintiff, and Joginder Singh Bains, also known as Giani Joginder Singh Bains and Darshan Kaur Bains,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3"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8" w:name="Keywords_25"/>
      <w:bookmarkEnd w:id="168"/>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The plaintiff was found to have been sexually assaulted numerous times by her uncle, the defendant, from the ages of 8 to 18 — Her aunt was found to have breached her duty of care to protect the child, and to have collaborated with the child's grandmother to insert an IUD into her at age 12 without her consent.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Trespass to person — Sexual assault — The plaintiff was found to have been sexually assaulted numerous times by her uncle, the defendant, from the ages of 8 to 18 — Her aunt was found to have breached her duty of care to protect the child, and to have collaborated with the child's grandmother to insert an IUD into her at age 12 without her consent.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9" w:name="Case Summary_22"/>
            <w:bookmarkEnd w:id="16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sued for damages for historical sexual assaults alleged perpetrated by her uncle, the defendant Giani Joginder Singh Bains from the time the plaintiff was 8 years old until she was 18 -- She also sued her aunt Darshan for breaching her duty of care and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failing to protect her from Joginder -- The defendants each categorically denied the allegations -- HELD: The court found the plaintiff was completely credible and accepted her evidence -- The evidence of several of the other witnesses was corroborative, on issues both major and minor -- The court did not believe the evidence of the defendant Joginder -- The allegations could hardly be more serious, and the plaintiff had met the onus of proof on a balance of probabilities -- The fact Darshan was the plaintiff's aunt, that the plaintiff's mother had died recently, and that the plaintiff and her brother spent substantial amounts of time there, taken together with the gross nature of the illegal acts of Joginder, established without question a duty of care owed to the plaintiff, and a serious breach of that duty of care -- The aunt had not only taken no steps to prevent the attacks, but collaborated with the plaintiff's grandmother to have an IUD inserted into a 12-13 year old child at the onset of puberty without her consent -- The plaintiff had suffered serious physical and psychological harm; counsel would make submissions as to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0" w:name="Counsel_26"/>
      <w:bookmarkEnd w:id="17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4"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C. Frederick Easton.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G. Jack Harris,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1" w:name="Judgment_26"/>
      <w:bookmarkEnd w:id="171"/>
      <w:r>
        <w:pict>
          <v:line id="_x0000_s1155" style="position:absolute;z-index:2517882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2" w:name="N.E. MORRISON J."/>
            <w:bookmarkEnd w:id="172"/>
            <w:r>
              <w:rPr>
                <w:rFonts w:ascii="arial" w:eastAsia="arial" w:hAnsi="arial" w:cs="arial"/>
                <w:b/>
                <w:color w:val="000000"/>
                <w:sz w:val="30"/>
                <w:lang w:val="en-US" w:eastAsia="en-US" w:bidi="ar-SA"/>
              </w:rPr>
              <w:t>N.E. MORRISON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Karamjeet Kour Singh, also known as Karamjeet Kour Waters, is now known as Mrs. Vicki Waters ("Vicki"). Her claim against the defendants is based on allegations of sexual assault by the defendant, Joginder Singh Bains, also known as Giani Joginder Singh Bains ("Joginder") during the time that the plaintiff was a child, age 8 to 18 years; the allegations are that the assaults began in 1966.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plaintiff's claim against Darshan Kaur Bains ("Darshan"), her aunt, is that in spite of disclosures of the sexual assaults at the time to her aunt, the defendant Darshan Bains breached her duty of care to the plaintiff, or, alternatively, was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reason of her failure to act to protect the plaintiff from the harm that she was suffering by the actions of Joginder Bains, the husband of Darshan.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As a result of the actions or failure to act of the defendants, the plaintiff claims to have suffered physical and psychological harm, including impairment of normal and proper childhood, social, interpersonal and sexual development, impairment of her ability to maintain a normal marital and sexual relationship with her husband, impairment of her ability to trust others and to enter into trusting relationships with others, impairment of her mental and physical health, and of her ability to effectively control her emotions; also stress, loss of enjoyment of life, and impairment of her sense of self-esteem.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Pending a finding on liability, counsel for the plaintiff would seek to make later submissions on damages by written or oral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By way of defence, the defendants deny each and every allegation of the plaintiff. The male defendant specifically denies that he treated the plaintiff in any way that was inappropriate and absolutely denies that he participated in any form of sexual impropriety or abuse. Nor did he ever threaten the plaintiff or physically assault her or cause her physical harm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Both defendants deny they had any duty of care toward the plaintiff, other than to treat her as they would any other child her age. The defendant, Darshan Kaur Bains, specifically denies ever having heard any allegations that her husband was in any way inappropriate in his behaviour to the plaintiff. Nor was she ever part of the plaintiff's care-giving team. She denies having any parental authority over the plaintiff, or any fiduciary care in her upbringing. Finally, the defendant, Darshan Bains, denies any breach in any duty of care to the plaintiff and denies being negligent in any way by failing to protect the plaintiff from any alleged harm. The defendants seek costs at the highest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was born May 24, 1957, and is now 50 years of age. Her father, Sabick Singh Dhaliwal ("Sabick") is the eldest of five children born to Giani Harnan Singh and Jagdish Kaur Singh ("Jagdish"), a respected couple in the Indo-Canadian community in the Lower Mainland.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Sabick Singh Dhaliwal married Harbhajan K. Singh in 1951. They had three children, Gurbax Singh ("Cookie"), born September 4, 1953, now 54, Karamjeet Kour ("Vicki") now 50, and Harminder Singh Dhaliwal ("Gordie"), born May 18, 1959, now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May 15, 1966, in a tragic motor vehicle accident, Sabick's wife, Harbhajan was killed, leaving him to raise the children. At the time of their mother's death, Cookie, the eldest son, was living primarily at his grandmother Jagdish's farm, who was by then a widow. Vicki, then eight and Gordie, six, were living with their father in Richmond. Their father, Sabick, with his own trucking business, was away during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Their grandmother, Jagdish, lived on her farm at 46806 Chilliwack Central Road in Chilliwack. The defendants at that time lived at their farm approximately four miles away at 8703 Upper Prairie Road in Chilliwack. The defendants had two children at the time, Gurdeep Singh Bains ("Gurdeep"), born December 18, 1962, now 44, and Harbans Singh Bains ("Harbans"), born November 13, 1963, now 43 years of age. At the time of the death of Harbhajan Singh, in 1966, the Bains children were 3 1/2 and 2 1/2 years of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After the death of their mother in May 1966, the two younger children of Sabick, Vicki and Gordie, began to spend time at the farm of their grandmother, Jagdish. And at some point they were living more or less full time at the farm, and going to school in Chilliwack, rather than to school in Richmond where their father still resided.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evidence differs on when exactly Vicki and Gordie were working and/or living at the farm, and whether or not they also spent time at the Bains farm, four miles away. That evidence is critical, as it is alleged that the sexual assaults took place at or near both farms in the Chilliwack area between the years 1966 to 1975.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School records with regard to Vicki indicate that from September 1964 to March of 1967 she was enrolled in the William Cook Elementary School in Richmond, then from March 1967 to September 1967 at the Robertson Elementary School in Chilliwack. From September 1967 to June 1970 she was enrolled again at the William Cook School in Richmond, but from September 1970 until her graduation in June 1975 she was in an elementary school in Chilliwack and then a senior secondary school in Chilliwack, from which she graduated in June 1975.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According to the evidence of the plaintiff, she and her younger brother Gordie spent most of the summers at the farm, and weekends, even when they were going to school in Richmond.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two farms in Chilliwack were both dairy farms, and the children were involved in the many chores of the farm. The defendants say Vicki and Gordie never worked on the Bains farm at any time. The plaintiff and other witnesses say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Following graduation, Vicki left the farm immediately and went to live in Chilliwack, first with her older brother, Cookie, and then with a roommate, Marilyn Dwornik ("Marilyn"). Marilyn was a roommate for approximately three years, and remains a lifelong 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late 1981 Vicki met her husband, Rodney Waters, and they were married on April 16, 1982 in Las Vegas. They have two children, a son 17 and a daughter 16. The Waters family moved from the Lower Mainland to Nelson in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Bains remain living on their farm in Chilliwack. Their two sons have gone on to higher education and employment. Joginder is now 76, and retired. His wife, Darshan, suffers from debilitating rheumatoid arthritis, which began in 1965 and has now left her severely compromised. She attended an examination for discovery in Chilliwack on June 2, 2007, but was hospitalized later that day for a number of days. A letter from her doctor was filed in court outlining why Mrs. Bains is now medically unfit to appear in court. Her evidence came in by way of her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commenced this action on January 12, 2005. The Statement of Defence was filed February 25, 2005. The trial took place over a period of nine days, during which ten witnesses testified. In addition, the psychiatric report of Dr. Michael Brownstein of Nelson was filed, by consent. This was a medical legal report with regard to Victoria Waters dated June 11,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Sabick Singh Dhaliwal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have taken the liberty of referring to witnesses by their first names, in order to avoid confusion because so many last names are the same. Also, these witnesses were basically two families testifying, and first names were used throughout all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Sabick, now 75, is the eldest son of Jagdish Singh; Jagdish will also be referred to frequently as the grandmother. Sabick is the father of three children, known as Cookie, Vicki and Gordie.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After his wife's death in May 1966, Sabick testified that Vicki and Gordie went to Jagdish's farm for a short time. That they spent summertimes at the farm for the first couple of years, but Vicki began school in Richmond in September 1966. For the next two years, Sabick arranged for a neighbour, Glenda, to be available in the home for Vicki and Gordie while he was conducting his trucking business and away during the day. Cookie had been allowed to go and live with his grandmother, Jagdish; he was the oldest grandson, and Jagdish had requested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From 1966 to 1968 Sabick testified Vicki was at Jagdish's farm during the summers, and that he would be there sometimes daily, usually only to fuel up, as he was conducting his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One or two years after his wife had died, a second marriage was arranged. This did not last long and subsequently a third marriage took place a few years later. In the meantime, Vicki and Gordie were spending more time at the two farms. He testified that both Vicki and Gordie lived at the Bains farm home "from time to time", either together, or separately. That they helped with chores, cooking, with the cows, and fencing. He said that he visited Vicki and Gordie at the Bains, "on many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Sabick also testified with regard to an old shed which the plaintiff alleges was on a 40-acre parcel of land adjacent to the grandmother's farm, and in between her farm and the Bains farm. The existence of this shed is in considerable dispute. The evidence of Sabick is that he knew the parcel of land, and that it had a ten foot wide ditch, and an old shed, with slats up and down and an old water tub. The shed had a dirt floor, a roll of barbed wire, and broken pipes.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It was his evidence that they did not want cows to drink out of the ditch because at times the ditch would be eight to ten feet deep with water, and that previously, one calf had died there. He said there was a door on the back side of the shed, away from the road. The shed could be seen from the door of Jagdish's home. With regard to the ownership of the 40 acres, his testimony was that, "We bought it, and it was then resold".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Vicki Waters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She is the plaintiff, and has been married to Rodney Waters for 25 years. They have two children, a son, 17 and a daughter,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She was eight when her mother died. She said it was then she and Gordie started to be introduced to her grandmother's farm. Jagdish would sometimes take them to the farm. That first summer, in 1966, she and Gordie would be back and forth to the farm, with either her father or her grandmother. They even went to see the school in Chilliwack. She had the sense that she and Gordie were going to be on the farm, but she fought to go back to Richmond. She said she was not that close to this part of the family, and she had the feeling that they had not liked her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When she spent time on her grandmother's farm, the person she liked the most was her uncle, Gurdarshan Singh, known as Shorty, the youngest child of Jagdish, born in 1941. Unlike the others on the farm, she found him to be kind and loving, and he treated her nicely. He liked her mother, and in time, as she grew older as a teenager, she became infatuated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Her first recall of the defendant, Joginder, was disturbing. Shortly after her mother had died, on one occasion Joginder and his wife, Darshan (Vicki's aunt), had come to Richmond and driven Vicki and Gordie to the farm. For some reason they stopped first at Mission. It was there that Gordie and Vicki got out of the car "to run away". They climbed some stairs and Joginder grabbed Vicki by the hair and smacked her. Gordie, her younger brother, was terrified and both children were then put back in the car, and driven to the grandmother's farm. When they got there, both children ran into the barn. Joginder came in, angry, to bring Vicki out. At that time, she testified that he brushed up against her and tried to fondle her. That he touched her in a way that her parents had never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Her evidence was uncertain as to when exactly she and Gordie moved out to the farm on a more or less full time basis, spending only weekends or short periods of time with her father in Richmond. The British Columbia permanent school record which was placed in evidence indicates that she did attend the Robertson Elementary School in Chilliwack from March 1967 to September 1967, but then she was back in Richmond, and was not enrolled again full time in school in Chilliwack until September 1970. Her evidence, however, is that she and Gordie spent a great deal of time at the farm, and that they were very involved in doing chores at the farm.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Gordie and Vicki were together most of the time, according to her evidence. They also spent considerable time over at the nearby defendants' farm, the Bains farm. She described in detail the interior of the Bains home as it existed then, a small three bedroom home where most of the adults and children slept in the one bedroom.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Vicki described helping her aunt Darshan, whom she liked very much, to put hot wax on her hands. Darshan's arthritis was giving her considerable problems and this was meant to relieve some of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When she and Gordie stayed overnight at the Bains farm, she said that in the one bedroom that was used, there were two double beds and one cot. The adults would sleep with a child, and "I'm stuck in the bed with Joginder. He cuddles me up, spoon fashion." She described being placed into his groin area and feeling his erection. Vicki testified Joginder was wearing Indian pants, where there is a slit for the penis and that his penis was out. She then described Joginder placing her on top of him, face to face. She said she was nine, and "that's when it began".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According to Vicki, the Bains came often to her grandmother's home. But they did not stay overnight. The two small Bains children were there frequently.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From her first recall of Joginder, Vicki said that the control and anger of Joginder was evident. She disliked him and she was afraid of him. She found his temper to be violent. Joginder would come to the grandmother's farm to borrow equipment, to help to hay, to drive tractor, and to assist if needed, although never in the mornings.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one early occasion, Vicki testified that Joginder picked her up from her grandmother's farm, to help him with the heifers. They needed grain. On that day, Gordie was in her grandmother's barn, and her aunt Darshan was also at the grandmother's farm. Vicki told Joginder that she did not want to go, but she was told to get in his car, and was taken to the adjacent 40-acre parcel, and to the shed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She described the shed like a pump house, where cows were fed. It was an old building, and the doors faced west. A car could be parked so as not to be seen from the grandmother's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Once at the shed, Vicki said Joginder began to fill the old tub that was in the field with water. Vicki was inside the shed with the feed. At that time, she testified, "He raped me." She also described anal sex. According to her testimony, every time she resisted, she was slapped and hit. So she cooperated. She testified she could smell him. Joginder's hands were in her pants, his finger in her vagina. He tried to get her aroused, and got her pants off. She was wearing old sweat pants. "He picks me up and puts me on his penis. Facing me. His eyes are rolling. He slides me back and forth. His penis is then in my anus. I bleed. He leaves me on the ground and tells me to walk home." She was crying. When she got back to her grandmother's farm she told her little brother. She said she felt ripped open and sore. She put Vaseline on herself.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There were other times in the shed, according to her evidence. She also described a time when she was picked up after school by Joginder, ordered into the car and then taken to a corn field where she was sexually assaulted by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 another occasion, Vicki said Joginder came and signed her out of school. In describing other occasions, Vicki described oral sex happening "a lot of times". She said many times the assaults took place at the Bains home; also in the storage garage in the barn on her grandmother's property, and in the hay chutes and lofts, and the dairy room in and around her grandmother's barn. She said Joginder usually picked her up, in a straddle position, and bounced her up and down while having sex. He would be sitting or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Joginder was very threatening, according to Vicki, and told her she was not to tell anyone. "You won't see your Dad. No one will believe you. You won't see your little brother." She believed this, and was terrified of him. On one of the many times that he hit her, she said that he struck the side of her nose and her nose cracked, became infected, and she bears a small scar to this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Vicki testified that Joginder controlled Darshan and belittled her. That she had seen him slap her aunt. Joginder was violent towards Vicki and Gordie and, later, to his own children. "He was famous for slapping."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sexual intercourse that Vicki described took place mainly in Joginder's own home. She would be in his bed at his home. Darshan would be there in the other bed, and "she ignored it." Vicki said she would be in Joginder's bed, and Darshan would be in one of the other beds with the young boys. "I was young, before puberty and breasts."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This sexual abuse began in 1966, in September, before school began, according to the plaintiff. And then continued until Vicki reached the age of 18, when she graduated from school in Chilliwack and left her grandmother's farm. In addition to intercourse and fondling, she said anal and oral sex were a regular 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By the age of 14 or 15, she began an affair with her uncle Shorty. "I wanted him to love me." She told Shorty about the abuse by Joginder, but nothing was done to stop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testifying, Vicki was asked if she ever complained about the abuse. "I told my aunt, at her house." Vicki described a day in the Bains home where her aunt, Darshan, was fixing her hair, and Vicki was in the bathroom watching her. Her aunt was going into town, and Vicki told her that she did not want her to go. She said, "Auntie, don't leave me." She said she then told her aunt that her uncle Joginder was hurting her, that he hit her, that he touches her. Her aunt then asked what do you mean, and Vicki said she described what Joginder was doing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Darshan then said to Vicki, "We don't talk about these things. If you cause trouble, you won't be able to visit." This was a reference to visiting with her father. Vicki felt that her aunt could have taken her back to her grandmother's farm. The Bains kids were playing, and they were small at that time. Her aunt did go to town, Vicki remained, and abuse did take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Vicki then said she felt she had to tell someone again. This would have been, she believed, when she was about ten. She said she finally had an opportunity to talk alone to her grandmother and her aunt Darshan, when just the three of them were at the kitchen table. She told them both what was occurring. Vicki testified her grandmother got into a little bit of a fit, but she felt that her grandmother had already been told. Vicki was told by them, "Don't talk about this. It's not happening. Don't bring it up." She said they were really adamant about this, and it was obvious that they were not going to help her, no matter what she said. She said they told her, "Don't cause trouble". She said that she was not causing trouble, that she wanted their help. Nothing further was said or done, and the abuse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Later, at about age 12 or 12 1/2, Vicki began menstruation. This was new to her. She was unsure what to do so she put Vaseline on herself. One of her other aunts told her that her period would go away, presumably because of her young age. Vicki told her grandmother and aunt Darshan that she had her period, but it was not regular. Nothing occurred for the next month or two. However, then there were two or three successive months when her period occurred. She told her grandmother and aunt that she was having regular periods now. "Off to the doctor we go", was her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family doctor was Dr. Young in Chilliwack. At this point, Vicki was taken by her grandmother and aunt Darshan to see Dr. Young. She had seen him before, and she was his patient, for things such as the flu, infection, etc. This time, Darshan and her grandmother went in to see Dr. Young first. Vicki did not know why she was at the doctor's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Ten minutes later her aunt and grandmother emerged from the doctor's office and someone said, "Okay Vicki, let's go." It was at that point the doctor's nurse came and got Vicki, took her into an examination room, asked her some questions, and was filling out a chart. She was asked when she had her last period. Vicki was then told to undress, and get into a gown. She was placed on the examination table, and her feet were placed in stirrups. "I was going to get checked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Then, something was inserted into her. It caused her terrible pain, particularly in her back, and she felt nauseous. She was crying, lying on the table. She then got dressed and went out and Jagdish and Darshan took her back to the farm, saying very little to her. Vicki said there was no comforting, and no one was telling her anything. She said she was confused.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She estimates she was approximately 12 or 12 1/2 when this occurred. It was not until ten years later, after her marriage, that Vicki Waters discovered that an IUD had been placed in her, a copper T7.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discovery of the IUD occurred because during intercourse, her husband, who was wearing a condom, found that the condom was being cut, and that also his penis was being cut during intercourse. Because this was occurring, Vicki went to see the doctor. She was living in the Lower Mainland at this time, and she was sent to see a gynaecologist. According to her testimony, it was not possible to take the IUD out in the office at that time, that it had to be surgically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1982, shortly after the discovery of the IUD in her, the IUD was removed during day surgery at Vancouver General Hospital ("VGH").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Young was dead by this time. The plaintiff has not been able to locate his medical records. In spite of requests for searches made by the plaintiff, to VGH, UBC and a former doctor's office, no medical records from 1969/70 or 1982 have been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When Vicki was 19 to 21, during the time that the IUD was unknowingly in her, Vicki was on birth control. And at the beginning of the marriage, her husband's condoms were being cut by the IUD.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addition to telling Darshan, and then her grandmother and Darshan of the abuse when she was approximately eight and ten years of age, and telling Shorty when she was 14 or 15 years of age, Vicki testified she also told her roommate and close friend Marilyn of the abuse by Joginder within the first few months of them rooming together. She would have been 18 or 19 years of age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 newspaper article from The Province was placed in evidence, and Vicki was cross-examined on this. It was a column written by Joey Thompson dated October 27, 2006. Vicki was asked if this article came about because she or someone on her direction sought to have the matter of this litigation placed in provincial newspapers.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Vicki testified that she has never met Joey Thompson, that she received a telephone call from her, in Nelson, and that at no time did Vicki give any documents to Ms. Thompson. She testified that Ms. Thompson had told her that this was public information once a claim was made. That it was on file in the courthouse. Vicki acknowledged that she did talk to Joey Thompson on the telephone, and she understood that she was a reporter. The article itself mentions a statement of claim and refers to it extensively.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Marilyn Dwornik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Marilyn Dwornik is a Registered Nurse as well as a Registered Psychiatric Nurse. She has known Vicki Waters for over 30 years, meeting her initially as a roommate in Chilliwack when they were both in their late teens. She has remained a close friend throughout the years. Marilyn had been a victim of childhood sexual abuse, according to her evidence, and she and Vicki confided to one another shortly after they became roommates.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Marilyn recalls Vicki telling her about being picked up by Joginder after school on one occasion and raped in the barn. Vicki also disclosed to her the relationship that she had had with Shorty. There was also disclosure of Vicki's aunt Darshan sleeping in the next bed during times of sexual abuse by Joginder.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March 1991, Marilyn went back and completed her education, went to college and obtained her RN and Registered Psychiatric Nursing degrees. She has done a lot of counselling. She has always maintained close contact with Vicki, and now works in the Campbell River Hospital in the psychiatric unit. She has always supported Vicki in seeking counselling and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Marilyn testified that in late 1982 or early 1983, Vicki contacted her and wanted some help medically. Vicki had found out she had an IUD in her. She was with Vicki when they went to the doctor's office in 1982 or 1983 and an x-ray showed the IUD. She testified Vicki had to have day surgery to remove it. "I went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It was in the early 1980s that she referred Vicki to counselling for the first time. The IUD incident occurred shortly after Vicki was married. Marilyn has helped Vicki in her search for her early medical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Harminder Singh (Gordie)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Gordie, 48, is the younger brother of Vicki and the youngest of Sabick's three children. He testified that he and Vicki were back and forth to their grandmother's farm after their mother died. For his schooling, he was in Grade 6 and 7 in Richmond; then the babysitter, Glenda, moved out, and "Dad took us to live at the farm."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He said his grandmother was very strict, and did not give a lot of affection. Responsibilities for him and Vicki at the grandmother's farm were to help with the cows, clean out the barn, cut hay, grass, and spread manure.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He testified that there was a field next door to the grandmother's farm that had a large ditch that was deep at times. There was a small shed on this property, not a barn. Maybe 12 by 20 feet. It was a long time ago. He said it was made of rough wood, and there was water for cows. He was only in that shed one or two times, and eventually the shed burned down. He also said that the Bains ultimately bought that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For a time when he was in Grade 7, Gordie testified that he was at the Bains farm to live. He was there because his aunt Darshan's arthritis was really bad, and she could not milk cows anymore. He was there alone, without Vicki. He said he worked hard. Vicki was at the grandmother's farm during the time he was at the Bains.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Gordie said Joginder was very strict and physical, with everybody. If things went wrong, Joginder gave a slap or a hit and knocked them down. "I would go flying". He said his turban would be knocked off on occasion. "He made people scared of him." Gordie also said that secretly his grandmother and aunt Darshan had a lot of contact, which Joginder did not like. He gave an example that Darshan would be on the phone with her mother or her brothers, and would hang up if Joginder came out of the bathtub or came into the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As an example of Joginder's behaviour, he said that on one occasion a machine broke down, and Joginder screamed at Gordie and Darshan, then lined up Gordie, Darshan and a younger boy, "And everyone got slapped. That's all it took."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He recalls one occasion when Vicki came running to him, upset and crying, saying, "Joginder made me have sex with him ... Don't be alone with him." He testified that Vicki "hated the guy", and did not want to be separated from Gordie. He said that nobody wanted to be at the Bains farm.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He also said that Joginder would beat the cows. That Joginder never milked cows at the grandmother's, but that he was a very hard worker.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Life around grandmother wasn't all that swell either. Grandmother slapped also, and would hit him and the other children with a rolling pin, "If she could catch you." But he said it was not like Joginder, that Joginder's temper equalled abuse. That there was a difference between physical discipline and physical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Rodney Waters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He is a heavy equipment operator, age 52, residing in Nelson with his wife, Vicki, and their two children. He testified that after their marriage in 1982, during intercourse, while using condoms, the condoms were being cut, and his penis was also being cut. He finally said something to his wife. "Neither of us knew."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Rodney said that Marilyn Dwornik went with Vicki to see the doctor, as he was working at the time. They were living in the Lower Mainland. It was then the IUD in Vicki was discovered. Rodney then took Vicki to see Dr. Bluman later, Vicki's doctor. They learned Vicki had to have surgery to remove the IUD. He took her to VGH, to day surgery, just off Oak Street, where the IUD was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Once the IUD was found out, he said Vicki began to disclose what had occurred with her uncle Joginder. That he had raped, sodomized and physically abused her. She told him more details over a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1991 they moved to Nelson, to be closer to his parents who were getting on in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According to her husband, Vicki has many problems. He described her many mood swings, that she is predisposed and preoccupied on many occasions. That for the last 12 or 13 years, their sex life has been non-existent. Before that, Vicki would cry after they had sex, and that she continues to cry, sometimes out of the blue. She will lose her temper with their children, and then will hug them. She watches over her daughter with distrust, and that distrust includes even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Rodney Waters testified, "This is not the Vicki I know. I want her to get better. I told her I'd stand by her through all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They have raised two wonderful children, but in answer to a question in cross-examination, he said that it is 90% thanks to him. Because of all the difficulties that Vicki has been having over the years, he has encouraged Vicki to go to counselling. He said Vicki has always wanted to have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Rodney described an occasion when they had driven down from Nelson because of their son's involvement in a hockey tournament. As they were going through the Chilliwack area, Vicki saw her uncle Joginder in his car, and she "became unglued, crying, and wanted to go home." It took him some time to calm her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Darshan Singh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Darshan, now 70, is the middle of five children of Jagdish Singh, and the wife of Joginder Bains. Her evidence consists of the examination for discovery of her that was taken on June 2, 2007. Her illness prevented her attendance at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When she was 24, she married Joginder, who was 31. He was from India, and had a university degree in the Punjabi language in a religious course. Her father was a Giani, "like a small minister", and her husband Joginder is also called a Giani. She calls him that. Her testimony is that at temple, Joginder would read sometimes, if he had the time. Giani is a term of respect, respect for him as a religious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Following school, Darshan worked, was able to save money, and assisted her father and mother in their farming and trucking business. She did the books for a long time for the trucking business and the farm.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Darshan could not recall if Vicki or Gordie had worked on the Bains farm when they got older. She was asked if they did chores with the cows, and said, "I don't remember." She did testify that immigrant Punjabi people did work on their farm, and these were people who needed agricultural knowledge, and were not paid. Also that Joginder's nephew, Santokh, came, that Joginder wanted to help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her testimony, Darshan denied that Joginder was getting Vicki to sign immigration papers and denied ever taking Vicki to the Immigration Department office. That Santokh was in his mid 20s, and was eventually married in India. Before that, he lived on the farm and helped her husband. She denies that he worked on the farm at the same time as Vicki and Gordie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According to Darshan, Joginder did most of the major work, buying and selling the cows on the farm, and looked after all the feeding. She does not remember how long Santokh was there. She has never seen Joginder strike Santokh. When asked if Joginder has a temper, she replied that he is "a calm 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It was normal for her and her husband to visit at her mother's farm nearby. She would help her mother only when she was asked to do so. She denied that her mother transferred milk to Joginder and Darshan's quota. When asked if her mother ever sold or gave cows to them, she said she did not remember.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Darshan denied any responsibility for either Vicki or Gordie as their aunt. She does not know what school Vicki attended, she does not know if Vicki graduated. "I don't know, but I heard that she did." She said her mother told her. She never attended a school function of Vicki's, and she denied that Vicki ever stayed at the Bains home. She also denied that Vicki ever helped care for her 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Darshan's arthritis began "just after my younger son was born". This would have been the birth of Harbans, born November 13, 1963.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When asked to name who her doctor had been, she stated she did not want to say who her doctor was. She finally acknowledged that Dr. Young was her doctor and also Jagdish's doctor. She does not remember if she or her mother went to Dr. Young with Vicki. Darshan was asked if she knew what an IUD was, and she acknowledged she did, that it was something you put in a woman's vagina to prevent pregnancy. She was asked the following question:</w:t>
      </w:r>
      <w:r>
        <w:rPr>
          <w:rFonts w:ascii="arial" w:eastAsia="arial" w:hAnsi="arial" w:cs="arial"/>
          <w:sz w:val="20"/>
          <w:lang w:val="en-US" w:eastAsia="en-US" w:bidi="ar-SA"/>
        </w:rPr>
        <w:cr/>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you and your mother take Vicki to Dr. Young to have an IUD inserted in her?</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 sorry, I don't remember. I'm very sorry.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Darshan confirmed that Dr. Young's office was in Chilliwack on Mary Street. Her evidence is that she never explained menstruation to Vicki, that her mother had said she would after Vicki's mother died. Her mother, Jagdish, could not read English, but Darshan does not remember if she ever signed Vicki's report cards or her notes for school. She was unable to say if her mother took any interest in Vicki's education. Her mother had said it was too bad that Vicki's mother had died, "I have a big burden now." Meaning a big burden on her, Jagdish, because Jagdish was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There was a complete denial that Vicki ever came to Darshan and the grandmother to complain about the conduct of Joginder to Vicki. She also denies that Jagdish ever hit anyone, including Vicki.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Paragraph 18 of the Statement of Claim was read to Darshan. That paragraph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on or about 1968, when she was 10 years old, made disclosure to both her grandmother, Jagdish Kaur, now deceased, and to the Defendant Darshan Kaur Bains, that the Defendant Joginder Singh Bains was touching her and hurting her; that she did not want to be left alone with him and that she was afraid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She was asked was Vicki making this up. To which Darshan replied, "I don't know." She denies telling Vicki that she must obey the rules and not cause trouble. She denies making a threat to Vicki to restrict her visits with her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Giani Joginder Singh Bains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defendant is now 76, born and raised in India, one of seven children. His father was a farmer. He achieved a Giani degree, which he said would be the same as a Bachelor of Arts. He was going to be a schoolteacher. Then a marriage was arranged with Darshan, and in September 1961 Joginder came to Canada and was married September 17, 1961 to Darshan.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1963 Harbans was born, the younger of two sons, and two years later, Darshan's arthritis began. He testified that in 1965 or 1966 Darshan quit farm work. Darshan had a business diploma.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When asked about Cookie, he said that the first son is more important, and, "Everybody loved Cookie." This would have been the older of Sabick's three children. Joginder denies all of the allegations made by Vicki Waters.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He said he did not need much help at his farm, that Darshan worked with him in farming. Then he had his two boys, and when they were 12, 13 or 14, they helped to feed the calves and helped a little. In 1978 he bought his present milking machines.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Joginder testified that Jagdish sometimes brought Vicki and Gordie to play with his two boys to their farm. But he denies that either Vicki or Gordie ever did any work on the Bains farm. He also denied that Gordie ever lived at the Bains residence and worked on their farm.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It was in 1973 that he bought the 40 acres between the two farms. He said there was never a shed on the property. There is a corral with walls, two-by-four, to make sure the cows can't get out. The cows can give birth in there and they will put plywood up on such an occasion. He denies that he was ever in a shed with Vicki. That everything that Vicki has said is 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Joginder was in India from August 23, 1967 to January 31, 1968, following a family marriage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He does not know how Vicki or Gordie got to school. He said Jagdish took his two boys until high school, and then Joginder took them to school. He denied ever being alone in a car with Vicki.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From March 6, 1975 to June 20, 1975 he and Darshan and their two sons were in India. Was he aware of Vicki's graduation? He replied it was not important to him. He does not know how long Vicki was on the farm after graduation. He never saw her at the grandmother's farm after her graduation.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defendants were very upset by the newspaper article that was placed in evidence. They blame Vicki for the article. Joginder has denied each and every allegation made by Vicki. He also denies that Gordie was ever on his farm to help with anything, milking or otherwise. When asked if Gordie was telling a lie, he replied "exactly". That Gordie never came to work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On cross-examination, he denied again that there was ever a building on the 40 acres, only a corral, and that is different from a building. He also said he never used a container for water, that the cows go to the ditch for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When asked if he ever hit anybody, Joginder said he never hit anybody, but then admitted that he did hit his son Harbans by way of discipline, but the other son did not need it to the same extent. He also said he encouraged his wife to talk to her mother daily.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Harbans Bains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Harbans is the younger son of Joginder and Darshan, now 43, who obtained his Bachelor of Arts degree in political science from Simon Fraser University. He has worked over the years in a number of prestigious British Columbia government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Harbans testified that he used to help his dad on the farm. And that he also had tasted his grandmother's rolling pin. He said he never saw Vicki doing any work on the farm, but he did see Gordie working at his grandmother's, that Gordie was always working, and that he worked hard. His uncle Mindy, who was on the grandmother's farm from time to time, would call Vicki and Gordie "orphans", and Vicki and Gordie would cry. That he often saw Vicki crying.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His mother is very disabled by her illness now, and can barely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When Vicki was at the grandmother's farm, Harbans said that Vicki would feed them, and discipline them from time to time. He does not recall Vicki assisting his mother at any time. He did visit Vicki a few years ago when he was in Nelson on business, and during that visit, Vicki told him, "I miss your mom."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When he was young, his grandmother, mother or father took them to school. He said Vicki did a good job preparing meals at his grandmother's farm, that he was at his grandmother's farm a lot as a kid. And Vicki was there a lot, "making food for us kids." He said he began to help with milking when he was 10 or 12 with his dad. When asked if he had ever seen Gordie at his house, he said never.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Gurdeep Bains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Gurdeep, 44, is the older son of Joginder and Darshan Bains. He testified he was 12 to 14 before he was allowed to work with the cows, as the milking cans were too heavy for him to lift.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He testified that Vicki and Gordie were never overnight at the Bains farm. They were at his grandmother's farm at times. Vicki would be working inside the home, cooking, and Gordie would be outside working. Vicki did help him with his school work at times at the grandmother's, and she helped with birthday parties at the grandmother's. He said he was too young to know what Vicki did. As for a shed on the 40 acres, he said there were no buildings on that property. There was a pen there, with no walls and no roof. He has no recall of any small shed in that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His testimony is that Gordie never lived at the Bains place, and Vicki never helped his mother with her arthritic condition, and that Vicki never visited. Gurdeep also testified that Vicki's older brother, Cookie was never at the Bains farm.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Mohan Dhillon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Dhillon, 63, was born in Fiji, and came to Canada on September 2, 1966 as a visitor. He is a nephew of Jagdish, the grandmother.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His testimony is that at the beginning of 1967, at the invitation of Jagdish to sponsor him, he began working on her farm. He was there until the last quarter of 1968 when he left. He said he saw Vicki at the farm on occasion, but not in the barn, however. Darshan was not having any health difficulties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Mohan has been in Toronto for the last 32 years working for a gaming facility. When asked if he could be sure of exact dates, he said he could not. "It was 40 years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Gurbax Singh Dhaliwal (Cookie)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Cookie, age 54, is the oldest child of Sabick, the older brother of Vicki and Gordie. He has his own trucking business, and he was the one who went to live with his grandmother Jagdish prior to the death of his mother in 1966.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He testified that he did work on both farms, his grandmother's farm and the Bains farm. That he and Vicki and Gordie were a labour pool, and they shuttled back and forth between the two farms. That this was ongoing daily for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Vicki and Gordie did light work, feeding calves, cleaning out barns and helping with the haying. Gordie also helped fix 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He related one instance when Vicki was driving the tractor, at the age of about 12. Cookie testified that she slipped the clutch on the tractor, and half the load of hay slipped off. Joginder was there, and threw Vicki off the tractor, slapped her and threw her onto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Cookie was at the Bains farm prior to his graduation from the Chilliwack school, and also there after Grade 12, to help out. Vicki and Gordie were there at his grandmother's farm and also at the Bains, doing light chores. He said Joginder was at his grandmother's farm constantly, to borrow implements, and that he also took excess milk.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Michael Brownstein, Psychiatrist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Dr. Brownstein's evidence came in by way of a medical legal report dated June 11, 2007 with regard to Victoria Waters. His letter sets out his experience, including extensive experience counselling women who have been victims of sexual abuse. He did a series of interviews with Vicki on May 9, May 30, June 4 and June 11, 2007. He also reviewed documents with regard to this litigation. His report states that all his information came from Ms. Waters and peripherally from written notes that she had given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history that he relates in the letter parallels the testimony of Vicki Waters in this trial. She told Dr. Brownstein that she grew up "in an atmosphere of fear, terror, bewilderment, and confusion." She feels that what her aunt and uncle have done is wrong, that they should be exposed and punished, and that this can serve as a lesson to other victims, that they can stand up and justice will be done. Dr. Brownstein states that she seeks financial compensation for what she feels are a series of psychological and physical disabilities that have resulted from the sexual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letter sets out the psychological problems complained of by Vicki Waters, including anxiety, depression, difficulty trusting people, sleep difficulties, marital difficulties, difficulties with child rearing, and impairment in academic and occupational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On page 5 of his report, Dr. Brownstein sets out his opinion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symptoms that Ms. Waters reports are entirely consistent with a history of sexual abuse such as she claims. Sexual abuse survivors regularly have difficulties with self-esteem, mood, and anxiety. They frequently go through periods of, particularly in their adolescence, drug abuse, alcohol abuse, sexual promiscuity, and poor judgement in choosing sexual partners. Frequently their sexual functioning later on as adults is impaired. They have difficulty enjoying sex, find it painful, have difficulty having orgasms. Another feature that is consistent with a history of sexual abuse is the phenomena known as flashbacks in which the individual re-experiences an original event when triggered by things that remind them of this. An example from Ms. Waters story would be the flashbacks of her uncle's sexual abuse when she is having sexual intercourse with her husband. Understandably, this would pose some difficulties in their sexual and marital relationship. Other features of Ms. Waters' story that are certainly consistent with a history of sexual abuse are her feelings of shame, humiliation, self-blame, and doubt. These features often keep the victim from speaking about the abuse that they have suffered or from standing up for themselves in the hopes of gaining some sort of justice. Prolonged and repeated sexual abuse impairs the individual's sense of identity, sense of being a powerful agent in the world and being able to trust things to run their natural course. This frequently impairs the individual's academic and occupational functioning and these claims are consistent with those of Ms. Waters. Ms. Waters' quality of life has been severely affected and her day to day functioning is impaired by anxiety, depression, hypervigilance, nightmares, marital difficulties, relationship difficulties, and academic and occupational achievements that could be less than would be expected had these events not occurred. Ms. Waters has been able to raise two children and is very proud of them. She has maintained her marriage, though with great conflict and a lot of unhappiness. Occupationally, she has not achieved very much and I understand is currently on a disability. She has certainly had some pleasure in her life, specifically raising her children, but other pleasures have largely escaped her and she lives with a daily level of distress that I would rate as moderate to severe.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Credibility is obviously a central issue in this case. The plaintiff has made serious allegations of sexual abuse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defendants categorically deny each and every allegation. All parties have given evidence under oath.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This is not a situation of the plaintiff having suddenly remembered flashbacks or recovered memory, as suggested by counsel for the defendants. The plaintiff's evidence, corroborated in large part by other witnesses called on her behalf, is that she made complaints and disclosure of the sexual abuse from the time she was a child. First, to her younger brother Gordie, who at that time was too young to really understand what she was saying. Her next disclosure, according to the plaintiff, was to her aunt Darshan, and then later to that same aunt and her grandmother. Then there was disclosure to her uncle Shorty when she was in her mid-teens, and in her late teens, to her friend and roommate Marilyn. Sometime after her marriage, and after the discovery of the IUD in her, she made disclosures to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This is not a situation of a plaintiff coming to court 40 years later and saying that counselling has caused her to have flashbacks and recovered memory of abuses long ago. These abuses have always been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On the issue of assessing credibility, counsel for the defence has cited the case of </w:t>
      </w:r>
      <w:r>
        <w:rPr>
          <w:rFonts w:ascii="arial" w:eastAsia="arial" w:hAnsi="arial" w:cs="arial"/>
          <w:b/>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(1951), 4 W.W.R. (N.S.) 171</w:t>
        </w:r>
      </w:hyperlink>
      <w:r>
        <w:rPr>
          <w:rFonts w:ascii="arial" w:eastAsia="arial" w:hAnsi="arial" w:cs="arial"/>
          <w:color w:val="000000"/>
          <w:sz w:val="20"/>
          <w:lang w:val="en-US" w:eastAsia="en-US" w:bidi="ar-SA"/>
        </w:rPr>
        <w:t>. At paragraph 10 of that case, the B.C. Court of Appeal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credibility of interested witnesses, particularly in cases of conflict of evidence, cannot be gauged solely by the test of whether the personal demeanour of the particular witness carried conviction of the truth. The test must reasonably subject his story to an examination of its consistency with the probabilities that surround the currently existing conditions. In short, the real test of the truth of the story of a witness in such a case must be its harmony with the preponderance of the probabilities which a practical and informed person would readily recognize as reasonable in that place and in those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There are some cases where credibility poses a substantial problem for the trier of fact. This is not one of those cases. The evidence of Vicki Waters may have been in error or vague on some of the dates and precise times when her allegations of sexual abuse occurred. This is not surprising, given her age at the time, and her vulnerability as an eight year old who has just lost her mother under tragic circumstances, and found herself living part time and then full time in surroundings so different from when her mother was alive. However, the evidence of Vicki Waters was detailed when it came to places, rooms, persons present, smells, acts, the time of day, either after school, before milking, and her own feelings at the time and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Her evidence is corroborated not only by witnesses called on behalf of the plaintiff, but also in part by witnesses for the defence. For example, the descriptions of the homes on the two farms, their interiors, the descriptions of the barns, the identification of the family doctor, Dr. Young, whose office was indeed on Mary Street in Chilliwack.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While there was complete denial of everything by the defendant Joginder Bains, the same cannot be said for the evidence taken under oath of Vicki's aunt, the female defendant, Darshan Bains. While Joginder and his two sons stated categorically that Vicki and Gordie did not work on the Bains farm, Darshan said she could not recall. The evidence of Vicki and Gordie was not only that they worked at the Bains farm, but that Gordie actually lived there for a time to help out on the farm.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Strangest of all was the evidence of Darshan when she wanted to refuse to say that Dr. Young had been her doctor. When she was asked if she and her mother had taken Vicki to see Dr. Young to have an IUD inserted into Vicki, her answer was, in my view, telling. "I'm sorry, I don't remember. I'm very sorry." A strange response from someone facing an extremely serious allegation.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 did find Vicki Waters completely credible and I accept her evidence. She was very emotional at times, and apologized frequently. Dr. Brownstein's report showed the same behaviour. At page 4 of his report he states, "In the interview she cried frequently and apologized for crying."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facts upon which Dr. Brownstein relied for his opinion were primarily those as told to him by the plaintiff. This would be considered hearsay, but the same facts upon which he relied have been given in evidence by the plaintiff and other witnesses for both parties, and that evidence has been accepted by me as facts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evidence of the plaintiff was not embellished in any way. It was given with difficulty, but with explicit detail at times. In many instances, her descriptions of Joginder Bains, his violence, his physical assaults on others were corroborated by her brothers. That corroborative evidence was equally believable.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 found the evidence of Gordie Singh, Rodney Waters and Marilyn Dwornik to be low key, and corroborative, on matters small and major. For example, Rodney Waters' evidence with regard to his use of condoms after their marriage, and then accompanying his wife to VGH for day surgery to have the IUD removed. This was strong corroboration of Vicki's evidence with regard to the insertion of an IUD when she was a child. The entire episode of the IUD was appalling. And credible. It also demonstrated the complicity of the grandmother and the aunt, Darshan Bains, in covering up and allowing to continue the sexual abuse of this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evidence of the defendant, Joginder Bains, consisted of describing his efforts on his farm, and a total denial of almost everything that was said by the plaintiff and other witnesses for the plaintiff. Where his evidence differs from that of Vicki Waters or Gordie Singh, I accept without reservation the evidence of Vicki and her brother Gordie. Although the manner of testifying of Mr. Bains was that of an educated and very assertive man, I did not believe him. As for the evidence of the two sons of the defendants, they were very young when Vicki and Gordie began working at their grandmother's farm in 1966. Gurdeep Bains is six years younger than Vicki. Harbans Bains is seven years younger. They would have been approximately 2 1/2 and 3 1/2 years old in 1966 when Vicki first came to her grandmother's farm.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evidence of Mohan Dhillon, the friend from Ontario who was called by the defence was not helpful. His evidence was in conflict with the school records of Vicki. He said he did not see her around the farm that much, when the school records indicate that during 1967 when Mohan said he was at the grandmother's farm, Vicki was enrolled in school in Chilliwack from March 1967 to September 1967. Plus there is the evidence that she and Gordie were there for most of the summers and some weekends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Keeping in mind the test to be applied as to whether a witness is telling the truth or not, the evidence of any witness must be examined in the context of all the surrounding circumstances and all of the other evidence. The evidence as a whole leads to no other conclusion: the plaintiff is telling the truth and must be believed.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Standard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Counsel for the defence referred to the recent decision of Mr. Justice Hinkson, </w:t>
      </w:r>
      <w:r>
        <w:rPr>
          <w:rFonts w:ascii="arial" w:eastAsia="arial" w:hAnsi="arial" w:cs="arial"/>
          <w:b/>
          <w:i/>
          <w:color w:val="000000"/>
          <w:sz w:val="20"/>
          <w:lang w:val="en-US" w:eastAsia="en-US" w:bidi="ar-SA"/>
        </w:rPr>
        <w:t>Young v. Waugh</w:t>
      </w:r>
      <w:r>
        <w:rPr>
          <w:rFonts w:ascii="arial" w:eastAsia="arial" w:hAnsi="arial" w:cs="arial"/>
          <w:color w:val="000000"/>
          <w:sz w:val="20"/>
          <w:lang w:val="en-US" w:eastAsia="en-US" w:bidi="ar-SA"/>
        </w:rPr>
        <w:t xml:space="preserve">, </w:t>
      </w:r>
      <w:hyperlink r:id="rId417" w:history="1">
        <w:r>
          <w:rPr>
            <w:rFonts w:ascii="arial" w:eastAsia="arial" w:hAnsi="arial" w:cs="arial"/>
            <w:i/>
            <w:color w:val="0077CC"/>
            <w:sz w:val="20"/>
            <w:u w:val="single"/>
            <w:shd w:val="clear" w:color="auto" w:fill="FFFFFF"/>
            <w:lang w:val="en-US" w:eastAsia="en-US" w:bidi="ar-SA"/>
          </w:rPr>
          <w:t>2007 BCSC 638</w:t>
        </w:r>
      </w:hyperlink>
      <w:r>
        <w:rPr>
          <w:rFonts w:ascii="arial" w:eastAsia="arial" w:hAnsi="arial" w:cs="arial"/>
          <w:color w:val="000000"/>
          <w:sz w:val="20"/>
          <w:lang w:val="en-US" w:eastAsia="en-US" w:bidi="ar-SA"/>
        </w:rPr>
        <w:t xml:space="preserve">. At paragraph 65 of that decision, Mr. Justice Hinkson referred to the decision of Rowles J.A. in </w:t>
      </w:r>
      <w:r>
        <w:rPr>
          <w:rFonts w:ascii="arial" w:eastAsia="arial" w:hAnsi="arial" w:cs="arial"/>
          <w:b/>
          <w:i/>
          <w:color w:val="000000"/>
          <w:sz w:val="20"/>
          <w:lang w:val="en-US" w:eastAsia="en-US" w:bidi="ar-SA"/>
        </w:rPr>
        <w:t>F.H. v. McDougall</w:t>
      </w:r>
      <w:r>
        <w:rPr>
          <w:rFonts w:ascii="arial" w:eastAsia="arial" w:hAnsi="arial" w:cs="arial"/>
          <w:color w:val="000000"/>
          <w:sz w:val="20"/>
          <w:lang w:val="en-US" w:eastAsia="en-US" w:bidi="ar-SA"/>
        </w:rPr>
        <w:t xml:space="preserve">, </w:t>
      </w:r>
      <w:hyperlink r:id="rId418" w:history="1">
        <w:r>
          <w:rPr>
            <w:rFonts w:ascii="arial" w:eastAsia="arial" w:hAnsi="arial" w:cs="arial"/>
            <w:i/>
            <w:color w:val="0077CC"/>
            <w:sz w:val="20"/>
            <w:u w:val="single"/>
            <w:shd w:val="clear" w:color="auto" w:fill="FFFFFF"/>
            <w:lang w:val="en-US" w:eastAsia="en-US" w:bidi="ar-SA"/>
          </w:rPr>
          <w:t>2007 BCCA 212</w:t>
        </w:r>
      </w:hyperlink>
      <w:r>
        <w:rPr>
          <w:rFonts w:ascii="arial" w:eastAsia="arial" w:hAnsi="arial" w:cs="arial"/>
          <w:color w:val="000000"/>
          <w:sz w:val="20"/>
          <w:lang w:val="en-US" w:eastAsia="en-US" w:bidi="ar-SA"/>
        </w:rPr>
        <w:t>. That case involved sexual assaults alleged to have occurred in the Indian Residential Schools. Rowles J.A. stated at paragraph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common law recognizes that in cases where morally blameworthy conduct is alleged, the evidence must be scrutinized with care and the civil standard of proof applied so that it is "commensurate with the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agree that there must be greater care, if the allegations are more serious, when applying the standard of proof. The standard of proof remains that of a balance of probabilities, but there is no question that the trial judge must scrutinize and weigh evidence with the greatest of care when allegations are as serious as they are in this particular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In my view, the allegations could hardly be more serious. The plaintiff has met the onus of proof. On a balance of probabilities, the plaintiff has more than met the requisite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The plaintiff's claim is in tort,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She alleges that both defendants were parental figures with authority over her, and both had a duty of care toward her. Further, that Darshan was her aunt and godmother, and was not only in a position of parental authority over her, but also had a fiduciary duty of care in relation to her. And that she breached that duty of care to the plaintiff. Further, that Darshan is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reason of her failure to act to protect the plaintiff from the sexual abuse actions of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There is no question that the defendant Joginder Singh Bains owed a legal duty to take care to avoid doing harm to the plaintiff. By his actions of sexual abuse over a period of ten years, he caused grievous harm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The claim against the defendants has been framed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there are the three elements to prove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First, the duty of care that is owed by the defendants to the plaintiff. Second, that there must be a breach of that duty of care, and evidence to demonstrate that the defendants failed to exercise the standard of care required of a reasonable and careful person in these circumstances. Third, the plaintiff must have suffered damages as a direct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It may be that in these circumstances, simply being an aunt and uncle to an eight year old child who has lost her mother under tragic circumstances is sufficient to establish a duty to take care. But the circumstances here point to a special relationship between the plaintiff and these two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female defendant was the plaintiff's aunt, and the male defendant was an uncle by marriage. The plaintiff was of a tender age, and she was vulnerable. Her mother had died recently and suddenly under terrible circumstances; the plaintiff and her younger brother were living on the nearby farm of their grandmother, where they were not treated in a kind and loving manner. I find as a fact that both Vicki and her brother spent substantial amounts of time, including overnights, on the premises of the defendants, at their home on their farm.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Those facts, taken together with the gross nature of the illegal acts of Joginder Bains, establish without question not only a duty of care owed by the defendants to the plaintiff, but a serious breach of that duty of care. Both defendants failed to exercise a standard of care required of any reasonable and careful person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aunt, Darshan Bains, took no reasonable steps to prevent or stop the sexual abuse that she had to have known was ongoing. Instead, she collaborated, with Vicki's grandmother, to have an IUD inserted into a 12 or 13 year old child, at the onset of puberty, without the consent or knowledge of the child. That process was a painful and distressing episode for the plaintiff. The only inference that can be drawn from the insertion of that IUD was that Jagdish and Darshan knew that the sexual abuse by Joginder Bains was ongoing, and they wanted to ensure there would be no pregnancy or discovery of the ongoing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law imposes a standard of care on a teacher in many instances similar to that of a prudent and careful parent. The law imposes no less a duty of care on an aunt and uncle in these circumstances. The conduct of both defendants could only result in harm to Vicki Waters, serious and possibly lifelong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only outcome of their acts resulted in the continued sexual gratification for the male defendant and the continued cover up by the female defendant. The defendants had to foresee what harm was being done to this child over the years. No other conclusion can be drawn under these circumstances. Given her age and circumstances, the plaintiff was particularly vulnerable to and at the mercy of the defendants who held power over her because of their position within the family, and because of the position of power that they held generally within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While the plaintiff was residing primarily with her grandmother during most of those years between the ages of 8 and 18, her aunt, Darshan Bains, also exercised discretion over the plaintiff, particularly when the plaintiff was in the home of Mr. and Mrs. Bains. I accept the evidence of the plaintiff that on two occasions as a child she sought the help and intervention of her aunt to stop the abuse of Joginder Bains. That help was refused. That constituted a further breach of the fiduciary duty that Darshan Bains owed to her young niece. She had knowledge of the sexual assaults, and the continuing danger to the plaintiff, did nothing to prevent further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As a result of the actions or failure to act of the defendants, the plaintiff has suffered serious physical and psychological harm. I accept the opinion of Dr. Brownstein without reservation.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In my view, Vicki Waters has shown great courage in coming forward and bringing this action. She has brought this uncomfortable and very private grievance and litigation into open court, knowing that the public would be made aware of intensely personal trauma that she has experienced. From her evidence, and other evidence before the court, it is clear that she not only wants to obtain justice in her own case, but also to serve as an example to others who may not be as willing to go through the trauma and uncertainty of a case in open court. She seeks financial damages. She also seeks an end to the anxiety, shame and humiliation that she has experienced over the last 40 years, and believes that it is important for her own healing for her to be able to speak freely about these matters. It is important for her to speak out for the benefit of others who may be experiencing the same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plaintiff is entitled to damages. Counsel may make arrangements to make submissions either in writing or in person with regard to damages and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N.E. MORRISON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6" style="position:absolute;z-index:2518384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25" w:history="1">
        <w:r>
          <w:rPr>
            <w:rFonts w:ascii="arial" w:eastAsia="arial" w:hAnsi="arial" w:cs="arial"/>
            <w:b/>
            <w:bCs/>
            <w:i/>
            <w:color w:val="0077CC"/>
            <w:kern w:val="32"/>
            <w:sz w:val="28"/>
            <w:szCs w:val="32"/>
            <w:u w:val="single"/>
            <w:shd w:val="clear" w:color="auto" w:fill="FFFFFF"/>
            <w:lang w:val="en-US" w:eastAsia="en-US" w:bidi="ar-SA"/>
          </w:rPr>
          <w:t>Sit v. British Columbia's Women's Hospital, [2000] B.C.J. No. 1911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Morrison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29, 30, September 1 and 18 - 22,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25,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C966058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1911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1407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99 A.C.W.S. (3d) 875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Lilan Sit, plaintiff, and British Columbia's Women's Hosptial and Health Centre Society, referring Dr. Greenbery, Women's Health Centre Ultrasound Unit, British Columbia's Women's Hospital and Health Centre Society, W.H.C. - Care Prog. Women's Health Centre C.A.R.E. Program, Gerald W. Korn,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7"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3" w:name="Keywords_26"/>
      <w:bookmarkEnd w:id="173"/>
      <w:r>
        <w:rPr>
          <w:rFonts w:ascii="arial" w:eastAsia="arial" w:hAnsi="arial" w:cs="arial"/>
          <w:b/>
          <w:color w:val="000000"/>
          <w:sz w:val="20"/>
          <w:lang w:val="en-US" w:eastAsia="en-US" w:bidi="ar-SA"/>
        </w:rPr>
        <w:t xml:space="preserve">Medicine — Relation with patient — Consent to treatment — Informed consent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fault — 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particular persons and relationships --Medical doctors and medical personnel — Trespass — Assault and battery — Defences.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4" w:name="Case Summary_23"/>
            <w:bookmarkEnd w:id="17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patient, Sit, against the Hospital, British Columbia's Women's Hospital, and the physician, Dr. Korn,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assault, battery, breach of fiduciary duty and lack of informed consent. Sit was a student who became pregnant at 25 years of age. After completing several home pregnancy tests, Sit contacted the Women's Hospital, which was a facility that provided abortions. She submitted that she contacted the clinic for information regarding her pregnancy. An ultrasound was administered. Sit submitted that the ultrasound was administered to determine whether she was pregnant. The Women's Hospital submitted that an ultrasound would not be ordered or performed solely to determine whether or not a patient was pregnant. It was performed to firmly establish the length of pregnancy to determine whether or not an abortion could be performed at the clinic. Sit was first seen by Dr. Korn's assistant who testified that it was standard procedure to go over the abortion consent form with a patient. Sit then signed the consent form. Dr. Korn then examined Sit and explained the abortion procedure to her, which involved the insertion of laminaria to help dilate the cervix prior to an abortion procedure, as well as the risks involved regarding the insertion of the laminaria. The laminaria were inserted. Sit was scheduled for an abortion the following day. However, later that evening, Sit experienced discomfort and went to the emergency department of the University of British Columbia Hospital. The physician from the Hospital testified that Sit was unsure as to whether she wanted the abortion and that she had numerous questions regarding the procedure and its effects. Although numerous explanations were provided, Sit appeared unsatisfied with the responses, but decided to return home. She returned to the clinic the following day and was having second thoughts regarding the abortion. After discussing and re-discussing the issues and risks involved with her various choices with one of the nurses, Sit decided to go ahead with the abortion. The abortion was performed successfully, and Sit was discharged and given detailed home care instructions. Sit subsequently instituted proceedings against the clinic and Dr. Korn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assault, battery, breach of fiduciary duty and lack of informed consent. She submitted that the abortion was performed without her consent.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5" w:name="Holdings of Court_16"/>
            <w:bookmarkEnd w:id="175"/>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Sit clearly chose to proceed with the abortion and was not forced or assaulted. She was properly informed of all of the options and risks involved at each step of the procedure and voluntarily signed the consent form. She failed to meet the standard of proof, on a balance of probabilities with respect to all causes of action.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6" w:name="Counsel_27"/>
      <w:bookmarkEnd w:id="17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8"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acted on her own behalf. Barbara J. Norell, for the defendant, Dr. Gerald Korn. Andrea E. Stone, for the defendant, B.C. Women's Hospital and Health Centre.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77" w:name="Judgment_27"/>
      <w:bookmarkEnd w:id="177"/>
      <w:r>
        <w:pict>
          <v:line id="_x0000_s1159" style="position:absolute;z-index:25178931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78" w:name="MORRISON J."/>
            <w:bookmarkEnd w:id="178"/>
            <w:r>
              <w:rPr>
                <w:rFonts w:ascii="arial" w:eastAsia="arial" w:hAnsi="arial" w:cs="arial"/>
                <w:b/>
                <w:color w:val="000000"/>
                <w:sz w:val="30"/>
                <w:lang w:val="en-US" w:eastAsia="en-US" w:bidi="ar-SA"/>
              </w:rPr>
              <w:t>MORRISON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seeks damages against the defendants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assault and/or battery, breach of fiduciary duty and lack of informed consent. The action arises out of an abortion that was performed by the defendant, Dr. Gerald Korn, at the C.A.R.E. Program at the British Columbia Women's Hospital and Health Centre Society on November 1, 1994. The plaintiff alleges that the abortion was performed without her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is a 31-year old woman, born in 1969, in China. She was a star athlete and excellent student in China and moved to Canada in 1987, at the age of 18. Since that time she has attended college and university in Canada, her last three years of university being in Science and Engineering.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When the plaintiff was 25 years of age, she became pregnant, and the events in question took place commencing October 24, 1994, and culminating with the abortion procedure on November 1,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Sit studied at the University of Prince Edward Island beginning in 1991 until May, 1994. She then began her studies in Mechanical Engineering at U.B.C. in 1994, prior to the events in question. Had she stayed at the University of Prince Edward Island for one more year, she would have received her degree in Physics.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mid-September, 1994, the plaintiff suspected that she might be pregnant, presumably because she had missed her period. In mid or late October, still suspecting that she was pregnant, she gave herself two home pregnancy tests, one after the other. The first test showed a deep pink colour, which meant positive, that she was pregnant. She then immediately gave herself a second test, with the same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Prior to doing the home pregnancy tests, Ms. Sit had been to the Vancouver General Hospital for treatment of a suspected urine infection. Dr. Lee at the hospital had given her a prescription which she had filled at a drugstore. In October 1994, Ms. Sit did not have her own family doctor, nor was she covered under the Medical Services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After doing the home pregnancy tests, on October 24, the plaintiff telephoned the Vancouver General Hospital and the Burnaby General Hospital, two hospitals that do perform abortions. She testified that she had been sick for two or three months, but she had been busy at school and had had no time to determine what was wrong with her. The plaintiff denied that she was telephoning V.G.H. or Burnaby for an abortion, but simply to find out if she was indeed pregnant. Both hospitals apparently told her that she would have to be referred by a doctor. She then telephoned the British Columbia Women's Hospital and Health Centre Society, to the C.A.R.E. clinic, which is a facility that provides abortions, and where a doctor referral is not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According to the evidence of the plaintiff, someone at the C.A.R.E. clinic suggested that she taken an ultrasound test to see if she was pregnant or not, and she said that was all she was going to the hospital for. On October 25, she went to the C.A.R.E. centre where an ultrasound was performed. The next day, October 26, in the late afternoon, the plaintiff said she received a telephone call from the C.A.R.E. clinic and was told that she was 13 weeks pregnant.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Evidence given by nurses at the C.A.R.E. clinic established that an ultrasound would not be ordered or performed solely to determine whether or not a patient was pregnant. The C.A.R.E. clinic does not by law perform an abortion after 14 weeks pregnancy, and the ultrasound is ordered in order to firmly establish the length of pregnancy, to determine whether or not an abortion can be performed at the clinic. The evidence of the defendants is in direct conflict with the evidence of the plaintiff, and in this matter and, frankly, in all matters, where there is conflict between the evidence of plaintiff and the evidence of those testifying on behalf of the defendants, I accept without hesitation or qualification the evidence tendered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When the plaintiff telephoned the C.A.R.E. centre on October 24 or 25, they made an appointment for her to have an ultrasound, and also made an appointment for her to see Dr. Korn, who would be the doctor at the C.A.R.E. centre on Tuesday morning, November 1. There would be no doctors at the clinic on the previous day, Monday, October 31. Arrangements were made for an appointment for the plaintiff to see Dr. Korn at his office at 1:30 p.m. on October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attended at Dr. Korn's office at that time, and although the plaintiff says she was just going for information about her pregnancy, I do not accept that evidence, in the face of all the other evidence that was given at trial by both the plaintiff and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arriving at Dr. Korn's office, the plaintiff after some wait, was first seen by Dr. Korn's assistant, Ms. Garcha, a licensed practical nurse. Ms. Garcha testified that she worked for Dr. Korn from 1992 to December 1995, and had been an L.P.N. since 1988. She said she always followed the same standard procedure, and although she did not personally recall the plaintiff, she said that she was testifying based on her regular standard procedure that she followed, plus documents placed in evidence with which she had some dealings.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 crucial document in this case was entitled "CONSENT FOR ABORTION BY DILATION, SUCTION AND CURETTAGE". That one page document is reproduced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C.A.R.E. Program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CONSENT FOR ABORTION BY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DILATION, SUCTION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CURETTAGE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understand that the purpose of this procedure is to terminate my pregnancy.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surgical procedure is without risk of complications and suction abortion is no exception. I understand that complications of the procedure, while extremely rare, may occur in spite of the best intentions and skill of the Women's Health Centre C.A.R.E. Program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Complications which most commonly occur are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Excessive bleeding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Infection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Laceration of the cervix</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Perforation of the uterus and intestines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Continuation of pregnancy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Incomplete emptying of the uterus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Reaction to medications or anaesthetic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complications could cause the need to repeat the procedure, hospitalization, further surgical procedures, hysterectomy, sterility or the need for blood transfusions.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been informed that laminaria (seaweed sticks or a synthetic equivalent) will be inserted to help dilate my cervix and must be removed within 24 hours because of the possibility of infection. I am aware that should I change my mind and decide not to have an abortion after the laminaria are inserted I may not be able to continue my pregnancy without serious problems. These problems include infection, ruptured membranes and miscarriage.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been informed that tests for gonorrhea and chlamydia will be done as a routine part of the pre-abortion procedure. Should any positive results be obtained, I will be contacted.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certify that I have read, or have had read to me, the contents of this form. I understand the risks involved in this procedure. I have made my decision to go ahead with the abortion procedure after having considered all of these possibilities and give my permission for Dr. Korn to perform this procedure on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1046"/>
        <w:gridCol w:w="941"/>
        <w:gridCol w:w="38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Date: October 31/94</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Patient's Signature:</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(Sgd:)</w:t>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Print</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Lil. Sit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Doctor's Signature:</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(Sgd:)</w:t>
            </w:r>
          </w:p>
        </w:tc>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Print</w:t>
            </w:r>
          </w:p>
        </w:tc>
        <w:tc>
          <w:tcPr>
            <w:tcW w:w="378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G.W. Korn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Witness:</w:t>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(Sgd:)</w:t>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Print</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K. Garcha-Singh</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Garcha testified that her standard procedure would be to ask the patient to come where she would be seated at a desk with the patient, at right angles, with both of them behind a glass partition. She would double-check the name and other information on the card number, and then she would go over the consent form with the patient. She would read it out to the patient, explaining it, then ask the patient to read the form, and ask if there were any questions. If there were any questions that Ms. Garcha could answer herself, she would do so; if not, she would refer them to Dr. Korn. She would then ask the patient to sign the consent form and Ms. Garcha would then sign it as a witness. The form would be placed in the patient's file which would be passed to Dr. Korn who would then see the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According to the evidence given by Ms. Sit, Ms. Garcha concealed the form by hunching over the desk, covering the form completely with one arm laid over the form, blocking the view, not allowing Ms. Sit to see the form or read it, and then had Ms. Sit sign the form in this fashion. When Ms. Garcha was in the witness stand, the plaintiff tried to get her to lean over and put her arm over the form in the fashion that Ms. Sit had tried to explain when she was testifying. The result simply confirmed that such a procedure could not have and did not indeed take place. Even with Ms. Garcha leaning over and placing an arm to cover some of the paper, it still left at least half of the document available to be read. But Ms. Garcha was an extremely credible witness who quietly and with some dignity explained that she would never follow such a procedure, that she would never put her arm down in such an awkward manner while she was writing; that the form was very important, but also routine, and that the patient could see the form at all times. She reiterated, in cross-examination, that she normally would read the consent form out to the patient once, then ask if the patient had any questions, allow the patient to read the form for herself, and then ask the patient to sign. If there were questions, they would be answered. Sometimes a patient might want to speak to Dr. Korn before signing the consent, and that was fine also. She also testified that Dr. Korn does not push, when asked if Dr. Korn was pushing because he was in a hurry.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found the evidence of Ms. Sit with regard to this consent form to be totally unreliable, and lacking in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When Dr. Korn then saw Ms. Sit in his office, he drew a diagram for her, showing her the position of the cervix, the womb, and where the laminaria (the two seaweed sticks or synthetic equivalent) would be inserted to help dilate the cervix. A copy of that diagram appeared on Dr. Korn's file, and was entered as an exhibit in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am satisfied that the plaintiff attended Dr. Korn's office in order to begin the process for an abortion, and that she willingly consented to the insertion of the laminaria on October 31 in the office of Dr. Korn. I am also satisfied that there was no question of assault or battery, that at all times Dr. Korn was acting at the request and with the informed consent of the plaintiff. I simply do not accept the plaintiff's evidence that she was unaware that this was an abortion procedure, nor do I accept that she was there for any purpose other than an abortion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Before leaving Dr. Korn's office, the plaintiff was given certain instructions with regard to attending the C.A.R.E. clinic the next morning, at which time the surgical abortion procedure would be performed at the clinic by Dr. Korn. She was given a pamphlet showing her where to attend, and certain instructions about what to wear, bring with her, etc. She had also been told that the insertion of the laminaria might prove uncomfortable, and indeed that proved to be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Sit was having discomfort, and she attended at the U.B.C. Emergency Department on the evening of October 31 and/or the early morning hours of November 1, 1994. At the time, Ms. Sit was in student residence at U.B.C. and she also had her residence at a family home in Burnaby apparently. I say "apparently", because Ms. Sit appeared very reluctant to give any family background or details both at trial and prior to that when she first contacted the C.A.R.E. clinic. For example, in the appointment book sheet which is the initial document prepared when someone telephones the C.A.R.E. clinic, Ms. Sit gave her name as Li Sit, her birthdate of November 21, 1968, and a mailing address in Burnaby. She gave a home telephone number, but indicated that if and when they telephoned her from the C.A.R.E. clinic, for example, with her ultrasound results, that rather than the C.A.R.E. clinic announcing that it was the clinic telephoning her, she would prefer the code word of "Sophie" be used; which is the C.A.R.E. clinic's code word for telling a patient to telephone "Sophie", meaning the C.A.R.E. clinic. That was the preference indicated.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There was no work or school telephone given; and Ms. Sit initially and throughout refused to give an emergency contact, did not disclose a referral, and indicated under the space for emergency contact, where it said "TA" (therapeutic abortion), the box for "No" was filled in. Ms. Sit testified that she told her family about the abortion on November 5, but apparently did not tell them of her pregnancy prior to that time. It was also her evidence that she had had a brief relationship with the father of the child earlier that summer but by August, the relationship had ended. Also, the father had suggested that she go and see a doctor prior to her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Susan Stromberg, a specialist in family medicine and emergency medicine, saw the plaintiff at the U.B.C. emergency department on the late evening of October 31. Ms. Sit was experiencing discomfort, and referred to the "rods", the laminaria, that had been inserted by Dr. Korn. Dr. Stromberg had the impression that the plaintiff was concerned with regard to the upcoming surgical procedure, concerned about the mechanical process, and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According to the notes that Dr. Stromberg made at the time she was seeing the plaintiff that evening, the plaintiff told her that this was her first pregnancy, that she was 13 to 14 weeks pregnant, she had had an ultrasound, and that she had "rods" placed in her cervix to prepare her for an abortion the next day at the Women's clinic. Ms. Sit stated that she did not know if she wanted to have the abortion, and she had numerous questions about how it was done, what would the side effects be, where the rods were, and what was the cervix, etc. Dr. Stromberg's notes state that she explained multiple times to Ms. Sit that yes, they could take the rods out that night if she wanted that, that they could treat her pain with medication regardless of whether the rods were removed or not; and she went over the risks of the procedure which could include bleeding, infection, and that there were matters that could also be discussed with her surgeon or her family doctor if she wished.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decided to have an analgesic and go home. Dr. Stromberg noted that she had the sense that Ms. Sit was not satisfied with the numerous explanations that were given. The testimony by Dr. Stromberg is that she would have offered to remove the rods had the patient wanted that, that this would be a very simple procedure, simply done. That if she had been asked to do so, she certainly would have removed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plaintiff's evidence is in conflict with Dr. Stromberg's. I accept the evidence of Dr. Stromberg as to what occurred at the U.B.C. Emergency Department on the evening in question. I found Dr. Stromberg to be a careful, low key and credible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approximately 7:00 a.m. on November 1, 1994, Ms. Sit arrived at the C.A.R.E. clinic,, 7:30 a.m. being the time that she was booked to go in for the abortion procedure. Another consent form was placed in evidence, signed by the plaintiff, which stipulated that the plaintiff authorised the "physicians and staff at the Women's Health Centre C.A.R.E. Program . . . to carry out examinations, procedures and treatment deemed necessary and advisable for the diagnosis, treatment and continuing care of Li Sit" That was entitled "Consent to Diagnosis, Treatment and Care". The plaintiff says that she has never seen this document before the trial, and that the signature on it was not hers. I do not accept that evidence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progress notes that were filed in evidence consist of the nurses' notes from 7:25 a.m. November 1 to 9:20 a.m. The notes indicate that one of the nurses spoke with the plaintiff between 7:25 and 7:35 that morning, when the plaintiff asked if she could take out the laminaria herself. The nurse suggested that she wait until she saw Dr. Korn, and also advised her that the many questions that Ms. Sit had would be answered in detail in the counselling 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At 8:00 a.m. Kathy Davis, a Registered Nurse since 1972, dealt with Ms. Sit from approximately 8:00 a.m. to 9:00 a.m. Her report indicates that the plaintiff was questioning staff on infection risks and pain during the procedure, and advising them that the laminaria were causing quite a bit of pain. She noted that Ms. Sit was vague and non-committal and unable to decide if she would go on with the abortion procedure. She notes Dr. Korn spoke with the patient, and discussed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Medications had been given but initially not taken, and Ms. Davis decided that she would involve her superior, Barbara Hestrin, in order to give counselling and teaching to Ms. Sit, and to answer the questions that Ms. Sit was posing. She testified that Ms. Hestrin came in and spoke with Ms. Sit for a long time, and that Dr. Korn came in and spoke to her for a long time, and then came in a couple more times. Ms. Davis testified that at no time was Ms. Sit in distress, that she was never struggling or resisting or objecting or complaining about the procedure. Ms. Davis testified that she spent a lot of time talking to Ms. Sit, and trying to help her sort the issues out. She also testified that she found Ms. Sit to be very evasive, unhappy, unsure of her position in life. The plaintiff was concerned if she would ever get pregnant again after the abortion, but also indicated that she could not afford to have a baby at that time. She indicated to Ms. Davis that the biggest concern at the time was the pain she was going through.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Barbara Hestrin, a nurse since 1965, with an impressive background in reproductive technology and the C.A.R.E. program, testified with regard to her counselling and dealing with Ms. Sit on that morning of November 1. She confirmed the other evidence that the C.A.R.E. clinic did not accept patients who only want an ultrasound, that an ultrasound is only performed to confirm whether or not an abortion can be safely and legally done before the 14 week deadline.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Hestrin testified that the plaintiff was either having second thoughts about the abortion, or did not understand the procedure. She said they talked of both. Ms. Sit wanted assurance from both Ms. Hestrin and Dr. Korn that if the pregnancy continued, that they could guarantee a good outcome. Ms. Hestrin explained to her that there could be no such guarantee, but that a decision would have to be made by Ms. Sit, one way or the other. The plaintiff asked Ms. Hestrin what she herself would do, to which Ms. Hestrin gave her the standard response, that it would be depend on what kind of support would be available to help if the pregnancy were to continue, and whether it would be possible to care for a child and manage to have a reasonable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Prior to that, when it appeared that Ms. Sit was not going to go through with the abortion procedure, Ms. Hestrin had a form typed out for the plaintiff to sign, for Ms. Sit to acknowledge she understood the risks associated with the removal of the laminaria. That form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requested that the 2 laminaria inserted on October 31, 1994 be removed and that the scheduled abortion procedure not be performed.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understand that the risks involved in this course of action include:</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spontaneous abortion which could occur at any</w:t>
      </w:r>
    </w:p>
    <w:p>
      <w:pPr>
        <w:numPr>
          <w:numId w:val="2"/>
        </w:numPr>
        <w:spacing w:before="120" w:line="240" w:lineRule="atLeast"/>
        <w:rPr>
          <w:rFonts w:ascii="arial" w:eastAsia="arial" w:hAnsi="arial" w:cs="arial"/>
          <w:sz w:val="20"/>
          <w:lang w:val="en-US" w:eastAsia="en-US" w:bidi="ar-SA"/>
        </w:rPr>
      </w:pP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Infection which could cause damage to my reproductive system.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understand that a prescription for antibiotics to prevent this infection will be provided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Nov 01 1994</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Signed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Dated</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Witnessed</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Sit read the form, but did not sign it. It was then that she asked Ms. Hestrin what Ms. Hestrin would do in her place. Following Ms. Hestrin's answer, according to Ms. Hestrin, Ms. Sit thought for a few moments and then stated clearly that she wished to go ahead with the abortion. Dr. Korn had also re-discussed the issues with Ms. Sit, clearly explaining her choices: to have the laminaria removed and to go home, or to have the abortion procedure. Ms. Hestrin testified that Ms. Sit said, "I want to have the abortion." And that this was stated very clearly.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found Ms. Hestrin to be a very intelligent, caring and credible witness, whose evidence I accept completely. Like the other defence witnesses, her testimony was not shaken or altered in any way by cross-examination, nor by questions from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Standing order medications were then given to Ms. Sit, one being an antibiotic, and one being Ibuprofen, for the prevention of cramping and pain; also Lorazepam, a tranquillizer. Ms. Sit was in the operating room for the abortion procedure from approximately 10:00 a.m. to 10:20 a.m., the procedure itself taking approximately 12 minutes. While in the operating room, her vital signs indicated that at 10:10 a.m. her blood pressure was 110/70 and her pulse was 72. At 10:18 a.m., her blood pressure again was 110/70 and her pulse was 71, all within normal range. She was in the recovery room at 10:20 a.m., and left the unit at 12:03 p.m. The post-procedure report, filed, indicated at 10:25 a.m., blood pressure of 100/60, pulse at 68, spotting and cramps. At 11:10 a.m., blood pressure 90/60, pulse at 72, spotting and minimal pain. Prior to her discharge, she was given detailed home care instructions and birth control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documentary evidence supports the evidence of the nurses who were present before, during and after the surgical procedure, that there was nothing remarkable about the plaintiff during the procedure, that she was given the normal medication before and during the procedure, she was conscious throughout the time, and her vital signs remained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That contrasts sharply with the evidence given by the plaintiff. Ms. Sit gave a extremely dramatic account of the abortion procedure, testifying that she had never consented to the abortion, that she did not know an abortion was going to be performed, that she told the nurse, "I don't want an abortion, I want the baby, please let me go." She said the door was locked and she could not get out, and that she could not get to a pay phone, that she was really cold, and her body was turning purple. She heard a man's voice yelling that as soon as the tubes were removed, "she'll be bleeding to death, as soon as she leaves." Ms. Sit then said an Asian nurse dragged her into the operating room and that she was flipped onto the operating table, that she was restrained or tied down when her feet and legs were positioned. She said her legs were fighting, but she could not get away. She said she screamed really loud, and was crying unstoppably. She described an extremely traumatic and painful ordeal that had caused her tremendous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scene described by Ms. Sit simply did not accord in any way with the hospital records, the nurses' progress notes, and the evidence from the nurses who were present during the surgical procedure. I do not and cannot accept or believe the plaintiff's evidence with regard to what occurred, that she was physically forced and restrained in order to have an abortion against her will.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have the utmost sympathy for Ms. Sit, who, having had an abortion, has had a great deal of post-abortion distress. She was obviously questioning her choice after the laminaria were inserted, and the nurses and doctors were obliged and conscientious in advising her of the risks attendant in the event that the laminaria were removed. That left the plaintiff with a very difficult and emotional choice, whether to have the laminaria removed, knowing of the possible risks, or proceed with the abortion. Nor did she have the luxury of time in making her choice. And there was no indication of family or partner support, at any time, even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accept the defence evidence that the plaintiff finally and clearly chose to go ahead with the abortion, and that at no time was she forced or assaulted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assessing the credibility of the plaintiff, I have to say that she was at times vague and evasive in giving her evidence, and at other times, prone to exaggerate and possibly fabricate her evidence. It may be that after all this time, and given the true distress that she has felt since the abortion, that she may even believe her own account of the abortion at this point in time. But all of the other evidence presented at the seven day trial is simply not in keeping with the account given by Ms. 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Sit impressed me as an extremely bright woman, who displayed a quick grasp of the non-suit motion that was brought in the trial. She was able to give a concise and relevant argument, going over some documents with care, paragraph by paragraph. To say she is well educated is obvious. She appeared confident and organized, although her long, long pauses in either asking questions or answering questions, was puzzling.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one thing I am very sure of is that the plaintiff's post-abortion distress is very real and very painful for her. In my opinion, she came to a tragic conclusion after the abortion was performed, that she wished she had not had the abortion; but that decision came at a time when it was too late. This post-abortion distress has caused great trauma for her, which is sad, and very understandable.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She is a bright and lovely young woman, who feels that she has lost her life, her baby and her career. She feels that the defendants have taken these from her, and seeks compensation for that. But the choice of abortion was never with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evidence at trial simply does not establish proof of the plaintiff's claims. She has failed completely to meet the standard of proof, on a balance of probabilities. On all causes of action,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lack of informed consent, breach of fiduciary duty and battery, there has been a failure to prove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action is dismissed against the defendants,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MORRISON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0" style="position:absolute;z-index:251839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432" w:history="1">
        <w:r>
          <w:rPr>
            <w:rFonts w:ascii="arial" w:eastAsia="arial" w:hAnsi="arial" w:cs="arial"/>
            <w:b/>
            <w:bCs/>
            <w:i/>
            <w:color w:val="0077CC"/>
            <w:kern w:val="32"/>
            <w:sz w:val="28"/>
            <w:szCs w:val="32"/>
            <w:u w:val="single"/>
            <w:shd w:val="clear" w:color="auto" w:fill="FFFFFF"/>
            <w:lang w:val="en-US" w:eastAsia="en-US" w:bidi="ar-SA"/>
          </w:rPr>
          <w:t>Tierney v. GMAC Leaseco Corp., [2010] B.C.J. No. 1640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Cranbrook,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T.M. McEwan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June 22-24, 2010.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August 20, 2010.</w:t>
      </w:r>
    </w:p>
    <w:p>
      <w:pPr>
        <w:spacing w:before="120" w:line="260" w:lineRule="atLeast"/>
        <w:jc w:val="center"/>
        <w:rPr>
          <w:lang w:val="en-US" w:eastAsia="en-US" w:bidi="ar-SA"/>
        </w:rPr>
      </w:pPr>
      <w:r>
        <w:rPr>
          <w:rFonts w:ascii="arial" w:eastAsia="arial" w:hAnsi="arial" w:cs="arial"/>
          <w:color w:val="000000"/>
          <w:sz w:val="20"/>
          <w:lang w:val="en-US" w:eastAsia="en-US" w:bidi="ar-SA"/>
        </w:rPr>
        <w:t>Docket: 17722</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Cranbrook</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[2010] B.C.J. No. 1640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2010 BCSC 1179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191 A.C.W.S. (3d) 1337</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2010 CarswellBC 2201</w:t>
      </w:r>
    </w:p>
    <w:p>
      <w:pPr>
        <w:spacing w:before="120" w:line="260" w:lineRule="atLeast"/>
        <w:rPr>
          <w:lang w:val="en-US" w:eastAsia="en-US" w:bidi="ar-SA"/>
        </w:rPr>
      </w:pPr>
      <w:r>
        <w:rPr>
          <w:rFonts w:ascii="arial" w:eastAsia="arial" w:hAnsi="arial" w:cs="arial"/>
          <w:color w:val="000000"/>
          <w:sz w:val="20"/>
          <w:lang w:val="en-US" w:eastAsia="en-US" w:bidi="ar-SA"/>
        </w:rPr>
        <w:t>Between John Isaac Tierney, Plaintiff, and GMAC Leaseco Corporation, Ronald Becker and Christine Becker,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(51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61" style="position:absolute;z-index:25168793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79" w:name="Keywords_27"/>
      <w:bookmarkEnd w:id="179"/>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Motor vehicles — Liability of driver — Determination of liability for damages suffered by plaintiff in motor vehicle accident — Action dismissed — Plaintiff alleged defendant cut into his lane of traffic, causing him to lose control of his motorcycle — No physical evidence — Parties gave inaccurate versions — Witnesses were unhelpful — Plaintiff failed to carry the burden of proof that, on a balance of probabilities,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was the cause of the accident.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80" w:name="Case Summary_24"/>
            <w:bookmarkEnd w:id="180"/>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Determination of liability for damages suffered by Tierney in a motor vehicle accident. Tierney claimed he lost control of his motorcycle when the defendant, Becker, suddenly cut into his lane of traffic. Tierney alleged he had to cut in front of Becker's vehicle to avoid the collision. Becker claimed Tierney cut behind her vehicle to avoid a collision that he created by cutting into her lane. Tierney had been licensed to operate a motorcycle for about four months and had recently purchased a more powerful, 750cc, motorcycle. </w:t>
            </w:r>
            <w:r>
              <w:rPr>
                <w:lang w:val="en-US" w:eastAsia="en-US" w:bidi="ar-SA"/>
              </w:rPr>
              <w:cr/>
            </w:r>
          </w:p>
          <w:p>
            <w:pPr>
              <w:spacing w:before="120" w:line="260" w:lineRule="atLeast"/>
              <w:ind w:left="240"/>
              <w:jc w:val="both"/>
              <w:rPr>
                <w:lang w:val="en-US" w:eastAsia="en-US" w:bidi="ar-SA"/>
              </w:rPr>
            </w:pPr>
            <w:bookmarkStart w:id="181" w:name="Holdings of Court_17"/>
            <w:bookmarkEnd w:id="181"/>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There was no reliable physical evidence. The parties each gave versions that could not be completely accurate. The witnesses were unhelpful, in that they were all wrong in some particulars, and given that the photographs did not appear to support what they suggested about the scene. Tierney failed to carry the burden of proof that, on a balance of probabilities, Becker's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cause of the accident. </w:t>
            </w:r>
            <w:r>
              <w:rPr>
                <w:lang w:val="en-US" w:eastAsia="en-US" w:bidi="ar-SA"/>
              </w:rPr>
              <w:cr/>
            </w:r>
          </w:p>
          <w:p>
            <w:pPr>
              <w:rPr>
                <w:lang w:val="en-US" w:eastAsia="en-US" w:bidi="ar-SA"/>
              </w:rPr>
            </w:pPr>
          </w:p>
        </w:tc>
      </w:tr>
    </w:tbl>
    <w:p>
      <w:pPr>
        <w:jc w:val="both"/>
        <w:rPr>
          <w:lang w:val="en-US" w:eastAsia="en-US" w:bidi="ar-SA"/>
        </w:rPr>
      </w:pPr>
      <w:bookmarkStart w:id="182" w:name="Counsel_28"/>
      <w:bookmarkEnd w:id="182"/>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62" style="position:absolute;z-index:25173913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D. Kawano, W. Rogers.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J. Doricic.</w:t>
      </w:r>
      <w:r>
        <w:rPr>
          <w:lang w:val="en-US" w:eastAsia="en-US" w:bidi="ar-SA"/>
        </w:rPr>
        <w:cr/>
      </w:r>
    </w:p>
    <w:p>
      <w:pPr>
        <w:spacing w:after="240"/>
        <w:rPr>
          <w:lang w:val="en-US" w:eastAsia="en-US" w:bidi="ar-SA"/>
        </w:rPr>
      </w:pPr>
      <w:bookmarkStart w:id="183" w:name="Judgment_28"/>
      <w:bookmarkEnd w:id="183"/>
      <w:r>
        <w:pict>
          <v:line id="_x0000_s1163" style="position:absolute;z-index:251790336"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84" w:name="T.M. McEWAN J._0"/>
            <w:bookmarkEnd w:id="184"/>
            <w:r>
              <w:rPr>
                <w:rFonts w:ascii="arial" w:eastAsia="arial" w:hAnsi="arial" w:cs="arial"/>
                <w:b/>
                <w:color w:val="000000"/>
                <w:sz w:val="30"/>
                <w:lang w:val="en-US" w:eastAsia="en-US" w:bidi="ar-SA"/>
              </w:rPr>
              <w:t>T.M. McEWAN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matter proceeded on the question of liability for a motor vehicle accident that occurred on July 16, 2005 in Kimberley, British Columbia. The questions of damages and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adjourned generally.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incident giving rise to this claim was a near-collision between a motor vehicle operated by the defendant Christine Becker, and a motorcycle operated by the plaintiff. It occurred at or near a curve on Jennings Avenue in Kimberley, British Columbia. The plaintiff lost control of his motorcycle and struck a building supply store located on the opposite side of the road from his proper lane of travel. The plaintiff claims that the defendant cut into the corner on his side of the road forcing him to take evasive action by turning sharply </w:t>
      </w:r>
      <w:r>
        <w:rPr>
          <w:rFonts w:ascii="arial" w:eastAsia="arial" w:hAnsi="arial" w:cs="arial"/>
          <w:color w:val="000000"/>
          <w:sz w:val="20"/>
          <w:u w:val="single"/>
          <w:lang w:val="en-US" w:eastAsia="en-US" w:bidi="ar-SA"/>
        </w:rPr>
        <w:t>around the front of her car</w:t>
      </w:r>
      <w:r>
        <w:rPr>
          <w:rFonts w:ascii="arial" w:eastAsia="arial" w:hAnsi="arial" w:cs="arial"/>
          <w:color w:val="000000"/>
          <w:sz w:val="20"/>
          <w:lang w:val="en-US" w:eastAsia="en-US" w:bidi="ar-SA"/>
        </w:rPr>
        <w:t xml:space="preserve"> and causing him to lose control when he corrected. The defendant denies that she was in the plaintiff's lane. She said that she remained in her own lane and that as she came into the corner, and looked to her left, she saw the plaintiff's motorcycle and believed it was going to strike her. She said the motorcycle avoided a collision by passing </w:t>
      </w:r>
      <w:r>
        <w:rPr>
          <w:rFonts w:ascii="arial" w:eastAsia="arial" w:hAnsi="arial" w:cs="arial"/>
          <w:color w:val="000000"/>
          <w:sz w:val="20"/>
          <w:u w:val="single"/>
          <w:lang w:val="en-US" w:eastAsia="en-US" w:bidi="ar-SA"/>
        </w:rPr>
        <w:t>behind her car</w:t>
      </w:r>
      <w:r>
        <w:rPr>
          <w:rFonts w:ascii="arial" w:eastAsia="arial" w:hAnsi="arial" w:cs="arial"/>
          <w:color w:val="000000"/>
          <w:sz w:val="20"/>
          <w:lang w:val="en-US" w:eastAsia="en-US" w:bidi="ar-SA"/>
        </w:rPr>
        <w:t xml:space="preserve"> and sliding into a building supply store which was parallel to her lane of travel and to her right.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Following a 911 call the ambulance service, and later, the RCMP, attended. The plaintiff's injuries were treated at the scene. The plaintiff suffered a broken leg and other injuries it is not necessary to detail here. The police attended and took a number of photographs that were useful in showing the general layout of the street, buildings, and parked vehicles in and about the scene. There was no evidence of skid marks to assist in any analysis of what actually occurred. The court was therefore left to make what it could of the parties' versions of events and what the collateral witnesses had to say.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circumstances leading up to the incident were somewhat uncertain. He had worked that day as a roofer, on a cash basis, near Creston. He worked until about 4 p.m. then travelled back to Kimberley, a drive of about an hour and a half. There is conflicting evidence about whether he drove straight home, or whether and when he stopped, if he did not go straight home. If he stopped, there is conflicting evidence as to whether he had a drink at a friends' before he went home, or stopped at a bocce pit and had a beer there. In his direct evidence he said he went home and had about a quarter of a drink his wife had poured for herself.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is conflicting evidence about who was at his home when he got there. In his direct evidence the plaintiff said that the only person at home was his wife Chelsea (then his girlfriend), while he had said, at the time he was examined for discovery, that two friends had arrived by the time he got there. The witnesses are not much clearer in their evidence as to when they arrived relative to the plaintiff, or what people were doing at his home, beyond the fact that they had come together to socialize. This was in connection with a skateboarding event they were either participating in, or helping with, as part of Kimberley's annual July Fest.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None of these details are important in and of themselves, but only as they reflect on the reliability of the evidence the witnesses had to give as to what occurred at the scene.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said that when he got home his motorcycle had been knocked over and that he picked it up. On discovery he had said that it was upright and that his wife told him it had been damaged. He agreed in cross-examination that his wife had told him about the damage. The plaintiff said he was upset about the damage. At a point in the evening when at least Matt Shaw and Jeff Margerum were present, he went out and examined the bike.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motorcycle was a 1983 Yamaha 750 that the plaintiff had only recently acquired. He had only been licensed to operate a motorcycle for about 4 months, and he had qualified on a smaller, lighter 250 cc motorcycle. The Yamaha 750 had been insured for about three weeks, during which time it appears the plaintiff had had only a handful of opportunities to ride. He had very little experience with a motorcycle that size, or in anything but dry weather.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acknowledged that he may have been tired that evening. Whatever his inability to recall what he drank, or where he drank, it is clear that he was not legally impaired. The police administered an ASD test at the scene which yielded a low reading consistent with any of the drinking patterns the plaintiff had, on different occasions, described.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When he looked his bike over, the plaintiff observed that oil had leaked from it and he acknowledged that he was not very happy about that. He decided to give it a ride to check it out.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set out without a helmet. He was wearing a tee shirt, shorts, and sandals. He first crossed Jennings Avenue and rode into a gravel parking lot a little south of his garage. He turned around in the parking lot and drove back onto Jennings without stopping to check for traffic, and headed north. The plaintiff acknowledged that he knew there would be an increased police presence in Kimberly for the July Fest weekend.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curve on Jennings road where the incident occurred is an angled turn, of less than 90 degrees, to the right for traffic moving in the plaintiff's direction. Sight lines are poor as the corner is approached due to a 6' fence that obscures the view. A van parked beside the fence, shown in the police photographs, further obscured the view around the corner. The road past the corner proceeds a short distance, then intersects Highway 95A. Just inside that intersection is the blocked end of Ross Street, the next street toward the Highway after Jennings Avenue.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acknowledged that he did not want to go near Ross Street because of the possibility of encountering police. In discovery he had been more explicit, saying that he had intended to go, "perhaps near the entrance of the building supply store".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acknowledged that he was not expecting traffic and that the building supply store was closed. He was "choked" (that is, upset) that his motorcycle may have been damaged and was listening for knocks in the engine. He was surprised by the presence of the defendant's vehicle and said it "looked like" she was cutting the corner. He said he steered left, then right, and after the re-correction lost control on the damp road. He ended up at a point almost directly on line with his original path of travel on the opposite side of the road.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defendant was operating a beige Buick Century that she had had for three years. She was familiar with the road and the area, and had travelled on Jennings Avenue often to visit her father. She and her sister Jan Wallach had been to a food store on highway 95A to purchase supplies for a booth they were operating at the civic centre to raise money for Kimberley Minor Hockey. They were in no particular hurry. Getting to the Arena required a right angle right turn off the highway and, after a short straight stretch, a left turn on the curve where the incident occurred. The defendant maintained that although the road was unmarked, she had kept to her side and said that as she got to the "entrance way" of the building supply store she saw the motorcycle. She said she was travelling about 30 kilometres per hour.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 said the motorcycle was heading for her left front bumper and she said, "Oh my God, he is going to hit us." She said the plaintiff swerved to the right and that he then slid behind her. She said she kept moving straight and pulled ahead, still parallel to the building supply store. She said she did not have to back up to get into that position, which would have been the case had she already commenced her turn into the curve.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 says she got out immediately and ran down the street to get someone to phone 911. She called to two people further down Jennings Avenue. She then went back to the scene. She says her sister was with the plaintiff, and that, in the meantime, the plaintiff's girlfriend, Chelsea Krell, had arrived. Ms. Krell knew the plaintiffs' sister. The defendant says she told the plaintiff that he was stupid and could have killed himself and that he twice said he was sorry, and asked if she was "ok". Neither the plaintiff, nor Chelsea, accused her of doing anything wrong.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She said an ambulance attendant arrived on foot within minutes of the incident and about 15 minutes later an ambulance arrived. The defendant and her sister had waited around but the plaintiff appeared to be in good hands and they left the scene and proceeded to the arena.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 that agreed the motorcycle must have been visible for some time before she saw him. She said she had no idea how fast he was going. She said she did not call the police. She believed she had not done anything wrong.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plaintiff's sister, Jan Wallach, confirms the outline of the plaintiff's story respecting how they came to be on Jennings Avenue at the time of the incident and where they expected to go. She was preoccupied with some receipts, and apart from hearing the defendant call out that the plaintiff was going to hit them, she cannot contribute to the evidence as to what exactly happened. She says that the plaintiff pulled straight ahead to the curb along the side of the building supply store and that it was not necessary to stop or reverse out of the turn to do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Wallach got out of the vehicle immediately and went over to where the plaintiff was lying. She recognized him, and Chelsea Krell. She said she was chiding the plaintiff as if he were one of her own children and said he said "I'm sorry, I'm sorry". When Chelsea Krell arrived she held the plaintiff's head in her lap. Ms. Wallach said that there was an odour of leaking gas, and that, for that reason, she asked a young man standing nearby to put out his cigarette.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When the ambulance attendant arrived Ms. Wallach said that she and the defendant backed off and "let him do his thing". She said after a few minutes she and the plaintiff went on their way. She said she did not feel that the defendant was responsible for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Donald Erichsen, a police officer who attended, testified that he responded to a call from about 2 - 3 minutes away on highway 95A. He saw the plaintiff down near the concrete wall of the building centre, being treated by an ambulance attendant. He asked the plaintiff if he had had anything to drink and was advised that he had one beer about an hour before, "down at the bocce pits". He administered an ASD demand. The instrument detected alcohol but in an amount lower than the threshold for either a roadside suspension or a charge of impaired driving. He issued the plaintiff s ticket for failing to wear a helmet.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Officer Erichsen says that no one present suggested that anyone else was involved and the matter was treated as a single motorcycle accident. He said that if there had been any suggestion that another vehicle was involved, the police would have regarded that as important. He spoke to one of the plaintiff's acquaintances, Matt Shaw, at the scene. Mr. Shaw did not suggest that another vehicle was involved. He did not talk to any other witness, although he now knows, as a result of reviewing the file, that another person was present.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Chelsea Krell, now Chelsea Tierney, testified that she was at home alone on the afternoon of July 16 when the plaintiff arrived after working in Creston. She said Matt Shaw and Jason Margerum and some others came along later. She said that after the plaintiff got cleaned up he went outside to check on his motorcycle. She said the motorcycle was in front of their garage on the side of the street (Jennings). She said he drank a quarter of a glass of rum and coke she had been drinking. She said Matt Shaw and Jason Margerum arrived just before 6 p.m. She did not see the plaintiff after he went out to look at the motorcycle and she did not see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Tierney was sitting on the steps outside the house when she heard someone yell to call 911. Matt Shaw went down the street toward the scene. Ms. Tierney then went down herself. She supported the plaintiff's neck, where he had come to rest near the building supply store. She says she saw a car pulled off on Jennings Avenue, parked not parallel to the building supply store but on Jennings Avenue, past the start of the bend, near a telephone pole she identified in a police photograph. Ms. Tierney said that she recognized the vehicle as belonging to one of the Wallach sisters, and she personally knew Jan Wallach. She said there was no discussion with either of the sisters.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Tierney thought it was about 10 minutes before the ambulance attendants arrived. The Wallach sisters left after the ambulance came, but before the police arrived.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cross examination Ms. Tierney did not recall a gas leak at the scene or any conversation about putting out a cigarette. She denied making a "shushing" sign when Ms. Wallach mentioned alcohol, or that the plaintiff's consumption of alcohol came up at all before the police arrived. She said that when she arrived on the scene Jan Wallach was not there but that Matt Shaw was.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Matt Shaw testified that he arrived at the Tierney house around 2 p.m. He drank at least three beer and believes he had been at the house for 4 or 5 hours when the incident occurred. He said he was standing outside the garage in the parking area next to Jennings Avenue. He watched the plaintiff cross the street and turn the motorcycle around in the gravel parking lot on the other side of the road, then proceed down Jennings Avenue to the scene. Mr. Shaw remembers seeing car lights coming around the corner and seeing the motorcycle slide straight into the building supply store. He said the plaintiff had made one or two shifts as he accelerated down Jennings Avenue, but that his speed was "nothing excessive". He said the plaintiff made a move to go around the front of the car. He said he saw the car, then the plaintiff's evasive manoeuvre, and that it was "very quick". He said the car slammed on its brakes.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Shaw said that he got to the scene before Chelsea. He said the driver of the vehicle was still there when the ambulance crew arrived, and when the ambulance took the plaintiff away. He said he did not speak to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cross examination Mr. Shaw agreed that he had never mentioned headlights before although he had given a statement about a month after the accident. He agreed that he cannot really say the defendant's car was in the plaintiff's lane. He said she was not travelling very fast and that she stopped right away. He said she had to move for the ambulance, which was on the scene very quickly. He thought there was one occupant of the car and thought it was silver blue or blue. He said it moved off to the side of the road in about the same location Chelsea Tierney suggested, "near the van", in the police photographs. He did not see when the defendant's vehicle left the scene. He said he spoke to the police, but did not blame the defendant for the accident in that discussion.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Jason Margerum has been a resident of Kimberley for some years. He often saw the plaintiff in the period of time before the accident but sees less of him now.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Margerum recalled that when he arrived at the Tierney house both the plaintiff and Chelsea were there. He thought it was around 5 p.m. He said there were quite a few people milling around, but that he had nothing to drink.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Margerum said that the plaintiff was concerned about moving his motorcycle from the yard into the garage so that it would not be knocked over. He said the plaintiff started the motorcycle, then took it across the street to a gravel parking lot before heading down Jennings Avenue toward the scene. Mr. Margerum was standing on Jennings Avenue in the area for parked cars on the other side of the road from the Tierney's residence (the other side of the street from Matt Shaw's vantage). He was at the rear of his Mazda getting something out of it, although he is now not sure what that was. He had his back to the plaintiff while he turned around in the parking lot but heard him ride past. He then heard an abrupt change in the engine sound of the motorcycle, looked up, and saw the plaintiff swerving to avoid a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Margerum said that the defendant's vehicle looked like it had entered the turn. He said the plaintiff's motorcycle passed in front of the defendant's vehicle. He said the vehicle stopped abruptly. He said the motorcycle made either a clutch or a brake sound, following which the sound went up again.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Margerum was the person who called 911. He hesitated before going to the scene to let others tell him how bad it was.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Margerum's impression was that the motorcycle was travelling at a "normal" rate of speed, "not excessive".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Margerum said that the occupants of the defendant's vehicle were sitting in the vehicle when he arrived. He did not see them get out of the vehicle and did not know when they drove away. He did not speak to the police who were at the scene and did not blame the other driver. About a month later he gave a statement to counsel in which he had said he saw an oncoming car "clearly encroaching".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An issue arose in respect of statements given by the witnesses to the solicitor for the plaintiff. Certain similarities in the phrasing used by the witnesses give rise, in the defendant's submission, to an issue respecting either collaboration or tailoring, that should give rise to an inference that they may not be reliable. The statements are not evidence in themselves, and in this context are only available to contradict the witness. Their preparation by a lawyer means that they may not be precisely in the witnesses' own words, although it remains the responsibility of any witness who signifies agreement with the contents to be sure he is making an accurate statement. To the extent the statements are relevant they may be used to test the direct evidence of the witness in the box. Their provenance may be put to the witness, but any enquiry beyond that is collateral and impermissible.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Counsel for the defence has said that he was not inviting an adverse inference respecting the firm that prepared the statement. Because this caused some concern to the plaintiff's lawyer, I will simply say that no such inference could be invited in the circumstances, or drawn by the court. The statements were marked in this proceeding because of the issue the defendant wished to make of them, but they form no part of the evidence and have only the conventional use that I have described.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court had the benefit of photographs of the scene prepared by the RCMP and subsequently by defence counsel. These were introduced without objection and without calling the makers of the photographs to give evidence about them. The RCMP photographs show the weather and road conditions on the evening in question. The road appears damp. They show that at the time there was no marked centre line. There is a rough seam near the centre on Jennings Avenue. One must, of course, be careful of the inferences drawn from photographs, particularly where depth perception is important. Having heard all the evidence and reviewed the photographs, I am of the view that it would be very hard to tell from the vantage of the witnesses, Shaw and Margerum whether a vehicle coming from the left side of the curve on Jennings Avenue was over the rough center of the road or not. It is a relatively flat plane and a difference of a few feet horizontally at the distance of 60 metres or so would be difficult to discern. Secondly, given the open angle of the curve (? 90 degrees) it is difficult to draw any inference from the sight of headlights as to the specific position of the defendant's vehicle in the curve, if indeed she got that far.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It is obvious that much of the direct evidence is contradictory and somewhat confusing. I am satisfied on a balance of probabilities that the defendant must be wrong about the motorcycle passing behind her. This makes it difficult to be sure about her evidence respecting whether she was cutting the corner. On this issue there is a straight credibility conflict.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This really only matters if, on a balance of probabilities, it is established that the plaintiff was intending to turn right at the corner and to proceed on Jennings Avenue past the curve. In that case, if the defendant were encroaching, she might have foreclosed the plaintiff's ability to proceed in his own lane, and forced him to take evasive action, or, in the moment, to believe he had to take evasive action. It is a different scenario if the plaintiff was intending to proceed to the building supply store and turn around. This was the version he gave on discovery. When this was put to him, along with a number of other inconsistencies - most notably his clearly incorrect assertion that the defendant drove away in haste - it is clear that the plaintiff has modified his case over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If one looks to the surrounding circumstances it is clear that the plaintiff was somewhat tired, somewhat upset and somewhat pre-occupied with his motorcycle as he proceeded up Jennings Avenue. What happened next is consistent with the sort of event where the person in the plaintiff's position has the right of way and is suddenly surprised by the incursion of a vehicle into his path. The difficulty here is that the defendant's vehicle had a right to enter the curve and it was continuing in a straight line that was the servient use. If the plaintiff was simply driving straight to the building supply store, preoccupied by his motorcycle, there is very little significance to where, exactly, relative to the centre line the defendant was, because the defendant's presence would be a surprise wherever he encountered her. That is a more probable version, given what is known of the scene and the circumstances leading up to his loss of control of the motorcycle. The trial version of the plaintiff's evidence is undermined by his acknowledged past statements under oath. As he said earlier, there was reason to avoid turning towards the highway because he was not wearing a helmet, and he knew there was an enhanced police presence in that direction because of the July Fest celebrations.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this case there is no reliable physical evidence. The parties have each given versions that cannot be completely accurate. The witnesses are unhelpful, in that they are all wrong in some particulars, and given that the photographs do not appear to support what they suggest about the scene. They do point up the difficulty of drawing inferences from what they think they saw on the curve at a shallow angle, from a considerable distance, on a flat plane.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There is often little use one can make of post-event conduct. People often apologize, for example, for things that are not their fault. It is remarkable however, that if this was, in fact, an incident in which the defendant was at fault or shares some fault, no one at the scene saw it that way, or was concerned enough to insist the defendant await the police, or to report her involvement to the police when they appeared.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 clearly did not flee, but attended the scene aware that she and her sister were known to the plaintiff and to Chelsea Tierney, and left only after it was clear there was nothing more for them to do. The defendant was never questioned or investigated.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absence of physical evidence, and the unreliability of the various witnesses, including irreconcilable contradictions in the evidence, leaves the court to weigh what it has. This is not a case where both parties are implicated and it is not possible to discern the degree to which each is responsible, leading to an equal split in liability. For the plaintiff to succeed, the court must accept his evidence that, first, he intended to turn right at the curve and second, that the defendant was in his lane at that point. His own evidence and the surrounding evidence and circumstances suggest it is unlikely that his intention at the time was to go up to the highway.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defendant on the other hand, gives a straightforward story of proceeding from the highway to the curve on Jennings Avenue, having made a recent right turn. She had had little opportunity to accelerate as she approached the curve. She was not preoccupied or distracted. Her evidence is unreliable in the aftermath of the realization that her vehicle was in danger of colliding with the plaintiff's motorcycle, but not in respect to the details leading up to the event.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 do not think it is possible to say what happened with complete confidence, although I think the defendant's version of events more likely. What that means for the plaintiff is that he has failed to carry the burden of proof that, on a balance of probabilities,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cause of the accident. This means, accordingly, that the plaintiff's action is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Costs will follow this result unless further submissions are required.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T.M. McEWAN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8405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39" w:history="1">
        <w:r>
          <w:rPr>
            <w:rFonts w:ascii="arial" w:eastAsia="arial" w:hAnsi="arial" w:cs="arial"/>
            <w:b/>
            <w:bCs/>
            <w:i/>
            <w:color w:val="0077CC"/>
            <w:kern w:val="32"/>
            <w:sz w:val="28"/>
            <w:szCs w:val="32"/>
            <w:u w:val="single"/>
            <w:shd w:val="clear" w:color="auto" w:fill="FFFFFF"/>
            <w:lang w:val="en-US" w:eastAsia="en-US" w:bidi="ar-SA"/>
          </w:rPr>
          <w:t>Tremblay v. Westfair Foods Ltd., [2003] B.C.J. No. 1621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Slade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13,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30,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01-3053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1621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1017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124 A.C.W.S. (3d) 1024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B.C.T.C. 1017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Valli Sandra Tremblay, plaintiff, and Westfair Foods Ltd.,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5"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5" w:name="Keywords_28"/>
      <w:bookmarkEnd w:id="185"/>
      <w:r>
        <w:rPr>
          <w:rFonts w:ascii="arial" w:eastAsia="arial" w:hAnsi="arial" w:cs="arial"/>
          <w:b/>
          <w:color w:val="000000"/>
          <w:sz w:val="20"/>
          <w:lang w:val="en-US" w:eastAsia="en-US" w:bidi="ar-SA"/>
        </w:rPr>
        <w:t xml:space="preserve">Torts — Occupier's liability 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dangerous premises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particular occupiers — Retail store.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6" w:name="Case Summary_25"/>
            <w:bookmarkEnd w:id="18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Summary trial of a claim by Tremblay for damages for personal injuries. Tremblay slipped and fell in a puddle of liquid in Westfair's grocery store. A witness had noticed the puddle 10 minutes before Tremblay's accident and had gone to find a store employee to clean it up. Tremblay fell before they returned to the puddle. Westfair agreed that there was a prima facie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store had hourly inspections, sweepings, and wet moppings as determined to be necessary. A log was maintained to record these tasks, and the last log entry was one half hour before the accident. The court did not receive an affidavit from a store employee referred to in the store's incident report as a witness. Westfair argued that its clean-up scheme was reasonable in the circumstances. Tremblay argued that the court should draw an adverse inference from Westfair's failure to call evidence from its employee witness to establish liability.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7" w:name="Holdings of Court_18"/>
            <w:bookmarkEnd w:id="187"/>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Westfair had a reasonable maintenance scheme. Its failure to present its employee witness's evidence could have raised an adverse inference that strengthened Tremblay's case, but to infer evidence contradicting other evidence that the store's clean-up scheme had been followed would have required inventing evidence out of thin air.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8" w:name="Legislation Cited_20"/>
      <w:bookmarkEnd w:id="18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6"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9" w:name="Counsel_29"/>
      <w:bookmarkEnd w:id="18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7" style="position:absolute;z-index:251791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R.J. Dumonceaux, for the plaintiff. I.C. Hallam,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0" w:name="Judgment_29"/>
      <w:bookmarkEnd w:id="190"/>
      <w:r>
        <w:pict>
          <v:line id="_x0000_s1168" style="position:absolute;z-index:25184153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1" w:name="SLADE J."/>
            <w:bookmarkEnd w:id="191"/>
            <w:r>
              <w:rPr>
                <w:rFonts w:ascii="arial" w:eastAsia="arial" w:hAnsi="arial" w:cs="arial"/>
                <w:b/>
                <w:color w:val="000000"/>
                <w:sz w:val="30"/>
                <w:lang w:val="en-US" w:eastAsia="en-US" w:bidi="ar-SA"/>
              </w:rPr>
              <w:t>SLADE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While shopping in the defendant's 'Great Canadian Superstore', the plaintiff stepped in a puddle of blue liquid, slipped, and fell. She was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matter is before the court for determination of the liability issue by summary trial pursuant to Rule 18A. Both parties wish the matter to be so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 concedes that the circumstances of the slip and fall incident establish a prima facie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It is common ground that the onus is on the defendant to refute the plaintiff's case by showing that it had a reasonable scheme for the clean-up of items which, if left on the floor, presented a hazard to shoppers. The onus also falls to the defendant to prove that the scheme was being followed. The applicable law is as stated in Atkins v. Jim Pattison Industries Ltd., </w:t>
      </w:r>
      <w:hyperlink r:id="rId440" w:history="1">
        <w:r>
          <w:rPr>
            <w:rFonts w:ascii="arial" w:eastAsia="arial" w:hAnsi="arial" w:cs="arial"/>
            <w:i/>
            <w:color w:val="0077CC"/>
            <w:sz w:val="20"/>
            <w:u w:val="single"/>
            <w:shd w:val="clear" w:color="auto" w:fill="FFFFFF"/>
            <w:lang w:val="en-US" w:eastAsia="en-US" w:bidi="ar-SA"/>
          </w:rPr>
          <w:t>[1998] B.C.J. No. 3050</w:t>
        </w:r>
      </w:hyperlink>
      <w:r>
        <w:rPr>
          <w:rFonts w:ascii="arial" w:eastAsia="arial" w:hAnsi="arial" w:cs="arial"/>
          <w:color w:val="000000"/>
          <w:sz w:val="20"/>
          <w:lang w:val="en-US" w:eastAsia="en-US" w:bidi="ar-SA"/>
        </w:rPr>
        <w:t xml:space="preserv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introduced evidence of a clean-up scheme which has, in cases arising from other slip and fall incidents, been accepted by the court as reasonable. There was also evidence that this scheme was followed in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It is of no great moment that the defendant's clean-up scheme has been found to be reasonable in other cases, as the reasonableness of the scheme must be determined in the circumstances of the case at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was in the area of the store between the aisles and the check-out counters when she slipped and fell. Just 10 minutes earlier another shopper had stepped in the same puddle of liquid, and, concerned that someone else might slip and fall, set out to alert members of the staff to the presence of this hazard. She was unable to attract the attention of the cashiers, as they were busy with customers. There is no evidence that she alerted them to the nature of her concern. She went off to find a staff member in the aisles, and returned, with an employee of the store, around 10 minutes later. Unfortunately, it was too late, as the plaintiff had encountered the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appeared to the other shopper that she was the first to step in the puddle. There were no other foot marks, or tracks from shopping carts.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Members of the staff attended to the plaintiff and, after her departure, an incident report was completed. The incident report noted the presence of two witnesses: one was the shopper who had first stepped in the puddle; the other was a named employee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Affidavit evidence from employees of the defendant set out the details of the defendant's scheme to maintain the store reasonably free of hazards. This involved hourly inspections, sweepings, and wet-mopping as determined to be necessary. A log is maintained to record staff attendances to these tasks. The last log entry was approximately one half hour before this incident. The store also has a policy of requiring staff to watch for and clean up any spills.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Affidavits from the shopper who first encountered the spill were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 was no evidence from the employee referred to in the incident report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These are the issues:</w:t>
      </w:r>
      <w:r>
        <w:rPr>
          <w:rFonts w:ascii="arial" w:eastAsia="arial" w:hAnsi="arial" w:cs="arial"/>
          <w:sz w:val="20"/>
          <w:lang w:val="en-US" w:eastAsia="en-US" w:bidi="ar-SA"/>
        </w:rPr>
        <w:cr/>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defendant's clean-up scheme reasonable in the circumstances;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will an adverse inference, arising out of the defendant's failure to call evidence from the employee listed as a witness, suffice, in the circumstances, to establish liability on the part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Reasonable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does not dispute that the defendant has a policy, and in fact practices, reasonably frequent inspections for the detection of spills of liquids and food items which may present a hazard to people walking about the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submits that the circumstances of this incident reveal a significant deficiency in this preventive scheme, in that there is no evidence of a ready means by which a customer may alert staff to the presence of a hazard. If such means existed, the concerned shopper who first encountered the puddle would have been able to attract the attention of a staff member, who would be obligated by the existing policy to clean it up immediately.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is my understanding of the plaintiff's position that the proposed standard of care, given that spills are not infrequent in grocery stores, could be satisfied by having a designated employee, an alarm device, or perhaps a telephone to serve as a spill hot line, which would enable any customer to quickly alert staff to the presence of a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 respectful listener, when presented with an innovative proposal, may respond in a number of ways. He or she may say, "That is a good idea", or, perhaps, "That is an idea". Suffice it to say, for the present purposes, that it is difficult to conceive that the civic minded concerned shopper in the present case would, had the proposed scheme been available, been able to draw staff's attention to the spill any more quickly than she in fact did. The standard proposed by the plaintiff begs the question: where would such a person or device be located, and how would one find he, she or it? To locate a designated person, an alarm device, or a spill hot line, in a grocery store, particularly one as huge as a Real Canadian Superstore, would surely take as much time as it did to find and attract the attention of an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 find that the material facts of the present case are indistinguishable from those in which stores of the type operated by the defendant have been found not to be liable in circumstances in which they have proven a reasonable maintenance scheme, and that the scheme was in fact followed. One such decision is in Gryschuk v. Westfair Foods Ltd., </w:t>
      </w:r>
      <w:hyperlink r:id="rId441" w:history="1">
        <w:r>
          <w:rPr>
            <w:rFonts w:ascii="arial" w:eastAsia="arial" w:hAnsi="arial" w:cs="arial"/>
            <w:i/>
            <w:color w:val="0077CC"/>
            <w:sz w:val="20"/>
            <w:u w:val="single"/>
            <w:shd w:val="clear" w:color="auto" w:fill="FFFFFF"/>
            <w:lang w:val="en-US" w:eastAsia="en-US" w:bidi="ar-SA"/>
          </w:rPr>
          <w:t>[1999] B.C.J. No. 302</w:t>
        </w:r>
      </w:hyperlink>
      <w:r>
        <w:rPr>
          <w:rFonts w:ascii="arial" w:eastAsia="arial" w:hAnsi="arial" w:cs="arial"/>
          <w:color w:val="000000"/>
          <w:sz w:val="20"/>
          <w:lang w:val="en-US" w:eastAsia="en-US" w:bidi="ar-SA"/>
        </w:rPr>
        <w:t>, February 12, 1999, Vancouver Registry No. C950982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Adverse Inference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submits that, due to the failure of the defendant to introduce evidence of the witness named in the incident report, I should draw the inference that the evidence of that person would have exposed facts unfavourable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defendant relies on Murray v. Saskatoon, </w:t>
      </w:r>
      <w:hyperlink r:id="rId442" w:history="1">
        <w:r>
          <w:rPr>
            <w:rFonts w:ascii="arial" w:eastAsia="arial" w:hAnsi="arial" w:cs="arial"/>
            <w:i/>
            <w:color w:val="0077CC"/>
            <w:sz w:val="20"/>
            <w:u w:val="single"/>
            <w:shd w:val="clear" w:color="auto" w:fill="FFFFFF"/>
            <w:lang w:val="en-US" w:eastAsia="en-US" w:bidi="ar-SA"/>
          </w:rPr>
          <w:t>[1952] 2 D.L.R. 499</w:t>
        </w:r>
      </w:hyperlink>
      <w:r>
        <w:rPr>
          <w:rFonts w:ascii="arial" w:eastAsia="arial" w:hAnsi="arial" w:cs="arial"/>
          <w:color w:val="000000"/>
          <w:sz w:val="20"/>
          <w:lang w:val="en-US" w:eastAsia="en-US" w:bidi="ar-SA"/>
        </w:rPr>
        <w:t xml:space="preserve"> (Sask. C.A.). In Murray, the defendant's street car struck and killed a pedestrian in an intersection. At trial the defendant was found to be negligent. The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based upon the speed of the street car in the circumstances of the case. The defendant did not explain the unreasonable rate of speed. The Saskatchewan Court of Appeal accepted that an inference could be drawn from that evidence that a party failed to bring before a court would have exposed facts unfavourable to the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the present case, the plaintiff's position, if accepted, would mean that the adverse inference was taken as proof of a specific negligent act. Murray v. Saskatoon is not authority for the proposition that a negative inference may provide proof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where that proof is not otherwise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An example of a permitted use of an adverse inference is revealed in Northern Wood Preservers Ltd. v. Hall Corporation (Shipping) 1969 Ltd. et al </w:t>
      </w:r>
      <w:hyperlink r:id="rId443" w:history="1">
        <w:r>
          <w:rPr>
            <w:rFonts w:ascii="arial" w:eastAsia="arial" w:hAnsi="arial" w:cs="arial"/>
            <w:i/>
            <w:color w:val="0077CC"/>
            <w:sz w:val="20"/>
            <w:u w:val="single"/>
            <w:shd w:val="clear" w:color="auto" w:fill="FFFFFF"/>
            <w:lang w:val="en-US" w:eastAsia="en-US" w:bidi="ar-SA"/>
          </w:rPr>
          <w:t>(1974), 2 O.R. (2d) 335</w:t>
        </w:r>
      </w:hyperlink>
      <w:r>
        <w:rPr>
          <w:rFonts w:ascii="arial" w:eastAsia="arial" w:hAnsi="arial" w:cs="arial"/>
          <w:color w:val="000000"/>
          <w:sz w:val="20"/>
          <w:lang w:val="en-US" w:eastAsia="en-US" w:bidi="ar-SA"/>
        </w:rPr>
        <w:t xml:space="preserve"> (C.A.). The court commented upon the lack of testimony from two of the defendants at p. 336: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the course of giving judgment the learned trial Judge commented on the failure of the captain of the shop and the engineer, the two individual defendants, to testify. I think he did so quite properly. It is true that the failure of defendants to testify cannot be used as a means of filling a gap in some part of a plaintiff's claim, but it renders much more easy the drawing of an inference where one or two have to be drawn. Hence, we think that there is nothing in that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limits on the use of an adverse inference was also discussed in Decoine v. Firstrider, </w:t>
      </w:r>
      <w:hyperlink r:id="rId444" w:history="1">
        <w:r>
          <w:rPr>
            <w:rFonts w:ascii="arial" w:eastAsia="arial" w:hAnsi="arial" w:cs="arial"/>
            <w:i/>
            <w:color w:val="0077CC"/>
            <w:sz w:val="20"/>
            <w:u w:val="single"/>
            <w:shd w:val="clear" w:color="auto" w:fill="FFFFFF"/>
            <w:lang w:val="en-US" w:eastAsia="en-US" w:bidi="ar-SA"/>
          </w:rPr>
          <w:t>[1993] A.J. No. 246</w:t>
        </w:r>
      </w:hyperlink>
      <w:r>
        <w:rPr>
          <w:rFonts w:ascii="arial" w:eastAsia="arial" w:hAnsi="arial" w:cs="arial"/>
          <w:color w:val="000000"/>
          <w:sz w:val="20"/>
          <w:lang w:val="en-US" w:eastAsia="en-US" w:bidi="ar-SA"/>
        </w:rPr>
        <w:t xml:space="preserve"> (C.A.). The plaintiff was a passenger in a car driven by her friend that failed to stop at a yield sign. The car collided with a truck passing through an intersection. The defendant was the truck driver. He did not appear at trial. The trial judge dismissed the action. On appeal the plaintiff asked the court to draw an adverse inference from the failure of the truck driver to testify. In refusing to do so the court commented: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number of authorities were cited to us on the subject of adverse inferences against witnesses who do not testify at trial. While many permit the trial judge to draw such an inference, we were not shown any which require him to do so. ... An adverse inference from failure to testify is not a demerit for failure in civic duties; it is a logical inference about what the missing person would have said had he taken the stand. Under these circumstances, we see nothing illogical in the trial judge's declining to draw an adverse inference.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can speculate that there might have been some other piece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truck driver, such as not watching the road, but that is pure speculation unsupported by any evidence whatever, and somewhat contradicted by the location of the skid marks left by the truck. </w:t>
      </w:r>
      <w:r>
        <w:rPr>
          <w:rFonts w:ascii="arial" w:eastAsia="arial" w:hAnsi="arial" w:cs="arial"/>
          <w:b/>
          <w:color w:val="000000"/>
          <w:sz w:val="20"/>
          <w:lang w:val="en-US" w:eastAsia="en-US" w:bidi="ar-SA"/>
        </w:rPr>
        <w:t>Even if we are wrong and some adverse inference should have been drawn, we see no warrant for using it to invent evidence of that sort</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Here, the defence conceded, properly, that the plaintiff had made out a prima facie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She was in the defendant's store, and slipped and fell in a puddle of liquid that, in the circumstances, could fairly be considered a hazard. If, say, the presence of this puddle was in issue, the court would have the plaintiff's evidence that the puddle was there, and that she slipped in it. The failure of the defendant to introduce the evidence of an employee who witnessed the incident could raise an adverse inference that strengthens the plaintiff's case. In the present matter, there is no significance to an adverse inference that may be drawn, as there is no issue over the presence of the puddle.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defendant has met the burden of proving a reasonable scheme to maintain the floor free of hazards, and that the scheme was followed. The employee who carried out the last pre-incident log entry gave evidence. A contrary conclusion could be made only if there was contradictory evidence. To infer contradictory evidence on the basis of an adverse inference would require that evidence be invented out of thin 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action of the plaintiff is dismissed with costs to the defendant at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SLADE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9" style="position:absolute;z-index:2518835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51" w:history="1">
        <w:r>
          <w:rPr>
            <w:rFonts w:ascii="arial" w:eastAsia="arial" w:hAnsi="arial" w:cs="arial"/>
            <w:b/>
            <w:bCs/>
            <w:i/>
            <w:color w:val="0077CC"/>
            <w:kern w:val="32"/>
            <w:sz w:val="28"/>
            <w:szCs w:val="32"/>
            <w:u w:val="single"/>
            <w:shd w:val="clear" w:color="auto" w:fill="FFFFFF"/>
            <w:lang w:val="en-US" w:eastAsia="en-US" w:bidi="ar-SA"/>
          </w:rPr>
          <w:t>Vaupel v. Derkatch, [2000] B.C.J. No. 2280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A.F. Wilson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24 - 26,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6,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Prince George Registry No. 04251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2280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1615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101 A.C.W.S. (3d) 290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Shauna Lynne Vaupel, plaintiff, and Sherry Lea Derkatch, Sylvia Dunn, Frederick Keith Faulkner and Paul James Passero,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0"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2" w:name="Keywords_29"/>
      <w:bookmarkEnd w:id="192"/>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 standard of care of driver — Keeping a proper lookout — Duty to pay attention — Motor vehicle, evidence and burden of proof — Rear end collisions — Damage awards — Injury and death — Body injuries — Back, sprains, tears and soft tissue injuries — Damages — General damages — General damages for personal injury —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3" w:name="Case Summary_26"/>
            <w:bookmarkEnd w:id="19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Vaupel against Derkatch, Dunn, Faulkner and Passero for damages for injuries sustained in a motor vehicle collision. At the time of the collision, Vaupel was a 35-year-old homemaker with three young children. She was driving across a bridge at a low speed when she looked into her rear-view mirror. She did not see that Derkatch, driving Dunn's truck, had stopped on the bridge. Vaupel ran into Dunn. Faulkner then rear-ended Vaupel at moderately high speed and Passero rear-ended Faulkner. Vaupel suffered a soft tissue injury to her cervical spine. She was totally disabled for two weeks and still suffered from reduced activity, stiffness and pain. She had continuing pain and experienced negative personality changes, but had not followed medical recommendations that she maintain an active exercise program. The prognosis for a full recovery was good. Her husband missed a week of work looking after her following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4" w:name="Holdings of Court_19"/>
            <w:bookmarkEnd w:id="194"/>
            <w:r>
              <w:rPr>
                <w:rFonts w:ascii="arial" w:eastAsia="arial" w:hAnsi="arial" w:cs="arial"/>
                <w:color w:val="000000"/>
                <w:sz w:val="20"/>
                <w:lang w:val="en-US" w:eastAsia="en-US" w:bidi="ar-SA"/>
              </w:rPr>
              <w:t>HELD: Action against Faulkner allowed, all other actions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Faulkner was to pay $20,000 in non-pecuniary damages and $4,137 in special damages. Derkatch was not negligent, having stopped properly behind another vehicle. Vaupel was completely liable for striking Dunn's truck, but she suffered no injuries in that collision. Everyone else was also following too closely and failing to keep a proper lookout, but the collision with Faulkner caused all of Vaupel's injuries. It was reasonable that Vaupel travel from Quesnel to Prince George for chiropractic treatments and be reimbursed for the travel expenses. As well, she was to be compensated for the fact that her husband lost a week of work because of her injuries.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5" w:name="Counsel_30"/>
      <w:bookmarkEnd w:id="19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1"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Max Durando, for the plaintiff. Oliver Hui, for the defendants, Sherry Lea Derkatch and Sylvia Dunn. Carolyn M. Lawlor, for the defendant, Frederick Keith Faulkner. Richard D. Bjarnason, for the defendant, Paul James Passero.</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6" w:name="Judgment_30"/>
      <w:bookmarkEnd w:id="196"/>
      <w:r>
        <w:pict>
          <v:line id="_x0000_s1172" style="position:absolute;z-index:25179238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7" w:name="A.F. WILSON J."/>
            <w:bookmarkEnd w:id="197"/>
            <w:r>
              <w:rPr>
                <w:rFonts w:ascii="arial" w:eastAsia="arial" w:hAnsi="arial" w:cs="arial"/>
                <w:b/>
                <w:color w:val="000000"/>
                <w:sz w:val="30"/>
                <w:lang w:val="en-US" w:eastAsia="en-US" w:bidi="ar-SA"/>
              </w:rPr>
              <w:t>A.F. WILSON J.</w:t>
            </w:r>
          </w:p>
        </w:tc>
      </w:tr>
    </w:tbl>
    <w:p>
      <w:pP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cr/>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claims arise from a series of three motor vehicle collisions on the Quesnel River Bridge, on Highway 97, just south of Quesnel, on May 1st, 1996. The plaintiff, Shauna Lynne Vaupel, was the driver of a Chevrolet Blazer, which was the second vehicle in the "chain". Her vehicle struck the rear of the Chevrolet pickup owned by the defendant, Sylvia Dunn, and driven by the defendant, Sherry Lea Derkatch. Ms. Vaupel's vehicle was then struck from the rear by the Chevrolet pickup owned and driven the defendant, Frederick Keith Faulkner. Mr. Faulkner's vehicle was then struck from the rear by a Buick Skylark owned and driven by the defendant, Paul James Passero, pushing the Faulkner vehicle into the Vaupel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Claims for loss of earnings, and loss of earning capacity, have been resolved, so the only claims are for non-pecuniary damages and special damages.</w:t>
      </w:r>
      <w:r>
        <w:rPr>
          <w:rFonts w:ascii="arial" w:eastAsia="arial" w:hAnsi="arial" w:cs="arial"/>
          <w:sz w:val="20"/>
          <w:lang w:val="en-US" w:eastAsia="en-US" w:bidi="ar-SA"/>
        </w:rPr>
        <w:cr/>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accident occurred at approximately 5:20 in the afternoon, when it still light out. The weather was good and the roads were 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accept the evidence of Ms. Vaupel as substantially correct with respect to the circumstances leading up to the collisions, and the effects of them. Ms. Vaupel was heading south on Highway 97, driving her son to a soccer game. Her vehicle had a standard 5 speed manual transmission. As she approached the bridge crossing the Quesnel River, just south of downtown Quesnel, traffic came to a stop. She stopped, then proceeded, following the pickup driven by Ms. Derkatch. She says she was still in first gear, travelling not more than 10 miles per hour crossing the bridge. She looked in her rearview mirror, and when she looked back, the Derkatch vehicle was stopped on the bridge. Ms. Derkatch said that she stopped because of a vehicle stopped in front of her, and that she was stopped for a sufficient time to put her vehicle into park, take her foot off her brake, and reach for her coffee. I accept her evidence in that regard, rather than that of Ms. Vaupel that Ms. Derkatch had stopped suddenly. Ms. Vaupel's vehicle collided with the rear-end of the Derkatch vehicle. Ms. Vaupel said that she did not see brake lights come on on the Derkatch vehicle, nor did she see parking lights. However, her evidence was uncertain in that regard, and I accept the evidence of Ms. Derkatch that her brake lights and parking lights were working. I find that her brake light did come on when she stopped, but then would have gone off when she put her vehicle into park. The Vaupel vehicle was then struck from the rear by the vehicle driven by Mr. Faulkner, driving the Vaupel vehicle again into the Derkatch vehicle. Mr. Faulkner has died since the accident, but statements that he gave to the police and to an Insurance Corporation of British Columbia adjuster were admitted by consent. In those statements, he said that he was picking up speed going across the bridge, that he didn't notice any brake lights on the Vaupel vehicle, but noticed the back of it go up, so knew the driver had braked hard. The evidence of Ms. Vaupel was uncertain as to whether she had braked before she hit the Derkatch vehicle, and I find she had not. Mr. Faulkner said he was "going less than 50 kilometres per hour", that he braked hard, slid, and hit the back of the Blazer. His evidence of speed is consistent with that of Mr. Passero, who said he was travelling at approximately 40 to 45 kilometres per hour approaching the bridge, and started to pick up speed going across the bridge. He also says he saw no brake lights, but saw the back end of the Faulkner vehicle go up, when he was 4 or 5 car lengths behind it, that he braked, and slid under the back of the Faulkner pickup. Ms. Vaupel says that caused the Faulkner vehicle to be pushed into her vehicle, and I accept that evidence. However, I find that that impact was relatively slight; in fact, Mr. Faulkner did not recall the Passero vehicle striking the back of his pickup.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As to the strength of the impact, Ms. Vaupel said that the strongest was the second, when her vehicle was rear-ended by that of Faulkner, then the third was next in strength, then the first. She said that if the impact of the second collision was at 10, then the first would be 1, and the third would be 3. I accept that as substantially accurate, although perhaps over-estimating the effect of the third collision. The photographs show little damage to the rear of the Derkatch vehicle, substantial damage to both the front and the rear of the Vaupel vehicle, and substantial damage to the front, but little damage to the rear, of the Faulkner vehicle. There are no photographs showing the damage to the Passero vehicle. I thus conclude that the injuries sustained by Ms. Vaupel were as a result of the second collision, when her vehicle was rear-ended by the Faulkner vehicle, and not by the first collision, when her vehicle rear-ended the Derkatch vehicle, or by the third collision, when the Faulkner vehicle was rear-ended by the Passero vehicle, and pushed into the Vaupel vehicle.</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relevant statutory provision at the time was s. 164(1) of the Motor Vehicle Act, R.S.B.C. 1979, c. 288 (now s. 162(1)), which provided:</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 A driver of a vehicle shall not cause or permit the vehicle to follow another vehicle more closely than is reasonable and prudent, having due regard for the speed of the vehicles and the amount and nature of traffic on and the condition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case most often cited as authority for accidents of this nature is the Ontario Court of Appeal decision of Beaumont v. Ruddy, </w:t>
      </w:r>
      <w:hyperlink r:id="rId452" w:history="1">
        <w:r>
          <w:rPr>
            <w:rFonts w:ascii="arial" w:eastAsia="arial" w:hAnsi="arial" w:cs="arial"/>
            <w:i/>
            <w:color w:val="0077CC"/>
            <w:sz w:val="20"/>
            <w:u w:val="single"/>
            <w:shd w:val="clear" w:color="auto" w:fill="FFFFFF"/>
            <w:lang w:val="en-US" w:eastAsia="en-US" w:bidi="ar-SA"/>
          </w:rPr>
          <w:t>[1932] 3 D.L.R. 75</w:t>
        </w:r>
      </w:hyperlink>
      <w:r>
        <w:rPr>
          <w:rFonts w:ascii="arial" w:eastAsia="arial" w:hAnsi="arial" w:cs="arial"/>
          <w:color w:val="000000"/>
          <w:sz w:val="20"/>
          <w:lang w:val="en-US" w:eastAsia="en-US" w:bidi="ar-SA"/>
        </w:rPr>
        <w:t>. At page 78, Maston,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Generally speaking when one car runs into another from behind, the fault is in the driving of the rear car, and the driver of the rear car must satisfy the court that the collision did not occur as a result of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That case has been applied in a number of decisions in British Columbia, including Ayers v. Singh, </w:t>
      </w:r>
      <w:hyperlink r:id="rId453" w:history="1">
        <w:r>
          <w:rPr>
            <w:rFonts w:ascii="arial" w:eastAsia="arial" w:hAnsi="arial" w:cs="arial"/>
            <w:i/>
            <w:color w:val="0077CC"/>
            <w:sz w:val="20"/>
            <w:u w:val="single"/>
            <w:shd w:val="clear" w:color="auto" w:fill="FFFFFF"/>
            <w:lang w:val="en-US" w:eastAsia="en-US" w:bidi="ar-SA"/>
          </w:rPr>
          <w:t>[1997] B.C.J. No. 350</w:t>
        </w:r>
      </w:hyperlink>
      <w:r>
        <w:rPr>
          <w:rFonts w:ascii="arial" w:eastAsia="arial" w:hAnsi="arial" w:cs="arial"/>
          <w:color w:val="000000"/>
          <w:sz w:val="20"/>
          <w:lang w:val="en-US" w:eastAsia="en-US" w:bidi="ar-SA"/>
        </w:rPr>
        <w:t>, B.C.C.A., January 8, 1997, Vancouver Registry No. CA020488.</w:t>
      </w:r>
      <w:r>
        <w:rPr>
          <w:rFonts w:ascii="arial" w:eastAsia="arial" w:hAnsi="arial" w:cs="arial"/>
          <w:sz w:val="20"/>
          <w:lang w:val="en-US" w:eastAsia="en-US" w:bidi="ar-SA"/>
        </w:rPr>
        <w:cr/>
      </w:r>
    </w:p>
    <w:p>
      <w:pPr>
        <w:numPr>
          <w:numId w:val="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Ms. Derkatch stopped on the bridge as a result of a vehicle stopped in front of her. It was reasonable of her to do so. I do not accept the evidence that her brake lights were not working. I find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Ms. Derkatch.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With respect to Ms. Vaupel, she caused her vehicle to follow the Derkatch more closely than was reasonable and prudent, particularly as she was aware that there may have been a problem ahead on the bridge, as she had to stop before going onto the bridge. She also failed to keep a proper lookout; the Derkatch vehicle was there to be seen, and should have been seen by Ms. Vaupel. I thus find that she was wholly at fault for the first collision. However, I find that she did not sustain any injuries as a result of that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With respect to the second collision, Mr. Faulkner was also causing his vehicle to follow another vehicle more closely than was reasonable and prudent, and failing to keep a proper lookout. I find him wholly at fault for the second collision. I do not accept the submission of counsel for Mr. Faulkner and Mr. Passero that if Ms. Vaupel had not been involved in the first collision, as a result of her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subsequent collisions would not have taken place. In fact, if she had been able to stop in time, before striking the Derkatch vehicle, the distant between her vehicle and the Faulkner vehicle, when Mr. Faulkner put on his brakes, may well have been less, resulting in a more severe collision. I thus find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Ms. Vaupel with respect to the second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With respect to the third collision, the same considerations apply. Mr. Passero was negligent in causing his vehicle to follow the Faulkner vehicle too closely, having regard for the speed of the vehicles and the amount of the traffic on the bridge. I find there was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either Mr. Faulkner or Ms. Vaupel in the third collision. However, I also find that the effect of that collision on the Vaupel vehicle was relatively light, and that Ms. Vaupel sustained no injury as a result of that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the end result, I find that Ms. Vaupel sustained all of her injuries in the second collision, that involving Mr. Faulkner. I find him 100% at fault for that collision. The claims against Ms. Derkatch, Ms. Dunn, and Mr. Passero are dismissed, as there was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first two named, and no damage incurred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third.</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Vaupel was 35 years of age at the time of the accident, and is now 40. She is married to Garth Vaupel, who works at a sawmill in Quesnel. They have three children, ages 9, 6, and 3 at the time of the accident. Although she has taken some courses in nursing, Ms. Vaupel was a homemaker at the time of the accident, and continues to be a homemaker. She was healthy before the accident, not having seen her family doctor, Dr. McFetridge, in the three years before the accidents, and before that only for her pregnancy.</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Injuries and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Following the accident, Ms. Vaupel was taken to the G.R. Baker Memorial Hospital in Quesnel, complaining of pain in the neck and tingling in her fingers. X-rays were taken of her cervical spine, which were normal. She was prescribed Advil, given a soft collar, and advised to follow up with her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Vaupel saw her family doctor two days later, on May 3rd. On his initial report to I.C.B.C., dated May 23rd, 1996, Dr. McFetridge noted complaints of "stiff sore neck, headache, ringing in her ears, pain in triceps, tingling in arms and hand". He diagnosed a soft tissue injury to the neck from an extension flexion injury, and neuropraxia of both arms. In his evidence at trial, he defined neuropraxia as temporary injury to the nerves resulting in altered sensation. In his report of May 21st, 1999, Dr. McFetridge noted that on subsequent visits, Ms. Vaupel continued to have pain in her neck with numbness and tingling in her neck, shoulders, arms and hands. He noted that on July 24th, 1996, she continued to have numbness and tingling in both hands and her neck and the top of her shoulders. He noted tenderness over the cervical spine, with initially reduced range of motion, but gradually improving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Vaupel says, and I accept, that she was, in essence, totally disabled for the first two weeks. She spent most of the time sitting in a chair with a heating pad on her neck. She was unable to do housework, which was taken on by her husband and children. Her husband took a week off work after the accident to enable him to do that. The ringing in her ears, and a loud crunching sound in her neck which she initially heard, went away within two to four weeks. However, she had continued pain in her neck, headaches, and pain in her shoulders which have continued to the present time. She said it felt "like my arms weighed tons" and pulled her shoulders down, that she had pain in the back of her upper arms and forearms. The headaches were relieved by medication, and she was taking Tylenol with codeine, sometimes up to 5 a day. She says she has improved since the accident, but plateaued approximately two years ago, and has not seen improvement since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medical reports do indicate improvement over time. However in his report of November 17th, 1999, Dr. McFetridge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Vaupel indicated that she continues to experience discomfort in her neck and shoulders. She described sensitivity in the occipital area, and on examination demonstrated tenderness over the left clavicle and supraclavicular areas. She also demonstrates tenderness in the occiput, and the trapezius and sternocleidomastoid muscles were tender and tight on examination. Her range of motion on testing was slow and cautious. I understand that she was receiving chiropractic treatments, however I am unaware of the nature of these. I do know that she was also receiving physiotherapy for a graduated exercise program as well as passive therapies such as TENS and ultrasound. I have spoken with the physiotherapist at Quesnel Physiotherapy and he indicated that his treatments were not apparently helping with the symptoms.</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Treatment and Progress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noted above, Ms. Vaupel's initial treatment was at the G.R. Baker Memorial Hospital, in Quesnel, where x-rays were taken, and medication and a soft collar prescribed. She saw Dr. McFetridge on May 3rd, again on May 15th and 22nd, June 3rd, and July 24th. He prescribed Ibuprofen, and referred her for physiotherapy. Ms. Vaupel attended physiotherapy from May 9th to September 11th, 1996, with six sessions in May, eight in June, eleven in July, two in August, and three in September. However, she made little progress, and there was concern that she may have suffered a nerve injury. She was thus referred to Dr. Daly, a neurologist, in Prince George. He was not able to see her until November 22nd. At that time, he noted complaints of persistent neck pain and stiffness, and occasional tingling in the arms. However, he also noted that Ms. Vaupel seemed to be maintaining normal homemaker activities, so that the symptoms were not disabling to her. He found good range of motion of the cervical spine, and normal nerve responses. In his report to Dr. McFetridge dated November 22, 1996,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Vanpel's (sic) sensory complaints I believe are non specific and of doubtful clinical significance. They are probably more due to the muscle spasm in the neck and shoulder region than anything else. She shows no clinical findings of a cervical radicular syndrome and there are no clinical findings and these really aren't the symptoms of a central spinal cord injury. She shows no findings of myelopathy.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experiences paresthesia on the inside of the forearm and into the ulnar three fingers which might reflect some dysfunction of the lower trunk of the brachial plexus which is probably a non specific effect related to muscle spasm. I doubt very much that she has a true thoracic outlet syndrome and in fact, I would expect these symptoms to go away on their own as she recovers from her cervical strain.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far as her cervical strain is concerned, I have encouraged her to progress to as active an exercise program as she can tolerate.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However, Ms. Vaupel felt that she was not improving, and thus discussed going to see a chiropractor with Dr. McFetridge. He agreed with that course of action, and, after some delay while she considered it and investigated various chiropractors, she went to see Dr. Randy Mills, in Prince George, on March 25th, 1997. At that time, he noted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subjective complaints at the time of entry consisted of the following 1) stiff neck, 2) headaches, 3) a "dull ache" of the entire right arm and "tingling" of the baby fingers and "sleeping" of both hands, 4) right sided lower neck pain on quick movements, and 5) lower back pain varying sides and not daily that seemed to vary intensity with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After the first treatment in March, Ms. Vaupel saw Dr. Mills three times in April, and then approximately once a month until April, 1999. By that time, Dr. Mills felt that she was much improved, although noting "a strong recurrent nature" to the injury, such that she required continuing treatment, although diminishing in frequency. However, Ms. Vaupel felt that, while the chiropractic treatments provided relief, it only lasted about two weeks, and was not resulting in long term improvement. She says she discussed the matter with Dr. McFetridge, and he said to stop the chiropractic treatments, which she understood was a result of a concern about her becoming dependent upon them. That discussion is not reflected in Dr. McFetridge's records, nor did he recall saying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May, 1999, Ms. Vaupel was again referred for physiotherapy. The physiotherapist noted fewer objective findings on his re-examination of her. He says that he and Dr. McFetridge agreed that she would not benefit from ongoing passive therapies, and should be enrolled in a more active rehabilitation program in a non-clinical environment. She was thus discharged into a "tailor-made strengthening program". However, on October 26th, 1999, Dr. McFetridge advised Ms. Vaupel to undertake "a graduated and increasingly aggressive exercise program" (something he has recommended consistently since the accident, as reflected in his reports of April 16th, 1997 and November 17th, 1999, as did Dr. Daly, as set out in his report of November 26th, 1996). As a result, Ms. Vaupel went to the local recreation centre where she saw a trainer "Charlotte". No report has been provided from Charlotte. However, Ms. Vaupel says that Charlotte recommended that she not start with a weight program, and gave her a stretching program which she did at home. After about two weeks of that, Ms. Vaupel went back to the recreation centre, and tried a weight program. However, that caused her discomfort, and she did not return. Charlotte then went on holidays, and Ms. Vaupel has not followed up with her since that time. However, Ms. Vaupel has continued to do some exercising at home, and by walking.</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his initial report to I.C.B.C., dated May 23, 1996, Dr. McFetridge gave an opinion that full recovery was expected, and that, although it might take six weeks or more, there should be no long term or permanent disability. That was also the view of Dr. Daly, following his examination in November,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Mills, the chiropractor, in his report dated September 25, 1997, said that he was unable to offer an accurate prognosis at that time with respect to full recovery, however, her response to date had good. By April, 1999, he noted that she was much improved, although expected she would continue to require chiropractic treatments on a diminishing basis for some time after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Beisel, in his report dated August 17th, 2000, noted "the prognosis for this type of flexion extension trauma is usually good. During the course of treatment there were fewer objective findings, while the patient was still reporting neck pain and stiffness - obviously developing a chronic pain syndrome".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his report of May 21st, 1999, Dr. McFetridge was still expecting full recovery. In his final report, dated November 17th, 1999, he indicated that a graduated exercise program might take six or eight weeks to realize improvement, but expected that the soft tissue injury symptoms would resolve completely.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Notwithstanding the positive prognoses, I accept that Ms. Vaupel has continuing pain in her neck, resulting in headaches, and in her shoulders, particularly on activity. However, she has not followed the recommendations of an active exercise program as recommended by Dr. McFetridge consistently throughout the course of her treatment, by Dr. Daly, by Mr. Beisel, and by Charlotte at the recreational centre. If she had, it is a reasonable inference that she would have recovered to a greater extent. That is a factor to be taken into account in the assessment of non-pecuniary damages.</w:t>
      </w:r>
      <w:r>
        <w:rPr>
          <w:rFonts w:ascii="arial" w:eastAsia="arial" w:hAnsi="arial" w:cs="arial"/>
          <w:sz w:val="20"/>
          <w:lang w:val="en-US" w:eastAsia="en-US" w:bidi="ar-SA"/>
        </w:rPr>
        <w:cr/>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Effect on Personality and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accept that Ms. Vaupel's injuries have had a substantial and continuing effect on both her personality and her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Ms. Vaupel's husband described her, before the accident as a "happy homemaker", someone who loved life, was outgoing, outdoorsy and family oriented. Since the accident, he says she is less patient, less outgoing, and tired all the time. He said she tries to cope with the pain, but that it does affect her. It affects her activities. One example he gave is that she does not now get down on the floor and roll around with the children, as she did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Vaupel's injuries have affected other activities. Before the accident, she cross-country skied, hiked, camped, fished, drove in 4-wheel drive vehicles and drove 4-wheelers. All of those activities have been substantially restricted since the accident. Both she and her husband gave evidence of a trip up a mountain in a 4-wheel drive truck in August. The children wanted to go to the top, so they did, although she was in pain, which she attempted to relieve by twisting a shirt around her neck and holding it, and taking Tylenol. Before the accident, gardening was a favorite hobby of Ms. Vaupel's, and that has gone by the way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With respect to housework, she was able to do nothing in the weeks immediately following the accident. Although that has improved, her husband is still required to help in such things as vacuuming and washing windows, which he did not do before.</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Assessment of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Vaupel sustained soft tissue injuries causing pain in the neck, which resulted in headaches, and also pain in the shoulders and the back of the upper arms and forearms. She had ringing in her ears, and the sound of crunching in her neck, from two to four weeks after the accident. That was also the period during which she was totally disabled from housework. She did have a gradual improvement since then, although says that she plateaued approximately two years ago. Although that is not entirely borne out by the medical reports, it is clear that she does have continued complaints of pain in the neck, headaches, for which she finds relief with Tylenol, and pain in the shoulders, particularly aggravated by activity. Her condition may well have been better now if she had been more aggressive in her exercise program. Although her doctor, and others, are optimistic about full recovery, the prognosis must be considered uncertain in view of the fact that it has now been 4 1/2 years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have reviewed the many cases on non-pecuniary damages provided by counsel. Ms. Vaupel's counsel submitted the range should be from $30,000 to $40,000, while counsel for Ms. Derkatch and Ms. Dunn, who took the lead with respect to damages, presented cases with awards ranging from $8,500 to $20,000, and also provided cases in which there was a reduction for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this case, the main considerations are that Ms. Vaupel sustained soft tissue injuries, which are causing her ongoing pain, and a substantial effect on her activities, 4 1/2 years after the accident, but that the medical prognosis is good, particularly if Ms. Vaupel is more aggressive in her exercise program. I assess non-pecuniary damages at $20,000.</w:t>
      </w:r>
      <w:r>
        <w:rPr>
          <w:rFonts w:ascii="arial" w:eastAsia="arial" w:hAnsi="arial" w:cs="arial"/>
          <w:sz w:val="20"/>
          <w:lang w:val="en-US" w:eastAsia="en-US" w:bidi="ar-SA"/>
        </w:rPr>
        <w:cr/>
      </w:r>
    </w:p>
    <w:p>
      <w:pPr>
        <w:numPr>
          <w:numId w:val="1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Special damages are presented at $3,227.44, before deductions of amounts paid by I.C.B.C. The only issues taken were whether Ms. Vaupel should have come to Prince George for chiropractic treatment, when there were chiropractors available in Quesnel, and the amount to be allowed for each trip. Ms. Vaupel was apparently assured by an I.C.B.C. adjuster that I.C.B.C. would pay the costs of the trips, but on the basis of $30.00 per trip. Ms. Vaupel claims $72.00 per trip, based on 240 kilometres for the roundtrip, at $.30 per kilometre, the amount allowed to witnesses under Schedule 3 of the Rules of Court. I consider it reasonable for Ms. Vaupel to travel to Prince George for chiropractic services, in view of her own apprehensions and the recommendations of others. I also consider it to be reasonable that she should be paid the amount to which witnesses are entitled. I thus allow the special damages in the amount of $3,227.44. From that I understand that there is no issue that amounts paid by I.C.B.C., amounting to $1,279.11, will be deducted, leaving a net amount of $1,948.33.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submissions, counsel for Ms. Vaupel also claimed an amount, in trust for her husband, to compensate him for his loss of banked hours as a result of his week off work. Although counsel advised in his opening that there was no claim for loss of income, or loss of earning capacity, he claimed this amount as a part of special damages. No objection to that was taken by the other counsel. I thus allow the amount of $860.00, calculated at the bottom end of what Mr. Vaupel said was his regular rate of pay at that time, for 40 hours, which he said was his regular work week.</w:t>
      </w:r>
      <w:r>
        <w:rPr>
          <w:rFonts w:ascii="arial" w:eastAsia="arial" w:hAnsi="arial" w:cs="arial"/>
          <w:sz w:val="20"/>
          <w:lang w:val="en-US" w:eastAsia="en-US" w:bidi="ar-SA"/>
        </w:rPr>
        <w:cr/>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Subject to any offers to settle of which I have not yet been informed, Ms. Vaupel will be entitled to her costs against Mr. Faulkner. I have found Ms. Derkatch not to be negligent, and the claims against her and Ms. Dunn are thus dismissed, and they should be entitled to their costs. The issue is whether they should be paid by Ms. Vaupel, or Mr. Faulkner, as the defendant held to be liable. Different considerations apply to Mr. Passero, who I held to be negligent, but against whom the claims are dismissed because I found no damage was caused by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Rule 57(18) provides:</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costs of one defendant against a plaintiff ought to be paid by another defendant, the court may order payment to be made by one defendant to the other directly, or may order the plaintiff to pay the costs of the successful defendant and allow the plaintiff to include those costs as a disbursement in the costs payable to the plaintiff by the unsuccessful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Where the plaintiff pays the costs of the successful defendant, then recovers those, together with his or her own costs, from the unsuccessful defendant, the order is referred to as a "Bullock Order", after Bullock v. London General Omnibus Co., [1907] 1 K.B. 264 (C.A.). Where the unsuccessful defendant is required to pay the successful defendant's costs directly, the order is referred to as a "Sanderson Order", from Sanderson v. Blyth Theatre Co., [1903] 2 K.B. 644. There may also be apportionment of liability for costs under s. 3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However, that is not applicable in this case, where I have found Mr. Faulkner to be 100% liable for the damages sustained by Ms. Vaupel.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Robertson v. North Island College Technical and Vocational Institute </w:t>
      </w:r>
      <w:hyperlink r:id="rId380" w:history="1">
        <w:r>
          <w:rPr>
            <w:rFonts w:ascii="arial" w:eastAsia="arial" w:hAnsi="arial" w:cs="arial"/>
            <w:i/>
            <w:color w:val="0077CC"/>
            <w:sz w:val="20"/>
            <w:u w:val="single"/>
            <w:shd w:val="clear" w:color="auto" w:fill="FFFFFF"/>
            <w:lang w:val="en-US" w:eastAsia="en-US" w:bidi="ar-SA"/>
          </w:rPr>
          <w:t>(1980), 26 B.C.L.R. 225</w:t>
        </w:r>
      </w:hyperlink>
      <w:r>
        <w:rPr>
          <w:rFonts w:ascii="arial" w:eastAsia="arial" w:hAnsi="arial" w:cs="arial"/>
          <w:color w:val="000000"/>
          <w:sz w:val="20"/>
          <w:lang w:val="en-US" w:eastAsia="en-US" w:bidi="ar-SA"/>
        </w:rPr>
        <w:t xml:space="preserve"> (C.A.), at pages 227 to 228, the Court said that the discretion under this rule is a broad one. The principal question is, "Was it reasonable for the plaintiff in his action against the person who was found to be the wrongdoer to join another person as a defendant in order that the matter might be thoroughly thrashed out?" If that is the case, then the judge must exercise his discretion judicially. In an older case, Smith v. Kennedy </w:t>
      </w:r>
      <w:hyperlink r:id="rId454" w:history="1">
        <w:r>
          <w:rPr>
            <w:rFonts w:ascii="arial" w:eastAsia="arial" w:hAnsi="arial" w:cs="arial"/>
            <w:i/>
            <w:color w:val="0077CC"/>
            <w:sz w:val="20"/>
            <w:u w:val="single"/>
            <w:shd w:val="clear" w:color="auto" w:fill="FFFFFF"/>
            <w:lang w:val="en-US" w:eastAsia="en-US" w:bidi="ar-SA"/>
          </w:rPr>
          <w:t>(1936), 51 B.C.R. 52</w:t>
        </w:r>
      </w:hyperlink>
      <w:r>
        <w:rPr>
          <w:rFonts w:ascii="arial" w:eastAsia="arial" w:hAnsi="arial" w:cs="arial"/>
          <w:color w:val="000000"/>
          <w:sz w:val="20"/>
          <w:lang w:val="en-US" w:eastAsia="en-US" w:bidi="ar-SA"/>
        </w:rPr>
        <w:t xml:space="preserve"> (C.A.), at pages 54 to 55, the Court said that a plaintiff who has no business joining one of the defendants as a party in the action may be required to pay the costs of that defendant, and may not be entitled to recover those costs from the defendant against whom he succeeds.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first issue, then, is whether it was reasonable for the plaintiff to join each of Ms. Derkatch and Ms. Dunn, and Mr. Passero, as defendants. In the Statement of Claim, paragraph 8,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alleged against each of the defendants, without breaking down the specific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each. There is an indication in the police records that Ms. Derkatch stopped because a vehicle stopped abruptly in front of her; apparently this was information provided by Ms. Vaupel to the police. However, the unknown driver and owner of that alleged vehicle were not joined as defendants, as could have been done under s. 23 of the Insurance (Motor Vehicle) Act, R.S.B.C. 1979, c. 204. The only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Ms. Derkatch alleged at trial was that Ms. Vaupel did not see her brake lights or park lights. I do not consider that to be a reasonable basis to join Ms. Derkatch and Ms. Dunn as defendants, particularly as an alleged "unknown driver" was not joined under s. 23 of the Insurance (Motor Vehicle) Act. They are thus entitled to their costs against the plaintiff, and not entitled to have their costs paid by Mr. Faulkner.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situation of Mr. Passero is different. He has been successful, and is thus entitled to costs. However, in view of the series of collisions,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could have been found to have caused some part of the damages sustained by Ms. Vaupel. It was thus reasonable to join him, as a party necessary to determine the outcome. He will thus be entitled to have his costs paid by Mr. Faulkner.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result, in summary, is that, unless there are considerations with respect to offers to settle which I have not been advised of, Ms. Vaupel will be entitled to her costs, payable by Mr. Faulkner; Ms. Derkatch and Ms. Dunn, together, will be entitled to one set of costs, payable by Ms. Vaupel, and Mr. Passero will be entitled to his costs, payable by Mr. Faulkner. All costs will be payable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A.F. WILSON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3" style="position:absolute;z-index:2518425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55"/>
          <w:headerReference w:type="default" r:id="rId456"/>
          <w:footerReference w:type="even" r:id="rId457"/>
          <w:footerReference w:type="default" r:id="rId458"/>
          <w:headerReference w:type="first" r:id="rId459"/>
          <w:footerReference w:type="first" r:id="rId46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61" w:history="1">
        <w:r>
          <w:rPr>
            <w:rFonts w:ascii="arial" w:eastAsia="arial" w:hAnsi="arial" w:cs="arial"/>
            <w:b/>
            <w:bCs/>
            <w:i/>
            <w:color w:val="0077CC"/>
            <w:kern w:val="32"/>
            <w:sz w:val="28"/>
            <w:szCs w:val="32"/>
            <w:u w:val="single"/>
            <w:shd w:val="clear" w:color="auto" w:fill="FFFFFF"/>
            <w:lang w:val="en-US" w:eastAsia="en-US" w:bidi="ar-SA"/>
          </w:rPr>
          <w:t>White v. Craigon, [2013] B.C.J. No. 1003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Courtenay,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T.W. Bowden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15-16,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15,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11-1346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1003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2013 BCSC 845</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Treena Joy White, Plaintiff, and Ian William Craigon and Claire Ardele Craigon,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4"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8" w:name="Keywords_30"/>
      <w:bookmarkEnd w:id="198"/>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Rules of the road — Action for personal injuries suffered in a 2009 a motor vehicle accident dismissed — Defendant collided with plaintiff's vehicle, as defendant was making a left turn at an intersection and plaintiff came out of a laneway beside a store attempting to merge onto highway — Vehicle about to enter another highway from a lane must yield right of way to traffic approaching on highway that constituted an immediate hazard — No evidence that defendant had a sufficient opportunity to avoid the collision.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9" w:name="Case Summary_27"/>
            <w:bookmarkEnd w:id="19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personal injuries suffered in a 2009 a motor vehicle accident. The only issue was liability. The defendant's vehicle was waiting at an intersection to make a left hand turn. The plaintiff was travelling in an alley or lane beside a 7-Eleven before she attempted to merge onto the highway. When there was a break in the oncoming traffic, the defendant turned left and collided with the plaintiff. The defendant said that he did not expect a car to be coming out of the parking lot from the 7-Eleven. He did not take note of cars in the area around the 7-Eleven and his primary focus was on cars coming towards him on the highway. Prior to the collision the plaintiff had not seen the defendant's car or how fast he was going, nor did she see how long the defendant had waited before making a left turn. Each party alleged the other driver was the servient driver.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0" w:name="Holdings of Court_20"/>
            <w:bookmarkEnd w:id="200"/>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solely liable for the accident. The plaintiff was required to yield the right of way to traffic approaching on the highway so closely that it constituted an immediate hazard. A vehicle about to enter another highway from a lane or alley must yield the right of way to traffic approaching on the highway that constituted an immediate hazard. Even if the defendant, by the exercise of reasonable care, should have become aware of the plaintiff's disregard of the law, based on the speed of the plaintiff's vehicle determined by the expert, the defendant did not have a sufficient opportunity to avoid the collision. The defendant did not breach the standard of care because he did not take extraordinary steps to avoid the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1" w:name="Legislation Cited_21"/>
      <w:bookmarkEnd w:id="20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5"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463" w:history="1">
        <w:r>
          <w:rPr>
            <w:rFonts w:ascii="arial" w:eastAsia="arial" w:hAnsi="arial" w:cs="arial"/>
            <w:i/>
            <w:color w:val="0077CC"/>
            <w:sz w:val="20"/>
            <w:u w:val="single"/>
            <w:shd w:val="clear" w:color="auto" w:fill="FFFFFF"/>
            <w:lang w:val="en-US" w:eastAsia="en-US" w:bidi="ar-SA"/>
          </w:rPr>
          <w:t>RSBC 1996, CHAPTER 318, s. 2</w:t>
        </w:r>
      </w:hyperlink>
      <w:r>
        <w:rPr>
          <w:rFonts w:ascii="arial" w:eastAsia="arial" w:hAnsi="arial" w:cs="arial"/>
          <w:color w:val="000000"/>
          <w:sz w:val="20"/>
          <w:lang w:val="en-US" w:eastAsia="en-US" w:bidi="ar-SA"/>
        </w:rPr>
        <w:t>, s. 176(2)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2" w:name="Counsel_31"/>
      <w:bookmarkEnd w:id="20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6" style="position:absolute;z-index:251793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J.S. Godfrey.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H.H. Urdahl.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3" w:name="Judgment_31"/>
      <w:bookmarkEnd w:id="203"/>
      <w:r>
        <w:pict>
          <v:line id="_x0000_s1177" style="position:absolute;z-index:2518435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4" w:name="T.W. BOWDEN J."/>
            <w:bookmarkEnd w:id="204"/>
            <w:r>
              <w:rPr>
                <w:rFonts w:ascii="arial" w:eastAsia="arial" w:hAnsi="arial" w:cs="arial"/>
                <w:b/>
                <w:color w:val="000000"/>
                <w:sz w:val="30"/>
                <w:lang w:val="en-US" w:eastAsia="en-US" w:bidi="ar-SA"/>
              </w:rPr>
              <w:t>T.W. BOWDEN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seeks damages for personal injuries suffered by her in a motor vehicle accident that occurred on December 4, 2009, on a bright sunny day in Courtenay,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only issue in this trial is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Each party submits that the other party was entirely responsible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accident occurred at the intersection of Rye Road and Old Island Highway (the "Highway"). A drawing of that intersection may be found in the expert's report, which is Exhibit 2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Just before the collision, the defendant's vehicle was facing south on the Highway waiting to turn left and proceed westbound on Rye Road. The defendant was planning to make a sharp left turn onto Rye Road and waited for a break in the northbound traffic before turning. He came to a complete stop, signaled his intention to turn and waited for about 15 seconds. He looked down Rye Road and south down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said that he had a clear line of sight looking south and a clear line of sight up Rye Road and there were a number of northbound cars on the Highway. When there was a break in the traffic he turned left and that is when the collision occurred. He said that he did not expect a car to be coming out of the parking lot from the 7-Eleven. He does not recall his vision being impaired in any way. He said that he did not take note of cars in the area around the 7-Eleven and his primary focus was on cars coming towards him on the Highway. He did not see the plaintiff's vehicle until the collision. The evidence suggests that he could have seen the plaintiff's vehicle had he looked towards the 7-Eleven. This is somewhat confirmed by the photograph at page 1 of Tab 4 in Exhibit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vehicle was facing northwest and proceeding from the laneway beside the 7-Eleven towards the Highway. She had pulled out of the parking lot on the northeast side of the 7-Eleven and proceeded along the side of the building, as shown in photo 1 of Tab 4 in Exhibit 1, to a point near Rye Road with the intention of merging northbound onto the Highway. A blue dumpster and hedges to the south of her vehicle, depicted in that photo, obscured her vision to the south on the Highway so that she had to travel close to Rye Road in order to observe the northbound traffic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had just entered Rye Road and was looking to the south for northbound traffic while she was intending to merge onto the Highway. It is not clear, but the plaintiff said she believed that she stopped before proceeding to the Highway from Rye Road. At the time of the collision she had not yet looked forward nor had she looked north which was to her right. Prior to the collision she had not seen the defendant's car or how fast he was going, nor did she see how long the defendant had waited before making a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engineer's drawing in Exhibit 2 is to scale and shows the location of the defendant's vehicle as box number "2," both as it was stopped before the defendant proceeded with a left turn, and then at the point his vehicle first made contact with the plaintiff's vehicle. The plaintiff's vehicle is shown as box number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location of the collision is also marked by the parties on the photograph at page 5 of Tab 4 in Exhibit 1. The defendant marked the point of the collision to be slightly south of where it was marked by the plaintiff with a "W". Both parties agree that the plaintiff's vehicle was not on the travelled portion of the Old Island Highway when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submits that, while proceeding towards the Highway, she was driving lawfully and prudently on a laneway with the intent of looking to the south before merging on to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says that it does not matter that she did not see the defendant's vehicle until the collision because she had established her line of travel while travelling lawfully. Had she seen the defendant, she could assume that the defendant would let her proceed and not turn because the plaintiff was in the same position as a vehicle travelling northbound on the Highway. She argues that the defendant's vehicle was in the servient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plaintiff relies on </w:t>
      </w:r>
      <w:r>
        <w:rPr>
          <w:rFonts w:ascii="arial" w:eastAsia="arial" w:hAnsi="arial" w:cs="arial"/>
          <w:i/>
          <w:color w:val="000000"/>
          <w:sz w:val="20"/>
          <w:lang w:val="en-US" w:eastAsia="en-US" w:bidi="ar-SA"/>
        </w:rPr>
        <w:t>Brooks v. Ward</w:t>
      </w:r>
      <w:r>
        <w:rPr>
          <w:rFonts w:ascii="arial" w:eastAsia="arial" w:hAnsi="arial" w:cs="arial"/>
          <w:color w:val="000000"/>
          <w:sz w:val="20"/>
          <w:lang w:val="en-US" w:eastAsia="en-US" w:bidi="ar-SA"/>
        </w:rPr>
        <w:t xml:space="preserve">, </w:t>
      </w:r>
      <w:hyperlink r:id="rId464" w:history="1">
        <w:r>
          <w:rPr>
            <w:rFonts w:ascii="arial" w:eastAsia="arial" w:hAnsi="arial" w:cs="arial"/>
            <w:i/>
            <w:color w:val="0077CC"/>
            <w:sz w:val="20"/>
            <w:u w:val="single"/>
            <w:shd w:val="clear" w:color="auto" w:fill="FFFFFF"/>
            <w:lang w:val="en-US" w:eastAsia="en-US" w:bidi="ar-SA"/>
          </w:rPr>
          <w:t>[1956] S.C.R. 683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Brooks</w:t>
      </w:r>
      <w:r>
        <w:rPr>
          <w:rFonts w:ascii="arial" w:eastAsia="arial" w:hAnsi="arial" w:cs="arial"/>
          <w:color w:val="000000"/>
          <w:sz w:val="20"/>
          <w:lang w:val="en-US" w:eastAsia="en-US" w:bidi="ar-SA"/>
        </w:rPr>
        <w:t xml:space="preserve">], for the proposition that the failure by the defendant to take evasive action when he could and should have seen the plaintiff's vehicle amounted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caused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says that the defendant did not observe the plaintiff's vehicle prior to the collision even though he had ample time and an unobstructed view of the scene. The defendant acknowledged that had he seen the plaintiff's vehicle before he turned, he would not have made the turn or he would have taken evasive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plaintiff says that, if the Court finds that her failure to see the defendant amounts to some degree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far less than that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 submits that he acted reasonably and carefully and did not anticipate that the plaintiff would disregard her statutory duty of yielding the right of way. The defendant points out that, according to the expert evidence, the plaintiff was travelling 23 kilometres per hour, when she entered Rye Road, and two to four seconds before the collision. The expert also confirmed that she did not stop on entering Rye Road. The expert said that it was most likely that the plaintiff's vehicle was moving when the collision occurred. She did not look forward or to her right but only to the left as she was attempting to merge onto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defendant argues that s. 176(2)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 that a vehicle entering a highway from an alley, lane, driveway or private road must yield the right of way to traffic approaching on a highway so closely that it constitutes an immediate hazard. Although the definition of "highway"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includes a lane or alley, they are included in s. 176(2) because they are a particular kind of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defendant says that the plaintiff was required to yield to vehicles on a highway such as the defendant's vehicle. The defendant's vehicle turning from onto a highway was the dominant vehicle and, based on </w:t>
      </w:r>
      <w:r>
        <w:rPr>
          <w:rFonts w:ascii="arial" w:eastAsia="arial" w:hAnsi="arial" w:cs="arial"/>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w:t>
      </w:r>
      <w:r>
        <w:rPr>
          <w:rFonts w:ascii="arial" w:eastAsia="arial" w:hAnsi="arial" w:cs="arial"/>
          <w:i/>
          <w:color w:val="000000"/>
          <w:sz w:val="20"/>
          <w:lang w:val="en-US" w:eastAsia="en-US" w:bidi="ar-SA"/>
        </w:rPr>
        <w:t>Walker</w:t>
      </w:r>
      <w:r>
        <w:rPr>
          <w:rFonts w:ascii="arial" w:eastAsia="arial" w:hAnsi="arial" w:cs="arial"/>
          <w:color w:val="000000"/>
          <w:sz w:val="20"/>
          <w:lang w:val="en-US" w:eastAsia="en-US" w:bidi="ar-SA"/>
        </w:rPr>
        <w:t>], he had the right to assume that the plaintiff would obey the highway laws before entering the Highway and yield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 submits that the plaintiff was the servient driver and the defendant's vehicle turning onto Rye Road posed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plaintiff's vehicle was 12 metres back in the laneway and the defendant had the right to assume that she would stop and allow him to pass as the dominant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defendant argues that, at the time he began his turn, the plaintiff was well back in the lane near the 7-Eleven and the defendant's vehicle was there to be seen, but the plaintiff was looking left and not forward or to the right. It was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not to see the defendant's vehicle. The defendant had no opportunity to react after carefully assessing northbound traffic, and the plaintiff disregarded her statutory obligation to yield the right of way. The defendant refers to </w:t>
      </w:r>
      <w:r>
        <w:rPr>
          <w:rFonts w:ascii="arial" w:eastAsia="arial" w:hAnsi="arial" w:cs="arial"/>
          <w:i/>
          <w:color w:val="000000"/>
          <w:sz w:val="20"/>
          <w:lang w:val="en-US" w:eastAsia="en-US" w:bidi="ar-SA"/>
        </w:rPr>
        <w:t>Salaam v. Abramovic</w:t>
      </w:r>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2010 BCCA 212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Salaam</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onus in this case is on the plaintiff to prove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contributed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must establish that the operation by the defendant of his automobile fell below the standard of care of a reasonably careful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the case at bar neither driver observed the other driver's vehicle until the collision occurred. This necessitates a consideration of whether either driver had a statutory right-of-way before entering the intersection of the Highway and Rye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Section 176(2)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s.176 (2) The driver of a vehicle about to enter or cross a highway from an alley, lane, driveway, building or private road must yield the right of way to traffic approaching on the highway so closely that it constitutes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Section 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defines "highway" to include:</w:t>
      </w:r>
      <w:r>
        <w:rPr>
          <w:rFonts w:ascii="arial" w:eastAsia="arial" w:hAnsi="arial" w:cs="arial"/>
          <w:sz w:val="20"/>
          <w:lang w:val="en-US" w:eastAsia="en-US" w:bidi="ar-SA"/>
        </w:rPr>
        <w:cr/>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2(b) every road, street, lane or right of way designed or intended for or used by the general public for the passage of vehicles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is not disputed that the plaintiff was travelling on an alley or lane beside the 7-Eleven before she attempted to merge onto the Highway. In my view the plaintiff was required by s. 176(2) to yield the right of way to traffic approaching on the highway so closely that it constituted an immediate hazard. While a lane is included in the definition of the term highway, by virtue of s. 176(2), a vehicle about to enter another highway from a lane or alley must yield the right of way to traffic approaching on the highway that constitutes an immediate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This interpretation of s. 176(2) accords with common sense, which suggests that someone entering onto a busy highway from a lane or alley should be required to yield to traffic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Walker</w:t>
      </w:r>
      <w:r>
        <w:rPr>
          <w:rFonts w:ascii="arial" w:eastAsia="arial" w:hAnsi="arial" w:cs="arial"/>
          <w:color w:val="000000"/>
          <w:sz w:val="20"/>
          <w:lang w:val="en-US" w:eastAsia="en-US" w:bidi="ar-SA"/>
        </w:rPr>
        <w:t>, the Supreme Court of Canada said at para. 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decision of every motor vehicle collision case must depend on its particular facts, I am of (sic) opinion that when A, the driver in the servent (sic)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 mali.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my view, even if I assume that the defendant, by the exercise of reasonable care, should have become aware of the plaintiff's disregard of the law, based on the speed of the plaintiff's vehicle determined by the expert, the defendant did not have a sufficient opportunity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Our Court of Appeal in </w:t>
      </w:r>
      <w:r>
        <w:rPr>
          <w:rFonts w:ascii="arial" w:eastAsia="arial" w:hAnsi="arial" w:cs="arial"/>
          <w:i/>
          <w:color w:val="000000"/>
          <w:sz w:val="20"/>
          <w:lang w:val="en-US" w:eastAsia="en-US" w:bidi="ar-SA"/>
        </w:rPr>
        <w:t>Salaam</w:t>
      </w:r>
      <w:r>
        <w:rPr>
          <w:rFonts w:ascii="arial" w:eastAsia="arial" w:hAnsi="arial" w:cs="arial"/>
          <w:color w:val="000000"/>
          <w:sz w:val="20"/>
          <w:lang w:val="en-US" w:eastAsia="en-US" w:bidi="ar-SA"/>
        </w:rPr>
        <w:t xml:space="preserve"> states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driver like the defendant, who is in a dominant position, will not typically be found to be liable for an accident. Drivers are generally entitled to assume that others will obey the rules of the road. Further, though defensive driving and courteous operation of motor vehicles are to be encouraged, they do not necessarily represent the standard of care for the purposes of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 driver will not be held to have breached the standard of care simply because he or she failed to take extraordinary steps to avoid an accident or to show exceptional proficiency in the operation of a motor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facts in </w:t>
      </w:r>
      <w:r>
        <w:rPr>
          <w:rFonts w:ascii="arial" w:eastAsia="arial" w:hAnsi="arial" w:cs="arial"/>
          <w:i/>
          <w:color w:val="000000"/>
          <w:sz w:val="20"/>
          <w:lang w:val="en-US" w:eastAsia="en-US" w:bidi="ar-SA"/>
        </w:rPr>
        <w:t>Brooks</w:t>
      </w:r>
      <w:r>
        <w:rPr>
          <w:rFonts w:ascii="arial" w:eastAsia="arial" w:hAnsi="arial" w:cs="arial"/>
          <w:color w:val="000000"/>
          <w:sz w:val="20"/>
          <w:lang w:val="en-US" w:eastAsia="en-US" w:bidi="ar-SA"/>
        </w:rPr>
        <w:t xml:space="preserve"> are distinguishable because the evidence in that case established that the respondent driver had plenty of opportunity to avoid the collision. In the case at bar, the plaintiff was travelling at 23 kilometres per hour, three seconds before the collision. In my view, the defendant did not breach the standard of care because he did not take extraordinary steps to avoid the accident. I think that the defendant's counsel properly characterized the plaintiff's vehicle as "shooting out" to the point of contact with the defendant's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This Court considered similar facts in </w:t>
      </w:r>
      <w:r>
        <w:rPr>
          <w:rFonts w:ascii="arial" w:eastAsia="arial" w:hAnsi="arial" w:cs="arial"/>
          <w:i/>
          <w:color w:val="000000"/>
          <w:sz w:val="20"/>
          <w:lang w:val="en-US" w:eastAsia="en-US" w:bidi="ar-SA"/>
        </w:rPr>
        <w:t>Aymont v. Capp</w:t>
      </w:r>
      <w:r>
        <w:rPr>
          <w:rFonts w:ascii="arial" w:eastAsia="arial" w:hAnsi="arial" w:cs="arial"/>
          <w:color w:val="000000"/>
          <w:sz w:val="20"/>
          <w:lang w:val="en-US" w:eastAsia="en-US" w:bidi="ar-SA"/>
        </w:rPr>
        <w:t xml:space="preserve">, </w:t>
      </w:r>
      <w:hyperlink r:id="rId465" w:history="1">
        <w:r>
          <w:rPr>
            <w:rFonts w:ascii="arial" w:eastAsia="arial" w:hAnsi="arial" w:cs="arial"/>
            <w:i/>
            <w:color w:val="0077CC"/>
            <w:sz w:val="20"/>
            <w:u w:val="single"/>
            <w:shd w:val="clear" w:color="auto" w:fill="FFFFFF"/>
            <w:lang w:val="en-US" w:eastAsia="en-US" w:bidi="ar-SA"/>
          </w:rPr>
          <w:t>2010 BCSC 1011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Aymont</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Aymont</w:t>
      </w:r>
      <w:r>
        <w:rPr>
          <w:rFonts w:ascii="arial" w:eastAsia="arial" w:hAnsi="arial" w:cs="arial"/>
          <w:color w:val="000000"/>
          <w:sz w:val="20"/>
          <w:lang w:val="en-US" w:eastAsia="en-US" w:bidi="ar-SA"/>
        </w:rPr>
        <w:t xml:space="preserve">, the accident occurred on a highway at the driveway to a Petro-Canada service station. The plaintiff was in the process of exiting the service station when her vehicle collided with the defendant's vehicle which was travelling on the highway. Madam Justice Gropper considered s. 176(2)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held that the plaintiff was the servient driver. She found that the plaintiff did not yield to the defendant's vehicle which was approaching on the highway and that the defendant was entitled to assume that the plaintiff would obey the rules of the road. Also, by the time that the defendant observed the plaintiff's vehicle there was not enough time for him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my view the same may be said of the plaintiff's operation of her vehicle. She was not looking forward or to the right on her path of travel and had accelerated to 23 kilometres per hour, just three or four seconds before the point of impact, which was the first time she observed the defendant's car. Clearly the plaintiff did not yield the right of way to the defendant as she was required to do under s. 176(2)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At the same time, even if the defendant, by exercising reasonable care, should have seen the plaintiff, in my view he did not have sufficient opportunity to avoid the collision. If there is any doubt about that conclusion, as stated in </w:t>
      </w:r>
      <w:r>
        <w:rPr>
          <w:rFonts w:ascii="arial" w:eastAsia="arial" w:hAnsi="arial" w:cs="arial"/>
          <w:i/>
          <w:color w:val="000000"/>
          <w:sz w:val="20"/>
          <w:lang w:val="en-US" w:eastAsia="en-US" w:bidi="ar-SA"/>
        </w:rPr>
        <w:t>Walker</w:t>
      </w:r>
      <w:r>
        <w:rPr>
          <w:rFonts w:ascii="arial" w:eastAsia="arial" w:hAnsi="arial" w:cs="arial"/>
          <w:color w:val="000000"/>
          <w:sz w:val="20"/>
          <w:lang w:val="en-US" w:eastAsia="en-US" w:bidi="ar-SA"/>
        </w:rPr>
        <w:t>, it should be resolved in the defendant's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has not established that by the exercise of reasonable care the defendant should have become aware of the plaintiff's disregard of the law namely, the requirement that she yield the right of way to the defendant's vehicle, or that the defendant had a sufficient opportunity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the end result and considering the circumstances of this case I find that the plaintiff is 100% at fault for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T.W. BOWDEN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8"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66"/>
          <w:headerReference w:type="default" r:id="rId467"/>
          <w:footerReference w:type="even" r:id="rId468"/>
          <w:footerReference w:type="default" r:id="rId469"/>
          <w:headerReference w:type="first" r:id="rId470"/>
          <w:footerReference w:type="first" r:id="rId47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72" w:history="1">
        <w:r>
          <w:rPr>
            <w:rFonts w:ascii="arial" w:eastAsia="arial" w:hAnsi="arial" w:cs="arial"/>
            <w:b/>
            <w:bCs/>
            <w:i/>
            <w:color w:val="0077CC"/>
            <w:kern w:val="32"/>
            <w:sz w:val="28"/>
            <w:szCs w:val="32"/>
            <w:u w:val="single"/>
            <w:shd w:val="clear" w:color="auto" w:fill="FFFFFF"/>
            <w:lang w:val="en-US" w:eastAsia="en-US" w:bidi="ar-SA"/>
          </w:rPr>
          <w:t>Woodrow v. Canada (Attorney General), [2001] B.C.J. No. 102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Melvin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9,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11,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4052/97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102 A.C.W.S. (3d) 669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Alan Daniel Woodrow and Comox Valley Produce Ltd., plaintiffs, and The Attorney General of Canada, Her Majesty the Queen in Right of the Province of British Columbia and Comox-Strathcona Regional District,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9"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5" w:name="Keywords_31"/>
      <w:bookmarkEnd w:id="205"/>
      <w:r>
        <w:rPr>
          <w:rFonts w:ascii="arial" w:eastAsia="arial" w:hAnsi="arial" w:cs="arial"/>
          <w:b/>
          <w:color w:val="000000"/>
          <w:sz w:val="20"/>
          <w:lang w:val="en-US" w:eastAsia="en-US" w:bidi="ar-SA"/>
        </w:rPr>
        <w:t>Practice — Judgments and orders — Amendment, recission and variation of judgments and orders — Slip rule, correction of errors and omissions — After judgment or order perfected or entered — Costs — Power to amend award — Party and party costs — Special orders — Increase in scale of costs, application for.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6" w:name="Case Summary_28"/>
            <w:bookmarkEnd w:id="20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application by the defendant Attorney General of Canada for an order amending a costs order which he accidentally approved. The plaintiff, Woodrow, also applied for an increase in the costs award under Rule 7 of the Supreme Court Rules. The major issue in the litigation was the cause of flooding of Woodrow's lands. The trial judge found Woodrow and the Attorney General equally responsible for the loss. Woodrow was awarded costs in accordance with the provisions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on scale three. The costs order approved ordinary costs on scale three and the Attorney General claimed that this was simply done in error.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7" w:name="Holdings of Court_21"/>
            <w:bookmarkEnd w:id="207"/>
            <w:r>
              <w:rPr>
                <w:rFonts w:ascii="arial" w:eastAsia="arial" w:hAnsi="arial" w:cs="arial"/>
                <w:color w:val="000000"/>
                <w:sz w:val="20"/>
                <w:lang w:val="en-US" w:eastAsia="en-US" w:bidi="ar-SA"/>
              </w:rPr>
              <w:t>HELD: Application by Attorney General allowed, and application by Woodrow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Attorney General had demonstrated that his approval of the costs order was a slip which was to be properly corrected. Because both parties were equally at fault for the flooding, an increase in the costs awarded would have been inappropriate.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8" w:name="Legislation Cited_22"/>
      <w:bookmarkEnd w:id="20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0"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7, 41(24).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s. 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9" w:name="Counsel_32"/>
      <w:bookmarkEnd w:id="20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1" style="position:absolute;z-index:251794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L.J. Alexander, for the plaintiffs. W.J.M. Divoky, for the defendant, the Attorney General of Canada.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0" w:name="Judgment_32"/>
      <w:bookmarkEnd w:id="210"/>
      <w:r>
        <w:pict>
          <v:line id="_x0000_s1182" style="position:absolute;z-index:25184460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1" w:name="MELVIN J."/>
            <w:bookmarkEnd w:id="211"/>
            <w:r>
              <w:rPr>
                <w:rFonts w:ascii="arial" w:eastAsia="arial" w:hAnsi="arial" w:cs="arial"/>
                <w:b/>
                <w:color w:val="000000"/>
                <w:sz w:val="30"/>
                <w:lang w:val="en-US" w:eastAsia="en-US" w:bidi="ar-SA"/>
              </w:rPr>
              <w:t>MELVIN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reasons for judgment pronounced March 16, 2000, the court dealt with costs in paragraph 118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[118] As to costs. Counsel for the plaintiff has submitted a certain Order concerning costs without making oral submissions but they are clear in the material what he thought was appropriate for costs. Costs will be dealt with in accordance with the provisions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Costs will be on scale three. I see no justification for departing from scale three.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May 1, 2000, the order purporting to reflect the reasons for judgment was entered with the approval as to form by counsel for the plaintiffs, counsel for the Attorney General of Canada, and counsel for Her Majesty The Queen in Right of the Province of British Columbia. On page 2 of that order, the following paragraph, in relation to costs,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COURT FURTHER ORDERS that the Defendant Crown in Right of Canada as represented by the Attorney General of Canada shall pay to the Plaintiffs ordinary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the presentation of the bill of costs by the plaintiffs, counsel for the Attorney General of Canada apparently realized that they made an error in approving the order. In respect of that error, Mr. Carruthers' affidavit filed August 24, 2000 contains the following paragraph:</w:t>
      </w:r>
      <w:r>
        <w:rPr>
          <w:rFonts w:ascii="arial" w:eastAsia="arial" w:hAnsi="arial" w:cs="arial"/>
          <w:sz w:val="20"/>
          <w:lang w:val="en-US" w:eastAsia="en-US" w:bidi="ar-SA"/>
        </w:rPr>
        <w:cr/>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Following the delivery of Justice Melvin's Reasons for Judgment counsel for the Plaintiffs submitted a draft Order for the Judge to sign which the Judge declined to sign. I have no recollection of being provided with a copy of the draft Order handed up to the trial Judge by counsel for the Plaintiffs. Although Mr. Justice Melvin did address some of the terms of the Order, I cannot recollect any remarks dealing with costs. On or about March 28, 2000 counsel for the Plaintiffs submitted a form of trial Order for my review and approval. I subsequently approved the Order as did counsel for Her Majesty the Queen in Right of the Province of British Columbia. The Order was entered on May 1, 2000 and is attached and marked as Exhibit "B" to my Affidavit. At no time did I believe I was signing an Order which reflected the Plaintiff was entitled to 100% of its costs. Had I thought paragraph 2 on p. 2 of the Order, supra, reflected that position I would not have signed the Order without going back to Court to clarify the matter with the trial Judge. As I read the Order on p. 2 paragraph 2 the topic dealt with by the Order is that costs to which the Plaintiff are entitled are on Scale 3 and not that the Plaintiff is being awarded all their costs. In my view to read the Order any other way conflicts with the clear intention set forth by the Judge on p. 32 of his Reasons indicating costs are to be dealt with in accordance with the provisions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 a result, counsel applies pursuant to R. 41(24) for a correction of the order. That rule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may at any time correct a clerical mistake in an order or an error arising in an order from an accidental slip or omission, or may amend an order to provide for any matter which should have been but was not adjudicated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Counsel for the plaintiffs submits that the affidavit material of Mr. Carruthers does not indicate a slip as both counsel for the Attorney General of Canada and Her Majesty The Queen in Right of the Province of British Columbia have endorsed the order, and it is difficult to understand how they could have misread that which they signed. He further submits that too much time has elapsed since the reasons of March and the order of May to the hearing of this application on January 9, 2001. I should note with reference to the latter aspect of it, the Attorney General of Canada issued a notice of motion on September 15, 2000 dealing with this particular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On this latter aspect, I am satisfied that the Attorney General of Canada brought on the application to correct the order in a timely fashion and the delay of hearing from September 2000 to January 2001 was not due to any actions of the Attorney General of Canada, but due to the ability of the court to hear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As to whether or not this amounts to a slip, the affidavit of Mr. Carruthers supports the conclusion that he misunderstood the order as presented to him for his approval as to form. Paragraph 118 makes it abundantly clear what was intended, by the expression "Costs will be dealt with in accordance with the provisions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Costs were to be divided as success was divided. The major issue in the litigation was the cause of flooding of the plaintiffs' lands in relation to the movement of water from the "Queen's Ditch" onto the plaintiffs' lands. On this issue, success was divided equally, as the finding was that both the Attorney General of Canada and the plaintiffs' actions contributed to the flooding of the plaintiffs' lands and corresponding crop loss. Consequently, the reference to costs being in accordance with the provisions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means in accordance with s. 3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even though that section was not referred to in the reasons. Any other interpretation of the language of paragraph 118 which would result in the costs not being dealt with in accordance with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would be, in my view, a strained and illogical interpretation of the language. Consequently, in terms of the slip rule, the Attorney General of Canada has satisfied me that the approval as to form on the order was an error and R. 41(24)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next issue that arises is whether, since the matter of costs is being revisited, the court should consider, under R. 7, Appendix B, revisiting the issue with a view to increased costs. Counsel for the Attorney General of Canada submits that the Court is functus once the formal order is entered, save and except errors which are covered by R. 41(24). One authority on point is Canada Trust Company v. Sundist Holdings Ltd. </w:t>
      </w:r>
      <w:hyperlink r:id="rId473" w:history="1">
        <w:r>
          <w:rPr>
            <w:rFonts w:ascii="arial" w:eastAsia="arial" w:hAnsi="arial" w:cs="arial"/>
            <w:i/>
            <w:color w:val="0077CC"/>
            <w:sz w:val="20"/>
            <w:u w:val="single"/>
            <w:shd w:val="clear" w:color="auto" w:fill="FFFFFF"/>
            <w:lang w:val="en-US" w:eastAsia="en-US" w:bidi="ar-SA"/>
          </w:rPr>
          <w:t>[1981] B.C.J. No. 1700</w:t>
        </w:r>
      </w:hyperlink>
      <w:r>
        <w:rPr>
          <w:rFonts w:ascii="arial" w:eastAsia="arial" w:hAnsi="arial" w:cs="arial"/>
          <w:color w:val="000000"/>
          <w:sz w:val="20"/>
          <w:lang w:val="en-US" w:eastAsia="en-US" w:bidi="ar-SA"/>
        </w:rPr>
        <w:t>, Vancouver Registry No. H801345. McEachern, C.J.S.C. (as he then was) stated at paragraph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understand, therefore, that the law is that an entered order is final and cannot be changed because of new arguments or because the Judge pronouncing the order may have second thoughts about what he has ordered, or where the parties merely advance fresh details of matters which are already before the Court.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However, in my view, the jurisdiction of the court to revisit the issue of costs, even though the formal order has been entered, has been changed by the language of R. 7, which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 Where the court determines that for any reason there would be an unjust result if costs were assessed under Scales 1 to 5, the court may, at any time before the assessment has been completed, order that costs be assessed as increased costs under subsection (2). [my underlining]</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costs are ordered to be assessed as increased costs, the assessing officer shall fix the fees that would have been allowed if an order for special costs had been made under Rule 57(3), and shall then allow 1/2 of those fees, or a higher or lower proportion as the court may order, together with all proper expenses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my opinion, this rule is a change which allows the court to revisit costs after a formal order has been entered. The normal practice of this court is that the entered order is the jurisdiction for the taxing officer of the court to embark upon an assessment of a bill of costs. As such an entered order is a prerequisite to an assessment. The language of R. 7 which authorizes the court at any time before that assessment has been completed to order increased costs, is an extension of the jurisdiction of the court and does allow, in the case at bar, the court to entertain the application brought by the plaintiffs for increased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the issue as to whether the costs should be increased, affidavit material filed indicates that the solicitor and client costs in this respect are approximately $98,000.00 and that the costs under Scale 3 would be approximately $58,000.00. On the divided success, the plaintiffs would recover one-half of the $58,000.00 item, absent revisiting the issue under Appendix B, R. 7(1) and (2). On the issue of increased costs, counsel for the plaintiffs refers to the disparity between actual and recovered costs on an assessment of ordinary costs on Scale 3, the necessity of the plaintiffs to proceed to litigation to recover any compensation for the flooding of the lands and the damage to crops, and suggests some intransigence on the part of the defendants in attempting to meet the plaintiffs' needs in respect to the losses sustained. Although there was always an interest to see that a successful party recovers as much as possible of the fruits of the judgment, which that person has obtained, in my view, the court cannot automatically increase costs solely on the basis of a disparity between the solicitor and client actual costs and costs as taxed under the Rules. If there is a failing in the scale of costs under the Supreme Court Rules, that should be addressed by appropriate increases to the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 disparity in and of itself, in my opinion, does not necessarily lead to an unjust result, particularly so in the case at bar where success was divided. The major issue in this litigation, as previously stated, was the cause of the flooding of the plaintiffs' lands and the consequent damage to crops. On this issue the plaintiffs and the defendant Attorney General of Canada were determined to be equally at fault for the flooding and the consequent loss. Under those circumstances, to award the plaintiffs increased costs, in my opinion, would be inappropriate. Scale 3 costs as apportioned in accordance with the degree of fault would not cause an unjust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defendants' application under the slip rule to amend the order to reflect the divided success pursuant to s. 3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on the issue of costs is granted, and the plaintiffs' application under R. 7 for increased costs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MELVIN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3" style="position:absolute;z-index:2518855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80" w:history="1">
        <w:r>
          <w:rPr>
            <w:rFonts w:ascii="arial" w:eastAsia="arial" w:hAnsi="arial" w:cs="arial"/>
            <w:b/>
            <w:bCs/>
            <w:i/>
            <w:color w:val="0077CC"/>
            <w:kern w:val="32"/>
            <w:sz w:val="28"/>
            <w:szCs w:val="32"/>
            <w:u w:val="single"/>
            <w:shd w:val="clear" w:color="auto" w:fill="FFFFFF"/>
            <w:lang w:val="en-US" w:eastAsia="en-US" w:bidi="ar-SA"/>
          </w:rPr>
          <w:t>Kellett v. Stam, [2018] B.C.J. No. 1321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L.B. Gerow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9-13 and 16,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6,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M152695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1321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81" w:history="1">
        <w:r>
          <w:rPr>
            <w:rFonts w:ascii="arial" w:eastAsia="arial" w:hAnsi="arial" w:cs="arial"/>
            <w:i/>
            <w:color w:val="0077CC"/>
            <w:sz w:val="20"/>
            <w:u w:val="single"/>
            <w:shd w:val="clear" w:color="auto" w:fill="FFFFFF"/>
            <w:lang w:val="en-US" w:eastAsia="en-US" w:bidi="ar-SA"/>
          </w:rPr>
          <w:t>2018 BCSC 1127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Karen Kellett, Plaintiff, and Jacobje Stam,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4"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2" w:name="Keywords_32"/>
      <w:bookmarkEnd w:id="212"/>
      <w:r>
        <w:rPr>
          <w:rFonts w:ascii="arial" w:eastAsia="arial" w:hAnsi="arial" w:cs="arial"/>
          <w:b/>
          <w:color w:val="000000"/>
          <w:sz w:val="20"/>
          <w:lang w:val="en-US" w:eastAsia="en-US" w:bidi="ar-SA"/>
        </w:rPr>
        <w:t>Damages — Types of damages — For personal injuries — Cost of future care — Loss of earning capacity — Loss of housekeeping ability — Special damages — Past loss of income — Non-pecuniary loss — Pain and suffering — Action for damages suffered in 2014 motor vehicle accident allowed — Plaintiff, 61 was a social worker — She suffered soft tissue injuries to neck, chest and lower back, headaches, and injuries to her hands in accident — Injuries resulted in chronic pain and ongoing mood and psychological symptoms — Plaintiff awarded $43,000 for past loss of income, $135,000 for non-pecuniary damages, $350,000 for future loss of income earning capacity, $15,600 for her future loss of housekeeping capacity, $9,000 for cost of future care and $2,000 for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3" w:name="Case Summary_29"/>
            <w:bookmarkEnd w:id="21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suffered in a 2014 motor vehicle accident. The plaintiff suffered soft tissue injuries to her neck, chest and lower back, headaches, and injuries to her hands in the accident. The plaintiff, 61, was a social worker. Her injuries required her to take nine months off work. She was bedridden for almost a month after the accident and required help from her son to dress. Since returning to work, she had struggled with the demands of her job. The injuries she sustained in the accident resulted in chronic pain in her low back and hands, and ongoing mood and psychological symptoms. The plaintiff argued her ongoing symptoms restricted her work, household, community and physical activities, and prevented her from baking and drawing.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4" w:name="Holdings of Court_22"/>
            <w:bookmarkEnd w:id="214"/>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awarded damages of $627,671. She was awarded $43,000 for past loss of income. As a result of the 2014 accident, the plaintiff would continue to suffer from limitations and pain in her hands and her low back. She would also continue to suffer from mood symptoms as a result of the chronic pain and limitations she was suffering. Symptoms arising from the injuries had impacted every aspect of her life. She was awarded $135,000 for non-pecuniary damages. The evidence established there was a real and substantial possibility of a future event leading to an income loss. Both of her supervisors had indicated they had accommodated her as much as possible. It was clear from the evidence of her supervisors that the plaintiff was not currently meeting her job demands, and the medical evidence was that she would continue to have limitations in the future. The plaintiff had been rendered less capable overall from earning income from all types of employment, she was less marketable and attractive as an employee, and she might not be able to take advantage of all job opportunities. Having considered the positive and negative contingencies, including the evidence that she could have some improvement in symptoms with further treatment, she was awarded $350,000 for future loss of income earning capacity. While the plaintiff had a diminished housekeeping capacity, she had residual housekeeping capacity. She was awarded $15,600 for her future loss of housekeeping capacity to age 75 based on five hours a week of assistance at a rate of $15 per hour. She was awarded $9,000 for cost of future care for equipment, yoga, gym pass and kinesiology and $2,000 for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5" w:name="Counsel_33"/>
      <w:bookmarkEnd w:id="21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5"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J.M. 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R.F. Shirreff.</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6" w:name="Judgment_33"/>
      <w:bookmarkEnd w:id="216"/>
      <w:r>
        <w:pict>
          <v:line id="_x0000_s1186" style="position:absolute;z-index:2517954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WHAT ARE THE NATURE AND EXTENT OF THE INJURIES SUFFERED IN THE 2014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Plaintiff's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Defendant's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Relevant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 of the Law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WHAT IS THE APPROPRIATE AWARD OF GENERAL DAMAGES FOR PAIN AND SUFFERING?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Applicable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 of the Law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INCOME OR INCOME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Applicable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HOUSEKEEPING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Applicable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 of the Law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Applicable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MITIGATION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Legal Parameters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 of the Law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7" w:name="L.B. GEROW J."/>
            <w:bookmarkEnd w:id="217"/>
            <w:r>
              <w:rPr>
                <w:rFonts w:ascii="arial" w:eastAsia="arial" w:hAnsi="arial" w:cs="arial"/>
                <w:b/>
                <w:color w:val="000000"/>
                <w:sz w:val="30"/>
                <w:lang w:val="en-US" w:eastAsia="en-US" w:bidi="ar-SA"/>
              </w:rPr>
              <w:t>L.B. GEROW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Karen Kellett, was injured in a motor vehicle accident on March 10, 2014. The accident occurred at or near Britton Avenue and Sheffield Street in Chilliwack, B.C. when a vehicle driven by the defendant Jacobje Stam struck Ms. Kellett's vehicle. Ms. Kellett commenced this action against Mr. Stam seeking damages for the injuries she alleges she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Stam has admitted liability for the accident. As well, Mr. Stam concedes Ms. Kellett was injured in the accident. However, he disagrees about the nature, extent and impact of her injuries. Mr. Stam takes the position that Ms. Kellett has failed to mitigate her damages by not following medical recommendations for the treatment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issues raised by the pleadings and submissions are:</w:t>
      </w:r>
      <w:r>
        <w:rPr>
          <w:rFonts w:ascii="arial" w:eastAsia="arial" w:hAnsi="arial" w:cs="arial"/>
          <w:sz w:val="20"/>
          <w:lang w:val="en-US" w:eastAsia="en-US" w:bidi="ar-SA"/>
        </w:rPr>
        <w:cr/>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nature, extent and duration of the injuries Ms. Kellett suffered in the accident?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award for general damages for pain and suffering?</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amount for loss of future income or future income earning capacity?</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award for the cost of future care?</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award for the loss of housekeeping capacity?</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award for the "in trust" claim?</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the amount of damages awarded be reduced because of Ms. Kellett's failure to mitigate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parties have agreed to the past wage loss in the amount of $43,000. As well, special damages in the amount of $2,000 have been agreed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Kellett is 61 years old and works as a social worker for the Ministry of Child and Family Development providing family support and child protection services. She has two adult sons and lives in Chilliwack,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noted, Mr. Stam admits liability for the accident. Ms. Kellett testified that Mr. Stam ran a stop sign and she hit his car. The airbags in Ms. Kellett's vehicle deployed during the collision. Ms. Kellett does not recall being struck by the air bag but went to the hospital after the accident complaining of pain in her chest, neck, back, and hands.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Kellett testified that she was in good health prior to the accident and was able to meet her job requirements. Ms. Kellett and her co-workers all testified that the job of a child protection social worker can be very physical. Often they have to remove children from their families in stressful situations. From time to time they get into a threatening situation. Ms. Kellett testified that she did not have any problem with the job demands prior to the motor vehicle accident, including picking up and carrying children and car seats, taking notes, and driving to appointments.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Following the motor vehicle accident, Ms. Kellett's injuries required her to take nine months off work. She testified that she was bedridden for almost a month after the accident and required help from her son to dress. After the accident, Ms. Kellett's son, James Mason, moved into her house with his wife and four children. The evidence is that since moving in, Mr. Mason and his wife do most of the work around the house and 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Despite numerous treatments since the accident, Ms. Kellett continues to complain of ongoing physical symptoms, particularly in her hands and her back. Ms. Kellett says her ongoing symptoms restrict her work, household, community and physical activities, and have prevented her from baking and drawing.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Kellett testified that she has a hard time sitting or standing for any length of time since the accident. As well, she says she is not as emotionally strong as she was prior to the accident, and complains of mood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Kellett had a subsequent motor vehicle accident in April 2017, when she ran over a road cone that was in the middle of the road. It hit the front of Ms. Kellett's car and travelled underneath. There was some damage to her vehicle. Ms. Kellett's evidence is that she tensed up when she saw the road cone and had extremely sore arms, hands and low back as a result. After the accident, Ms. Kellett missed a few days from work. The soreness in her legs resolved, and her hand pain and back pain returned to the same status as prior to the 2017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What are the nature and extent of the injuries suffered in the 2014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Kellett's evidence was that since the 2014 accident, she has suffered from debilitating thumb pain in both hands, and intermittent back pain that flares when she does activities, which previously did not cause her any problems, like yard work. Her pain has caused her to end activities that previously brought her joy, such as drawing, cake decorating, volunteering, and going for walks with her friends. Her pain causes her to leave work early and deprives her of the motivation to leave the office to go on visits to homes and schools. The pain saps her energy and she is exhausted when she gets home from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Kellett's ongoing hand and back pain have imposed and will likely permanently impose, a significant restriction on her enjoyment of life, both in its personal and work-related dimensions. There has been a marked restriction in her ability to join in family activities and participate fully in the lives her grandchildren. She is in at least continual discomfort in the home and workplace settings and her normal job functions increase her pain and discomfort. Living in Chilliwack, she must drive and driving causes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effects of Ms. Kellett's injuries have been life changing. They have devastated her lifestyle and left her incapable doing the activities she most enjoyed. Although there are some prospects for improvement in her severe pain, those prospects are uncertain, and she is unlikely to ever be permanently free of pain, including in both her hands and in her lower back. Her injury has led to a change in her personality. Her friends and family have described her as less active and depressed since the accident. The accident has had negative effects on her relationships with her children, grandchildren, and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Without surgery Ms. Kellett's hand problems will not improve. With surgery, she faces a real and substantial risk that it may be unsuccessful, coupled with long periods of casting, physiotherapy, and time off 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 concedes that the plaintiff suffered multiple injuries due to the motor vehicle accident. The defendant says the most significant areas of injury pertain to the carpometacarpal (CMC) joints of both her hands and her lower back. The defendant says the CMC joint condition of both hands is by far the most significant of the injuries sustained. The defendant says there is medical consensus that the motor vehicle accident caused a previously asymptomatic degenerative condition in the Ms. Kellett's hands to become symptomatic. The defendant submits the injuries to Ms. Kellett's hands have affected her life far more than any of the other injuries she sustained in the accident. Given the impact on Ms. Kellett's life of her hand injuries she should have taken advantage of all treatment modalities that offered pain relief and function improvement but she has failed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medical doctors who have examined Ms. Kellett have recommended steroidal injections to the CMC joints and the use of thumb splints. Despite the pain and disability Ms. Kellett suffers, she has not elected to pursue certain recommended medical procedures to alleviate those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defendant concedes that Ms. Kellett suffers from mechanical lower back pain as a result of the accident, and that she is going to continue to experience intermittent annoying and possibly limiting lower back pain, especially with heavy lifting, heavy labour and sustained or repetitive bending, on a permanent basis.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Relevant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order to establish causation Ms. Kellett must prove on a balance of probabilities that but for the accident she would not have suffered the injury she complains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Supreme Court of Canada considered causation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The Court confirmed that the basic test for determining causation remains the "but for" test articulated in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The plaintiff bears the burden of proving that but for the negligent act or omission of the defendant the injury would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plaintiff is not required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his or her injuries. The tortfeasor must take his or her victim as the tortfeasor finds the victim, and is liable even if other causal factors, for which the defendant is not responsible, result in the victim's losses being more severe than they would be for the average person. At the same time, the tortfeasor need not put the victim in a better position than the victim would have been in, and need not compensate the victim for the effects of a pre-existing condition that the victim would have experienced in any event: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34-35.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of the Law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All of the doctors who examined Ms. Kellett agree she was injured in the accident and that her ongoing complaints are a result of the injuries she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Kellett's family doctor, Dr. Bradley Dueck, testified that Ms. Kellett had a herniated disc in 2006 in her back but recovered. In 2010, Ms. Kellett had a flare up of back pain from which she recovered without any invasive treatment. For the four years prior to the accident, Ms. Kellett had not complained of any back pain. Dr. Dueck's evidence is that prior to the accident, Ms. Kellett had never complained of thumb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Maziar Badii, an expert in rheumatology with a special interest in the spine, provided an expert report and testified at the trial. Dr. Badii conducted an independent medical examination (IME) of Ms. Kellett on November 28, 2017 at the request of her counsel. Dr. Badii's opinion is that the accident rendered Ms. Kellett's previously asymptomatic osteoarthritis in the CMC joints of both hands symptomatic. As well, the accident produced carpal tunnel syndrome in both hands and her right forearm, and aggravated her degenerative disc disease. Finally, his opinion is that the accident caused whiplash associated soft tissue injuries to her neck and back, and seatbelt related soft tissue injuries to Ms. Kellett's anterior chest and abdomen.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Badii notes that Ms. Kellett complains that her worst symptoms are in her hands. Dr. Badii believes the pain at the base of Ms. Kellett's thumbs is likely due to osteoarthritis in the CMC joints which was rendered symptomatic by the accident. The second type of hand symptoms Ms. Kellett reports are neurological in nature, in the form of numbness, tingling and weakness in the hands, with the right hand being worse. Dr. Badii's opinion is that the neurological symptoms are likely due to carpal tunnel syndrome (compression of the median nerve).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Badii's opinion is that Ms. Kellett sustained soft tissue injuries as well as aggravation of degenerative changes in her neck. These were accompanied by cervicogenic headaches during the first few months. Dr. Badii's opinion is that Ms. Kellett's lower back pain is likely due to aggravation of pre-existing degenerative disc disease and facet osteoarthritis. As well, she likely had aggravation of pre-existing foraminal stenosis (narrowing of the spinal canal) producing radicular pain (due to nerve root compression or irritation within the spinal canal). The leg pain has resolved. Ms. Kellett's continued right lower back pain is likely due to the aggravation of pre-existing degenerative changes and accident associated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Badii's opinion is that Ms. Kellett has reached maximal medical improvement. In his opinion, Ms. Kellett will always have pain in the base of the thumbs. As well, she will always have a similar pattern of numbness and tingling in her right hand and mechanical pain in her lower back in the future with a baseline of tolerable pain and more severe flare ups with prolonged sitting or standing, and with strenuous physical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Badii outlined the treatment options for Ms. Kellett's hands, including anti-inflammatory medication, topical anti-inflammatory medication, steroid injections around the CMC joints, a CMC brace, and surgical options. The anti-inflammatory is not recommended because Ms. Kellett suffers from gastrointestinal reflux. Surgery options include joint fusion or joint replacement. For her low back pain, Dr. Badii recommends physiotherapy and an exercise program. There is also the possibility of facet blocks and/or epidural steroid injections in her low back. Any benefit from the injections would not be expected to last more than three to six months and would have to be repeated at regular intervals.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Badii testified that the treatments for CMC joints are not that satisfactory. General pain medications can help to reduce the pain. He tries to stay away from injections because you can only get one or two drops into the area. Braces can be fairly effective for pain reduction but limit mobility and can get in the way of fine movements. Surgical options are only looked at in the most serious cases. Until recently, there was only an option to fuse the joint which creates a loss of function. Now there is surgery to replace the joints but it takes a long time to rehabilitate. It would take a year for both hands if things went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Badii testified there is the possibility of injections to the facet joints for low back pain but injections to the disc are more difficult. Ms. Kellett's back pain is not just coming from the facet joints but also from the disc. Dr. Badii's experience is that patients will have 70% to 80% reduction in pain for a while. Dr. Badii's opinion is that it is safe to have injections every 4-6 months. Patients only have reduced pain for the first 2 1/2 months after the injection. According to Dr. Badii injections are as limited as possible because if a person has too many injections they can have a build up of steroids in the system which can result in loss of bone mass. An acceptable risk for injections into the bone, which would be necessary in Ms. Kellett's case, is twice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Zeeshan Waseem, an expert in physical medicine and rehabilitation, testified and provided an expert report. Dr. Waseem conducted an IME of Ms. Kellett on August 14, 2017, at the request of her counsel. Dr. Waseem reported that Ms. Kellett's thumb pain in both hands is her primary complaint. Ms. Kellett also complained of low back pain in the right sacroiliac joint region. Ms. Kellett reported to Dr. Waseem that she had initially experienced neck, right breast, chest and right leg pain, and headaches which have resolved. Ms. Kellett reported ongoing trouble sleeping due to pain and sleep apnea.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Waseem found the range of motion in both Ms. Kellett's cervical and thoracic spine was within normal limits and symmetric, and there was no notable muscle stiffness, increased muscle tone, spasms, taut bands or trigger points. Dr. Waseem also found no pain in palpation of the lumbar spine, or notable increased muscle tone, muscle stiffness, spasms, taut bands or trigger points in the area. He found pain to palpitation in the right sacroiliac joint (SI) and hypomobility in the SI joint. In his opinion, the asymmetry in the SI joints is indicative of SI joint dysfunction. Right lumbar bending was reduced by 5% with the remainder of the lumbar spine within normal range of motion. As well, Ms. Kellett reported increased pain in her right SI joint with lumbar spine movements. Range of motion was normal in Ms. Kellett's hips, knees and ankles.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Kellett reported pain when Dr. Waseem palpated the CMC joints of her hands, and with active and passive movement of the thumbs. Ms. Kellett had reduced movement and range of motion in her thumbs.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Waseem's states that based on his review of the records and her history, Ms. Kellett appears to have initially sustained sprain/strain injuries to her cervical and lumbar spines, bilateral thumbs, anterior chest wall and right breast, and developed headaches as a result of the accident. The headaches and injuries to her cervical spine, chest and breast have resolved. However, she continued to experience low back and thumb pain leading up to the accident in 2017. She reinjured her back and thumbs in the 2017 accident, temporarily exacerbating her symptoms, before the pain returned to her prior baseline. Dr. Waseem's opinion is that the injuries sustained in the 2014 accident have resulted in chronic mechanical low back pain secondary to right sacroiliac joint dysfunction and chronic bilateral thumb pain secondary to CMC joint osteoarthritis. The accident rendered Ms. Kellett's previously asymptomatic osteoarthritis 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It is Dr. Waseem's opinion that Ms. Kellett's current pain and limitations impact her ability to perform the more physically demanding aspects of her pre-accident household tasks. As well, Ms. Kellett's limitations resulting from her injuries have caused her to curb or stop activities she used to enjoy, and have impacted her ability to perform her job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Waseem's opinion is that Ms. Kellett's prognosis for full recovery is poor. Some further improvement with treatment is possible, but in his opinion, Ms. Kellett will continue to experience pain. Pending any future surgical interventions, her physical condition will be permanent. Over the next 5 - 10 years there is a substantial risk of progression of the osteoarthritis of her thumbs, resulting in increased pain and loss of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Waseem recommended steroid injections into Ms. Kellett's CMC joints and right SI joint be considered. If conservative treatments or injections into the CMC joints fail to resolve her pain he recommends referral to a hand surgeon for a consideration of surgical options (fusion versus excisional arthroplasty). Dr. Waseem noted that if Ms. Kellett underwent surgery she would need up to 3 months off work and 6-8 weeks of hand therapy for each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Waseem testified that if Ms. Kellett had a favourable response to the initial injection to the right SI joint, then the injections can be repeated at intervals of 3 - 6 months. If she did not have a favourable response she should not continue with them. Dr. Waseem's evidence is that the injections can be quite painful, there can be complications such as bleeding, and damage to nerves or blood vessels. Dr. Waseem testified he does the injections regularly and his patients have not had any complications. He tries to minimize the pain to the patient. If there is some improvement with the injections, further injections will be recommended. It is not uncommon to have two or three trial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Bertrand Perey, an expert in orthopaedic surgery, conducted an IME of Ms. Kellett on September 17, 2017, at the request of her counsel. Dr. Perey provided a report dated October 25, 2017, and was not required for cross examination. In his examination, Dr. Perey found localized tenderness to the CMC joints of both Ms. Kellett's thumbs. Stressing the joints caused crepitus and discomfort. Dr. Perey diagnosed Ms. Kellett with bilateral basilar joint arthritis in both her thumbs. Dr. Perey's opinion is that the accident caused her pre-existing asymptomatic arthritis in her thumbs to become symptomatic and was instrumental in accelerating the onset of her symptoms. Dr. Perey stated that once patients become symptomatic, they rarely become asymptomatic. Dr. Perey's opinion is that Ms. Kellett could have resolution of her thumb symptoms with surgery. After the surgery she would require six weeks of casting followed by another six weeks of physiotherapy. The likelihood of complete or near complete resolution of her symptoms is approximately eighty-five percent. Dr. Perey does not recommend intervention for the neurological symptoms in Ms. Kellett's hands. In his view, the relationship between the neurological symptoms and the motor vehicle accident was unclear, and he does not believe they are related to the injuries to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Barry Vaisler, an expert in orthopaedic surgery, conducted an IME of Ms. Kellett on September 19, 2017, at the request of the defendant. Dr. Vaisler provided a report dated October 16, 2017. He was not required for cross-examination. He states that Ms. Kellett probably sustained a soft tissue injury to her neck and low back and developed the premature onset of symptomatic osteoarthritis of the CMC joint in both thumbs in the 2014 motor vehicle accident. In his opinion, it is possible that Ms. Kellett also sustained a contusion of the median nerves in the carpal tunnels of both hands as a result of the 2014 accident. At the time Dr. Vaisler assessed her, Ms. Kellett was no longer experiencing neurological symptoms and his opinion is that it is unlikely she have any future symptoms related to carpal tunnel. As well, the evidence was that Ms. Kellett had pre-existing intermittent pain in her neck on an occasional basis prior to the 2014 accident. Ms. Kellett's neck injury had returned to its pre-accident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Vaisler's opinion is that had not the accident occurred, it is more likely Ms. Kellett would have continued to experience occasional low back pain referred down her right leg on a permanent basis with no significant limitation. In the 2014 accident, Ms. Kellett sustained a soft injury to her low back. As a result she suffered from low back pain. Typical low back symptoms following a motor vehicle accident consist of low back pain with prolonged sitting and standing, sustained or repetitive bending, heavy lifting, heavy labour, fatigue at the end of the day and increased psychological stress. At the time Dr. Vaisler examined her, Ms. Kellett was experiencing persistent back pain three years post accident. Dr. Vaisler's opinion is that it is more likely than not that Ms. Kellett sustained a soft tissue injury to one or more lumbar facet joints as a result of the 2014 accident. Dr. Vaisler recommends that Ms. Kellett carry out a regular program of exercise, including a regular low impact fitness routine such as swimming, Pilates or yoga. Dr. Vaisler also recommends Ms. Kellett attend an active rehabilitation program to teach her how to minimize the pain she is experiencing. In Dr. Vaisler's opinion, even if she has further treatment Ms. Kellett will continue to experience intermittent annoying and possibly limiting low back pain, especially with heavy lifting, heavy labour and sustained or repetitive bending on a permanent basis, more intensely and more frequently than the back pain she was experiencing prior to the 2014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Vaisler's opinion the 2014 accident resulted in the premature onset of pain in Ms. Kellett's CMC joints of both thumbs. Typically symptoms associated with osteoarthritis of the CMC joint of the thumb consists of pain at the base of the thumb occurring especially with grip, grasp and pinch. Weakness of grip, grasp and pinch are commonly present and, as the range of motion becomes restricted as the osteoarthritis progresses, there is a reduced ability to grasp wide objects. Dr. Vaisler recommends Ms. Kellett be fitted with splints for both thumbs to restrict the movement of the thumb, and take anti-inflammatory medication and have occasional steroid and local anesthetic injections into the thumbs. In his view, Ms. Kellett's persistent thumb pain for three years make it more likely that her thumb symptoms and limitations will persist and she will likely need reconstructive surgery on one or both hands within the next three to five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surgery is carried out on a day care basis. Post-operatively the thumb would have to be protected by a wrist and thumb splint for approximately six weeks after which she would have physiotherapy. Recovery takes four to six months with an expected 85% to 90% improvement in pain. Strength and range of motion usually improve following surgery. Dr. Vaisler recommends a custom thumb splint that would allow full movement of the wrist but would be awkward to wear when writing, typing and fine precision handling. If Ms. Kellett undergoes the surgery, she will likely be off work for three to four months followed by a graduated return to work over the following one to two months, for each thumb. Dr. Vaisler opines that Ms. Kellett will probably have a 15% to 20% permanent loss of grip, grasp and pinch strength if she has surgery for her thumbs. As a result of her back symptoms from the injuries in the 2014 accident, there is a possibility that Ms. Kellett will have permanent limitations with respect to heavy lifting, heavy labour and sustained or repetitive bending.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Terry Estrin, an expert in psychology, prepared a report and testified. Dr. Estrin saw Ms. Kellett on December 22, 2017, for an independent psychological examination. Dr. Estrin subsequently conducted additional testing and a phone interview with Ms. Kellet. In Dr. Estrin's opinion, Ms. Kellett is suffering from driving-related anxiety related to the 2014 accident. Although Ms. Kellett does not meet all of the criteria for post traumatic stress syndrome and depression, Dr. Estrin is of the view she is suffering from mood symptoms that include dysphoria, anxiety and loss of pleasure. Dr. Estrin opined that Ms. Kellett suffers from profound exhaustion due to chronic pain which in turn limits her overall functioning. In his opinion, fatigue has dramatically lowered Ms. Kellett's quality of life. Dr. Estrin recommends Ms. Kellett would benefit from attending a nine week program in Mindfulness Based Stress Reduction, participation in a trauma therapy treatment and psychological counselling to aid her in adapting to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Stephanie Chauhan, an occupational therapist, provided a report on Ms. Kellett's functional capacity. Ms. Kellett attended a full day of functional capacity testing on December 14, 2017. Ms. Chauhan conducted functional tests of Ms. Kellett's hands and found that she demonstrated reduced grip strength and increased pain during grip strength testing. As well, she suffered from pain in her hands and back when performing a wide range of movements.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Chauhan concluded that, based on Ms. Kellett's reported function and her demonstrated abilities during the functional capacity evaluation, she is partially disabled from functional activities, including work, self-care, housework and leisure. The main impediment is Ms. Kellett's hands. Her dexterity and strength is limited to the point where it interferes with her ability to open containers, hold a cup, clean her glasses, do up a zipper etc. She has a limited tolerance for writing and typing. Ms. Kellett continues to drive, with pain and limitations. As well, Ms. Kellett continues to work with pain and accommodations. Based on Ms. Kellett's lifting, carrying and grip strength demonstrated during the functional capacity evaluation, Ms. Chauhan concluded that she would likely have difficulty with carrying a child or safely securing a car seat by herself. As well, Ms. Kellett would have difficulty completing all household maintenance, meal preparation, and yard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Based on my review of the expert evidence, I find that Ms. Kellett suffered soft tissue injuries to her neck, chest and lower back, as well as injuries to her hands in the 2014 accident. Ms. Kellett also suffered from headaches as a result of the 2014 accident. While she has recovered from a number of the injuries, the injuries she sustained in the 2014 accident have result in chronic pain in her low back and hands, and ongoing mood and psychological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There is no evidence that Ms. Kellett was suffering from pain from her osteoarthritis in her hands before the accident. Given the lack of symptoms prior to the accident, I find the 2014 accident activated Ms. Kellett's pre-existing degenerative condition in her CMC joints.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While Ms. Kellett had some earlier problems with her lower back, the evidence is that she had not complained of back pain for the four years preceding the 2014 accident. All reports are that Ms. Kellett was active in the community and able to fulfill her job requirements prior the 2014 accident. Her job required extensive driving and as noted earlier, is physical, as she often had to carry children and car seats. The lay witnesses are consistent in their evidence that there was a marked change in Ms. Kellett following the 2014 accident. Ms. Kellett's evidence is that despite her attempts, she has not been able to return to many of her pre-accident activities and interests, or all of her job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None of the experts suggest Ms. Kellett's symptoms will completely resolve regardless of the treatments she receives, or steps she takes. In my view, the medical evidence supports a finding that Ms. Kellett will likely experience some improvement over time with further physical and psychological treatment, but will not have a complete resolution of her symptoms or a return to her 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As noted by Dr. Vaisler, the defence expert, if Ms. Kellett undergoes surgery to her thumbs with the attendant year of recovery, she will likely have a substantial lessening of the pain but be with left with a 15% to 20% permanent loss of grip, grasp and pinch strength. As well, according to Dr. Vaisler, as a result of her back symptoms, there is a possibility that Ms. Kellett will have permanent limitations with respect to heavy lifting, heavy labour and sustained or repetitive bending as a result of the injuries she sustained in the 2014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Accordingly, I find on a balance of probabilities that as a result of the 2014 accident Ms. Kellett will continue to suffer from limitations and pain in her hands and her low back. As well, she will continue to suffer from mood symptoms as a result of the chronic pain and limitations she is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What is the appropriate award of general damages for pain and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Kellett seeks an award of $150,000 for general damages. The defendants submit an appropriate award for general damages is $90,000 to $95,000 after a reduction is made for Ms. Kellett's failure to mitigate her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A plaintiff is entitled to reasonable damages for her pain and suffering. The plaintiff should be placed in the same position she would have been if the accident had not occurred, but not in a better position: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paras. 45 and 46, the court noted that a non-pecuniary award will vary to meet the specific circumstances of each case, and set out the factors to be considered in making such an award: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that influence an award of non-pecuniary damages includes: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484"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Ms. Kellett relies on </w:t>
      </w:r>
      <w:r>
        <w:rPr>
          <w:rFonts w:ascii="arial" w:eastAsia="arial" w:hAnsi="arial" w:cs="arial"/>
          <w:i/>
          <w:color w:val="000000"/>
          <w:sz w:val="20"/>
          <w:lang w:val="en-US" w:eastAsia="en-US" w:bidi="ar-SA"/>
        </w:rPr>
        <w:t>Power v. White</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2010 BCSC 1084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Sommerville v. Munro</w:t>
      </w:r>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2018 BCSC 457</w:t>
        </w:r>
      </w:hyperlink>
      <w:r>
        <w:rPr>
          <w:rFonts w:ascii="arial" w:eastAsia="arial" w:hAnsi="arial" w:cs="arial"/>
          <w:color w:val="000000"/>
          <w:sz w:val="20"/>
          <w:lang w:val="en-US" w:eastAsia="en-US" w:bidi="ar-SA"/>
        </w:rPr>
        <w:t>, to support the argument that the appropriate award for general damages is $150,000.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defendants rely on </w:t>
      </w:r>
      <w:r>
        <w:rPr>
          <w:rFonts w:ascii="arial" w:eastAsia="arial" w:hAnsi="arial" w:cs="arial"/>
          <w:i/>
          <w:color w:val="000000"/>
          <w:sz w:val="20"/>
          <w:lang w:val="en-US" w:eastAsia="en-US" w:bidi="ar-SA"/>
        </w:rPr>
        <w:t>Burke v. Schwetje</w:t>
      </w:r>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2017 BCSC 2098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Dobre v. Langley</w:t>
      </w:r>
      <w:r>
        <w:rPr>
          <w:rFonts w:ascii="arial" w:eastAsia="arial" w:hAnsi="arial" w:cs="arial"/>
          <w:color w:val="000000"/>
          <w:sz w:val="20"/>
          <w:lang w:val="en-US" w:eastAsia="en-US" w:bidi="ar-SA"/>
        </w:rPr>
        <w:t xml:space="preserve">, </w:t>
      </w:r>
      <w:hyperlink r:id="rId488" w:history="1">
        <w:r>
          <w:rPr>
            <w:rFonts w:ascii="arial" w:eastAsia="arial" w:hAnsi="arial" w:cs="arial"/>
            <w:i/>
            <w:color w:val="0077CC"/>
            <w:sz w:val="20"/>
            <w:u w:val="single"/>
            <w:shd w:val="clear" w:color="auto" w:fill="FFFFFF"/>
            <w:lang w:val="en-US" w:eastAsia="en-US" w:bidi="ar-SA"/>
          </w:rPr>
          <w:t>2011 BCSC 1315</w:t>
        </w:r>
      </w:hyperlink>
      <w:r>
        <w:rPr>
          <w:rFonts w:ascii="arial" w:eastAsia="arial" w:hAnsi="arial" w:cs="arial"/>
          <w:color w:val="000000"/>
          <w:sz w:val="20"/>
          <w:lang w:val="en-US" w:eastAsia="en-US" w:bidi="ar-SA"/>
        </w:rPr>
        <w:t>, to support the argument that the appropriate award for general damages is $90,000 to $95,000.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While the cases cited are helpful, as noted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at para. 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Before embarking on that task, I think it is instructive to reiterate the underlying purpose of non-pecuniary damages. Much, of course, has been said about this topic. However, given the not-infrequent inclination by lawyers and judges to compare only injuries, the following passage from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supra, at 637 is a helpful reminder: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Thus the amount of an award for non-pecuniary damage should not depend alone upon the seriousness of the injury but upon its ability to ameliorate the condition of the victim considering his or her particular situation. It therefore will not follow that in considering what part of the maximum should be awarded the gravity of the injury alone will be determinative. An appreciation of the individual's loss is the key and the "need for solace will not necessarily correlate with the seriousness of the injury" (Cooper-Stephenson and Saunders, Personal Injury Damages in Canada (1981), at p. 373). In dealing with an award of this nature it will be impossible to develop a "tariff". An award will vary in each case "to meet the specific circumstances of the individual case" (</w:t>
      </w:r>
      <w:r>
        <w:rPr>
          <w:rFonts w:ascii="arial" w:eastAsia="arial" w:hAnsi="arial" w:cs="arial"/>
          <w:i/>
          <w:color w:val="000000"/>
          <w:sz w:val="20"/>
          <w:lang w:val="en-US" w:eastAsia="en-US" w:bidi="ar-SA"/>
        </w:rPr>
        <w:t>Thornton</w:t>
      </w:r>
      <w:r>
        <w:rPr>
          <w:rFonts w:ascii="arial" w:eastAsia="arial" w:hAnsi="arial" w:cs="arial"/>
          <w:color w:val="000000"/>
          <w:sz w:val="20"/>
          <w:lang w:val="en-US" w:eastAsia="en-US" w:bidi="ar-SA"/>
        </w:rPr>
        <w:t xml:space="preserve"> at p. 284 of S.C.R.).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of the Law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As stated earlier, Ms. Kellett suffered soft tissue injuries to her neck and back, and injuries to her hands in the 2014 accident. Most of her soft tissue injuries have resolved, but she is still suffering from chronic low back pain. As well she is suffering from ongoing pain and limitations in both hands, and mood problems as a result of her chronic pain, including depression and anxiety. It is clear from both the expert evidence and the evidence of the Ms. Kellett and the lay witnesses that her injuries impact every aspect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defendant's submission regarding the appropriate award for non-pecuniary damages are predicated on Ms. Kellett's hand pain being her most significant complaint, and that there will be a resolution of both her hand pain and back pain as a result of the surgery and injections. However, the evidence does not bear that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Although there is a prospect of decreased pain with surgery, each hand has to be operated on separately. After surgery her hand will need to be casted for at least six weeks, followed by physiotherapy. As reported by Dr. Vaisler, recovery from the surgery takes four to six months and it will have to be done twice, once for each hand. The best case scenario for surgery will provide an 80% to 90% improvement in pain, but will leave Ms. Kellett with a 15% to 20% permanent loss of grip, grasp and grip strength.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As well, at best injections can provide some temporary relief of back pain and will have to be repeated on a regular basis every six months. The evidence is that injections are not always effective, and the patient usually has recurrence of pain about 2 1/2 months after the injection. As noted earlier, the defendant's expert, Dr. Vaisler opines that as a result of the accident Ms. Kellett has chronic low back pain and permanent limitations with respect to heavy lifting, heavy labour and sustained the repetitive bending.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evidence is that the symptoms arising from the injuries have impacted every aspect of Ms. Kellett's life. Ms. Kellett testified that she can no longer draw, bake or carry her grandson. She is not as social and does not participate in the community functions the way she did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Prior to the accident, Ms. Kellett volunteered in the community. The evidence is that Ms. Kellett was passionate about helping people and families in need in the community. She would gather up used clothing from the lost and found departments at the local schools at the end of the year, wash the clothes, and distribute them to families in need. Ms. Kellett testified she can no longer gather clothing because she can't carry the heavy bags of clothing or do the washing. Ms. Kellett would also collect food weekly and household items year round, and deliver the food and items to families. She testified that she is no longer able to do that as a result of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Kellett's son, Mr. Mason testified regarding his observations of the impact of her injuries on his mother. Mr. Mason testified that he started living with his mother about two months after the 2014 accident. At the time, she was unable to do housework or care for herself so he and his family moved in to his mother's house. Mr. Mason testified that before the accident, his mother used to garden and mow the lawn. He observed his mother struggling with the dishes, vacuuming and yard work following the 2014 accident. As well, since the 2014 accident she has difficulties dressing herself. Mr. Mason testified that since the 2014 accident his mother no longer draws or bakes ornate cakes which are activities she did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Kellett's daughter in law, Crystal Mason testified that prior to the accident Ms. Kellett did physical work around the house, and played with the grandchildren. As well, Ms. Kellett baked very elaborately iced cakes. Ms. Kellett can no longer bake in the same way because she can't hold the piping bag with icing and squeeze it to decorate a cake. Ms. Mason testified she has observed a marked change in Ms. Kellett's behaviour with the grandchildren. She can no longer play with them in the same way. When she comes home from work, Ms. Kellett has very little energy, and she just wants to sit down and watch television or go to bed. Ms. Mason testified this is very different from before the 2014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Two of Ms. Kellett's friends, Penny Marcotte and Susan Goforth testified regarding their observations of Ms. Kellett prior to and after the 2014 accident. Ms. Goforth has known Ms. Kellett since 1994 when they met at a single mother's drop in. Ms. Goforth testified that before the 2014 accident, they would go shopping or walking, or visit each other at their houses. Prior to the 2014 accident, Ms. Goforth participated with Ms. Kellett in volunteer activities. Ms. Goforth testified that Ms. Kellett was key in the community, and was very strong. She recounted a time when Ms. Kellett brought her a dishwasher in her car, and removed it from the car and put in the house. Ms. Kellett used to wash the clothing they collected and hang the clothing on the line. Ms. Goforth testified that since the 2014 accident, Ms. Kellett moves slowly and sits a lot, and is no longer involved in the volunteer activities for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Marcotte testified she had observed a difference in Ms. Kellett's energy level after the 2014 accident. Prior to the 2014 accident Ms. Kellett was very active and now she lacks energy.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have reviewed the various cases regarding the appropriate range for general damages. The cases relied on by the defendants are premised on the argument that Ms. Kellett's main problems are her hands and can be resolved with surgery. However, as stated earlier, that is not borne out in the evidence. Although Ms. Kellett's hands are the main problem, she also has chronic low back pain which is exacerbated by prolonged sitting, standing and doing heavy lifting or labour. As well, as set out earlier, even with hand surgery, Ms. Kellett's pain will not entirely resolve and she will be left with significant limitations in her hands. As a result, I find the cases relied on by Ms. Kellett to be more relevant to the assessment of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As noted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the assessment of non-pecuniary damages depends on the particular circumstances of the plaintiff in each case. Having considered Ms. Kellett's age, the nature of her injuries, her symptoms and the fact they have been ongoing for three years with little improvement, the impact on her life, her mood and psychological problems, and the guarded prognosis for full recovery, as well as the authorities, I am of the view that the appropriate award for non-pecuniary damages is $135,000.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Income or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parties have agreed that the appropriate award for past loss of income or income earing capacity is $43,000, net of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Ms. Kellett is advancing a claim for loss of future income earning capacity in the amount of $600,000. The defendant takes the position that the appropriate award for loss of future income earning capacity is $100,000, taking into account Ms. Kellett's failure to mitigate her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489"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the court set out the law regarding a claim for loss of future income earning capacity. The first inquiry in dealing with a claim of this nature is whether a substantial possibility of future income loss exists. The court stated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by Bauman J.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The former approach will be more useful when the loss is more easily measurable,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The latter approach will be more useful when the loss is not as easily measurable, as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A plaintiff may indeed be able to prove that there is a substantial possibility of a future loss of income despite having returned to his or her usual employment. That was the case in both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But, as Donald J.A. said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an inability to perform an occupation that is not a realistic alternative occupation is not proof of a future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award for future loss of earning capacity represents compensation for a pecuniary loss. It is an assessment rather than mathematical calculation; however, it involves a comparison between a plaintiff's likely future earnings before and after the accident: </w:t>
      </w:r>
      <w:r>
        <w:rPr>
          <w:rFonts w:ascii="arial" w:eastAsia="arial" w:hAnsi="arial" w:cs="arial"/>
          <w:i/>
          <w:color w:val="000000"/>
          <w:sz w:val="20"/>
          <w:lang w:val="en-US" w:eastAsia="en-US" w:bidi="ar-SA"/>
        </w:rPr>
        <w:t>Rovsold v. Dunlop</w:t>
      </w:r>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paras. 11-12. Using the capital asset approach, a trial judge may begin by comparing the present value of the difference between the plaintiff's earnings before and after the injury, but that is not conclusive.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the Court discussed the assessment of an award for a loss of future income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In my view comparator cases are of limited utility in the assessment of awards for future losses, generally. It is well settled that an individual's earning capacity is a capital asset: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at para. 63. An award for future loss of earning capacity thus represents compensation for a pecuniary loss. It is true that the award is an assessment, not a mathematical calculation. Nevertheless, the award involves a comparison between the likely future of the plaintiff if the accident had not happened and the plaintiff's likely future after the accident has happened: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492"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at para. 8. The degree of impairment to the plaintiff's earning capacity depends upon the type and severity of the plaintiff's injuries and the nature of the anticipated employment at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In valuing the award, the judge must consider the likely duration of the plaintiff's prospective working life and must account for negative and positive contingencies which are unique to each case. The final award must be fair and reasonable in all the circumstances. This assessment requires a very fact-intensive, case-specific inquiry. I am persuaded by what Macfarlane J.A. said in </w:t>
      </w:r>
      <w:r>
        <w:rPr>
          <w:rFonts w:ascii="arial" w:eastAsia="arial" w:hAnsi="arial" w:cs="arial"/>
          <w:i/>
          <w:color w:val="000000"/>
          <w:sz w:val="20"/>
          <w:lang w:val="en-US" w:eastAsia="en-US" w:bidi="ar-SA"/>
        </w:rPr>
        <w:t>Lawin v. Jones</w:t>
      </w:r>
      <w:r>
        <w:rPr>
          <w:rFonts w:ascii="arial" w:eastAsia="arial" w:hAnsi="arial" w:cs="arial"/>
          <w:color w:val="000000"/>
          <w:sz w:val="20"/>
          <w:lang w:val="en-US" w:eastAsia="en-US" w:bidi="ar-SA"/>
        </w:rPr>
        <w:t xml:space="preserve">, </w:t>
      </w:r>
      <w:hyperlink r:id="rId493" w:history="1">
        <w:r>
          <w:rPr>
            <w:rFonts w:ascii="arial" w:eastAsia="arial" w:hAnsi="arial" w:cs="arial"/>
            <w:i/>
            <w:color w:val="0077CC"/>
            <w:sz w:val="20"/>
            <w:u w:val="single"/>
            <w:shd w:val="clear" w:color="auto" w:fill="FFFFFF"/>
            <w:lang w:val="en-US" w:eastAsia="en-US" w:bidi="ar-SA"/>
          </w:rPr>
          <w:t>98 B.C.L.R. (2d) 126</w:t>
        </w:r>
      </w:hyperlink>
      <w:r>
        <w:rPr>
          <w:rFonts w:ascii="arial" w:eastAsia="arial" w:hAnsi="arial" w:cs="arial"/>
          <w:color w:val="000000"/>
          <w:sz w:val="20"/>
          <w:lang w:val="en-US" w:eastAsia="en-US" w:bidi="ar-SA"/>
        </w:rPr>
        <w:t xml:space="preserve">, </w:t>
      </w:r>
      <w:hyperlink r:id="rId493" w:history="1">
        <w:r>
          <w:rPr>
            <w:rFonts w:ascii="arial" w:eastAsia="arial" w:hAnsi="arial" w:cs="arial"/>
            <w:i/>
            <w:color w:val="0077CC"/>
            <w:sz w:val="20"/>
            <w:u w:val="single"/>
            <w:shd w:val="clear" w:color="auto" w:fill="FFFFFF"/>
            <w:lang w:val="en-US" w:eastAsia="en-US" w:bidi="ar-SA"/>
          </w:rPr>
          <w:t>[1994] B.C.J. No. 2107</w:t>
        </w:r>
      </w:hyperlink>
      <w:r>
        <w:rPr>
          <w:rFonts w:ascii="arial" w:eastAsia="arial" w:hAnsi="arial" w:cs="arial"/>
          <w:color w:val="000000"/>
          <w:sz w:val="20"/>
          <w:lang w:val="en-US" w:eastAsia="en-US" w:bidi="ar-SA"/>
        </w:rPr>
        <w:t xml:space="preserve"> at para. 35, about the lack of utility in comparisons to other cases: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[G]iven the fact that we cannot foresee the future, it is impossible in a case like this to find any comfort in resort to other cases where the future may be more predictable. Judges will differ, perhaps widely, in making assessments in cases which have been said to depend on what may be seen in a crystal ball. What is certain is that a trial judge who hears and observes the witnesses is in a much better position than an appellate judge to come to a conclusion as to what is fair and reasonable in the circumstances.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determining a plaintiff's loss of future income earning capacity, some of the factors to be considered in making the assessment include:</w:t>
      </w:r>
      <w:r>
        <w:rPr>
          <w:rFonts w:ascii="arial" w:eastAsia="arial" w:hAnsi="arial" w:cs="arial"/>
          <w:sz w:val="20"/>
          <w:lang w:val="en-US" w:eastAsia="en-US" w:bidi="ar-SA"/>
        </w:rPr>
        <w:cr/>
      </w:r>
    </w:p>
    <w:p>
      <w:pPr>
        <w:numPr>
          <w:numId w:val="1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 been rendered less capable overall from earning income from all types of employment?</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 less marketable or attractive to an employer as an employee?</w:t>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 lost the opportunity to take advantage of all job opportunities since he or she was injured?</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 less valuable to him or herself as a person capable of earning income in a competitive labour market?</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conducting the analysis under this head the court then has to consider the contingences, both positive and negative, which are applicable in arriving at a final sum.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Kellett was working as a front line social worker in Agassiz prior to the 2014 accident. Her job duties included office work, field work which could involve child removals, child transportation to various appointments, court appearances and meetings. As noted earlier, the evidence is that the job is physical and requires a lot of driving given the district she is employed in. Ms. Kellett started her social work career later in life after suffering a setback in her plan to become a mechanic. As a result, she is not entitled to full pension until she is 70 years old. The evidence of both Ms. Kellett and her co-workers is that Ms. Kellett was able to perform her job duties prior to the 2014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Immediately after the accident, Ms. Kellett had to take nine months off work. Since returning to work, Ms. Kellett has struggled with the demands of her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Penny Trites, the senior supervisor for Ms. Kellett, testified that prior to the accident, Ms. Kellett was someone you could count on to find things for people who needed them. Her passion was helping people living in poverty. If a family needed clothes or furniture or other items, Ms. Kellett would source it through her connections, take a truck, load it up and deliver it the next day. Ms. Kellett would also gather food on her flex days and deliver it to families in need.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Ms. Trites testified that prior to the accident Ms. Kellett had a large case load. When Ms. Kellett was injured, Ms. Trites took over her case load and found it challenging. Since the accident, accommodations have been made for Ms. Kellett, but even with the accommodations she is unable to meet the demands of her job and the quality of her work has diminished. For example, she is unable to write reports in the way she could before the accident, and does not go out of the office. Ms. Kellett often has to leave work early which puts additional demands on other staff. Ms. Trite's evidence is that Ms. Kellett is clearly not meeting her job requirements, and Ms. Trites is concerned because she has received some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Erin Stellingwerff, another of Ms. Kellett's supervisors also testified. Her evidence is that Ms. Kellett is currently not very effective at her job. She has observed Ms. Kellett in pain and rubbing her hands. The office she works in services a large area and Ms. Kellett has driving restrictions which limit her ability to go into client's homes. As well, her injuries to her hands limit Ms. Kellett's ability to take notes. Note taking is a large part of the job, and according to Ms. Stellingwerff, Ms. Kellett is not able to perform that part of the job. Ms. Stellingwerff testified that Ms. Kellett should be partially in the community, going to the community school and meeting community development needs. Ms. Kellett is not performing those duties because of her physical limitations and long absences from work. Ms. Stellingwerff's evidence is that Ms. Kellett no longer carries a full case load and has a significant amount of work absences. Ms. Stellingwerff testified that it concerned her that Ms. Kellett is not able to do as much of the work. Two of the employees she supervises have complained to Ms. Stellingwerff that the current situation is unfair.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As noted earlier, Ms. Chauhan performed a functional capacity evaluation of Ms. Kellett, and concluded she would likely have difficulty removing a child and carrying a car seat. As well, she has numerous deficits in her hands which would be expected to impact her ability to take notes, type and hold items in her hands. Ms. Kellett reported back pain with lifting, sitting and walking.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medical evidence is that even with an operation, Ms. Kellett will have ongoing pain and limitations in her hands, and pain in her back which make it unlikely she will be able to carry out her job functions.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my view, the evidence establishes there is a real and substantial possibility of a future event leading to an income loss. Both of her supervisors have indicated they have accommodated her as much as possible. It is clear from the evidence of her supervisors that Ms. Kellett is not currently meeting her job demands, and the medical evidence is that she will continue to have limitations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evidence is that if Ms. Kellett undergoes surgery on her hands, it is likely she will be absent from work for a few months with each hand. The evidence is that Ms. Kellett will continue to suffer chronic pain in her low back and hands, even if she has operations on her hands or injections into her back and hands. As noted earlier, even if there is a reduction in her hand pain, she will still have limitations in her hands, and chronic back pain made worse by physical activity. It is unlikely in the circumstances, that she will be in a position to meet her job demands even with surgery and injections into the facet joints and discs of her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my opinion, the evidence establishes that Ms. Kellett has been rendered less capable overall from earning income from all types of employment, she is less marketable and attractive as an employee, and she may not be able to take advantage of all job opportunities. As was evident from her testimony, Ms. Kellett is less valuable to herself as a person as a result of her diminished capacity, and in particular her inability to perform her duties in a job she is passionate about.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Kellett relies on a report authored by Christiane Clark, an economist, in suggesting an award in the amount of $600,000 is appropriate. Ms. Clark projects a loss of earnings and benefits to age 70 years and 11 months of $612,366, based on an annual wage of $70,145. Ms. Clark states in her report that if Ms. Kellett worked full time to age 65 her future loss of earnings would be $363,000. If she works 90% of full time to her age 65 given the accidents her future loss is estimated at $387,900. If she works 80% of full time until age 65 her future loss is estimated at $412, 900. She would also lose approximately $8,800 in benefits, excluding pension. The estimates of earnings and non wage benefits have not been reduced for the potential impacts of negative labour market contingencies of labour market withdrawal, unemployment or part-time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There is no indication Ms. Kellett will not be able to work at least part time until 65. Ms. Kellett has been working full-time, albeit with accommodations and not meeting her job demands, since nine months after the accident. As well, there is evidence that Ms. Kellett's osteoarthritis might have become symptomatic regardless of the accident, and that she had back pain in the past. Having considered the positive and negative contingencies, including the evidence that she could have some improvement in symptoms with further treatment, I am of the view that an award of $350,000 for future loss of income earning capacity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Ms. Kellett is advancing a claim for past loss of housekeeping capacity in the amount of $31,328 and future loss of housekeeping capacity in the amount of $96,372. The defendants take the position that the appropriate award for this head of damages if $25,000.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O'Connell v. Yung</w:t>
      </w:r>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reiterated that loss of housekeeping capacity is distinct from future care costs,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[67] As noted by Madam Justice Huddart in </w:t>
      </w:r>
      <w:r>
        <w:rPr>
          <w:rFonts w:ascii="arial" w:eastAsia="arial" w:hAnsi="arial" w:cs="arial"/>
          <w:i/>
          <w:color w:val="000000"/>
          <w:sz w:val="20"/>
          <w:lang w:val="en-US" w:eastAsia="en-US" w:bidi="ar-SA"/>
        </w:rPr>
        <w:t>McTavish</w:t>
      </w:r>
      <w:r>
        <w:rPr>
          <w:rFonts w:ascii="arial" w:eastAsia="arial" w:hAnsi="arial" w:cs="arial"/>
          <w:color w:val="000000"/>
          <w:sz w:val="20"/>
          <w:lang w:val="en-US" w:eastAsia="en-US" w:bidi="ar-SA"/>
        </w:rPr>
        <w:t xml:space="preserve">, at para. 16, the case was concerned with the development of principled restraints on claims for loss of housekeeping capacity. One of the principles approved in </w:t>
      </w:r>
      <w:r>
        <w:rPr>
          <w:rFonts w:ascii="arial" w:eastAsia="arial" w:hAnsi="arial" w:cs="arial"/>
          <w:i/>
          <w:color w:val="000000"/>
          <w:sz w:val="20"/>
          <w:lang w:val="en-US" w:eastAsia="en-US" w:bidi="ar-SA"/>
        </w:rPr>
        <w:t>Kroeker</w:t>
      </w:r>
      <w:r>
        <w:rPr>
          <w:rFonts w:ascii="arial" w:eastAsia="arial" w:hAnsi="arial" w:cs="arial"/>
          <w:color w:val="000000"/>
          <w:sz w:val="20"/>
          <w:lang w:val="en-US" w:eastAsia="en-US" w:bidi="ar-SA"/>
        </w:rPr>
        <w:t xml:space="preserve"> came from </w:t>
      </w:r>
      <w:r>
        <w:rPr>
          <w:rFonts w:ascii="arial" w:eastAsia="arial" w:hAnsi="arial" w:cs="arial"/>
          <w:i/>
          <w:color w:val="000000"/>
          <w:sz w:val="20"/>
          <w:lang w:val="en-US" w:eastAsia="en-US" w:bidi="ar-SA"/>
        </w:rPr>
        <w:t>Fobel v. Dean</w:t>
      </w:r>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(1991), 83 D.L.R. (4th) 385</w:t>
        </w:r>
      </w:hyperlink>
      <w:r>
        <w:rPr>
          <w:rFonts w:ascii="arial" w:eastAsia="arial" w:hAnsi="arial" w:cs="arial"/>
          <w:color w:val="000000"/>
          <w:sz w:val="20"/>
          <w:lang w:val="en-US" w:eastAsia="en-US" w:bidi="ar-SA"/>
        </w:rPr>
        <w:t xml:space="preserve"> at 407, </w:t>
      </w:r>
      <w:hyperlink r:id="rId496" w:history="1">
        <w:r>
          <w:rPr>
            <w:rFonts w:ascii="arial" w:eastAsia="arial" w:hAnsi="arial" w:cs="arial"/>
            <w:i/>
            <w:color w:val="0077CC"/>
            <w:sz w:val="20"/>
            <w:u w:val="single"/>
            <w:shd w:val="clear" w:color="auto" w:fill="FFFFFF"/>
            <w:lang w:val="en-US" w:eastAsia="en-US" w:bidi="ar-SA"/>
          </w:rPr>
          <w:t>[1991] 6 W.W.R. 408</w:t>
        </w:r>
      </w:hyperlink>
      <w:r>
        <w:rPr>
          <w:rFonts w:ascii="arial" w:eastAsia="arial" w:hAnsi="arial" w:cs="arial"/>
          <w:color w:val="000000"/>
          <w:sz w:val="20"/>
          <w:lang w:val="en-US" w:eastAsia="en-US" w:bidi="ar-SA"/>
        </w:rPr>
        <w:t xml:space="preserve"> (Sask.C.A.), in which it was said that it is not necessary for a plaintiff to prove that someone will be employed to do the work in the future to be entitled to an award for loss of housekeeping capacity. As I understand the principle, it is the loss of a capacity - an asset - that is compensated. Accordingly, because the award reflects the loss of a personal capacity, it is not dependent upon whether replacement housekeeping costs are actually incurred. Damages for the cost of future care serve a different purpose from awards for loss of housekeeping capacity. Unlike loss of housekeeping capacity awards, damages for the cost of future care are directly related to the expenses that may reasonably be expected to be required (</w:t>
      </w:r>
      <w:r>
        <w:rPr>
          <w:rFonts w:ascii="arial" w:eastAsia="arial" w:hAnsi="arial" w:cs="arial"/>
          <w:i/>
          <w:color w:val="000000"/>
          <w:sz w:val="20"/>
          <w:lang w:val="en-US" w:eastAsia="en-US" w:bidi="ar-SA"/>
        </w:rPr>
        <w:t>Krangle</w:t>
      </w:r>
      <w:r>
        <w:rPr>
          <w:rFonts w:ascii="arial" w:eastAsia="arial" w:hAnsi="arial" w:cs="arial"/>
          <w:color w:val="000000"/>
          <w:sz w:val="20"/>
          <w:lang w:val="en-US" w:eastAsia="en-US" w:bidi="ar-SA"/>
        </w:rPr>
        <w:t xml:space="preserve"> at para. 22).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Court of Appeal in </w:t>
      </w:r>
      <w:r>
        <w:rPr>
          <w:rFonts w:ascii="arial" w:eastAsia="arial" w:hAnsi="arial" w:cs="arial"/>
          <w:i/>
          <w:color w:val="000000"/>
          <w:sz w:val="20"/>
          <w:lang w:val="en-US" w:eastAsia="en-US" w:bidi="ar-SA"/>
        </w:rPr>
        <w:t>Kim v. Lin</w:t>
      </w:r>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2018 BCCA 77</w:t>
        </w:r>
      </w:hyperlink>
      <w:r>
        <w:rPr>
          <w:rFonts w:ascii="arial" w:eastAsia="arial" w:hAnsi="arial" w:cs="arial"/>
          <w:color w:val="000000"/>
          <w:sz w:val="20"/>
          <w:lang w:val="en-US" w:eastAsia="en-US" w:bidi="ar-SA"/>
        </w:rPr>
        <w:t>, considered the proper approach to valuing loss of housekeeping capacity. The Court stated at para. 33 and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Therefore, where a plaintiff suffers an injury which would make a reasonable person in the plaintiff's circumstances unable to perform usual and necessary household work -- i.e., where the plaintiff has suffered a true loss of capacity -- that loss may be compensated by a pecuniary damages award. Where the plaintiff suffers a loss that is more in keeping with a loss of amenities, or increased pain and suffering, that loss may instead be compensated by a non-pecuniary damages award. However, I do not wish to create an inflexible rule for courts addressing these awards, and as this Court said in </w:t>
      </w:r>
      <w:r>
        <w:rPr>
          <w:rFonts w:ascii="arial" w:eastAsia="arial" w:hAnsi="arial" w:cs="arial"/>
          <w:i/>
          <w:color w:val="000000"/>
          <w:sz w:val="20"/>
          <w:lang w:val="en-US" w:eastAsia="en-US" w:bidi="ar-SA"/>
        </w:rPr>
        <w:t>Liu</w:t>
      </w:r>
      <w:r>
        <w:rPr>
          <w:rFonts w:ascii="arial" w:eastAsia="arial" w:hAnsi="arial" w:cs="arial"/>
          <w:color w:val="000000"/>
          <w:sz w:val="20"/>
          <w:lang w:val="en-US" w:eastAsia="en-US" w:bidi="ar-SA"/>
        </w:rPr>
        <w:t>, "it lies in the trial judge's discretion whether to address such a claim as part of the non-pecuniary loss or as a segregated pecuniary head of damage": at para. 26.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Whichever option a court chooses, when valuing these different types of awards, courts should pay heed to the differing rationales behind them. In particular, when valuing the pecuniary damages for the loss of capacity suffered by a plaintiff, courts may look to the cost of hiring replacement services, but they should ensure that any award for that loss, and any deduction to that award, is tied to the actual loss of capacity which justifies the award in the first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Court went on to consider the cautionary approach for awards under this head of damage suggested in </w:t>
      </w:r>
      <w:r>
        <w:rPr>
          <w:rFonts w:ascii="arial" w:eastAsia="arial" w:hAnsi="arial" w:cs="arial"/>
          <w:i/>
          <w:color w:val="000000"/>
          <w:sz w:val="20"/>
          <w:lang w:val="en-US" w:eastAsia="en-US" w:bidi="ar-SA"/>
        </w:rPr>
        <w:t>Kroeker v. Jansen</w:t>
      </w:r>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[1995] 6 W.W.R. 5</w:t>
        </w:r>
      </w:hyperlink>
      <w:r>
        <w:rPr>
          <w:rFonts w:ascii="arial" w:eastAsia="arial" w:hAnsi="arial" w:cs="arial"/>
          <w:color w:val="000000"/>
          <w:sz w:val="20"/>
          <w:lang w:val="en-US" w:eastAsia="en-US" w:bidi="ar-SA"/>
        </w:rPr>
        <w:t xml:space="preserve"> (B.C.C.A.), and concluded at para.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fact I see the above framework I described as entirely consistent with this Court's admonition above that "[i]t will be the duty of trial judges and this Court to restrain awards for this type of claim to an amount of compensation commensurate with the loss." So long as the award is justified on the basis of evidence of the plaintiff's incapacity it will be commensurate with the plaintiff's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Lin</w:t>
      </w:r>
      <w:r>
        <w:rPr>
          <w:rFonts w:ascii="arial" w:eastAsia="arial" w:hAnsi="arial" w:cs="arial"/>
          <w:color w:val="000000"/>
          <w:sz w:val="20"/>
          <w:lang w:val="en-US" w:eastAsia="en-US" w:bidi="ar-SA"/>
        </w:rPr>
        <w:t xml:space="preserve">, the Court of Appeal upheld a substantial award in the amount of $418,000 for loss of housekeeping capacity. I note at the trial level, </w:t>
      </w:r>
      <w:hyperlink r:id="rId499" w:history="1">
        <w:r>
          <w:rPr>
            <w:rFonts w:ascii="arial" w:eastAsia="arial" w:hAnsi="arial" w:cs="arial"/>
            <w:i/>
            <w:color w:val="0077CC"/>
            <w:sz w:val="20"/>
            <w:u w:val="single"/>
            <w:shd w:val="clear" w:color="auto" w:fill="FFFFFF"/>
            <w:lang w:val="en-US" w:eastAsia="en-US" w:bidi="ar-SA"/>
          </w:rPr>
          <w:t>2016 BCSC 2405</w:t>
        </w:r>
      </w:hyperlink>
      <w:r>
        <w:rPr>
          <w:rFonts w:ascii="arial" w:eastAsia="arial" w:hAnsi="arial" w:cs="arial"/>
          <w:color w:val="000000"/>
          <w:sz w:val="20"/>
          <w:lang w:val="en-US" w:eastAsia="en-US" w:bidi="ar-SA"/>
        </w:rPr>
        <w:t>, the court disallowed claims under cost of future care for household chores and yard work as they duplicated the claim for loss of housekeeping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of the Law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Ms. Kellett testified she has lost the ability to do numerous housekeeping tasks, and that her son and his family had to move in with her to take care of the house and garden.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damage award Ms. Kellett is seeking under this head is based on one hour per day of help at $22 per hour until the age of 75, or 19 years of housekeeping, or $7,832 per year. Ms. Kellett argues that given the fact she has back pain while performing many household tasks, no reduction should be made for the possibility of her pain improving.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As set out in the case law, loss of housekeeping or homemaking capacity is a loss of capacity claim and not a claim for future care. It is to reflect the diminished capacity of a plaintiff to take care of her household, not the cost of provision of services by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this case, Ms. Kellett is advancing claims under cost of future care for housekeeping and seasonal cleaning, indoor and outdoor maintenance, and gardening and lawn care. As well, she is advancing an "in trust" claim to compensate son and daughter-in-law for assisting her following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While it is apparent that Ms. Kellett has a diminished housekeeping capacity, the evidence is that she has residual housekeeping capacity. Ms. Kellett testified that she does her own laundry, shops and does some of the cooking. Ms. Kellett still bakes, albeit not the ornately decorated cakes she used to bake. As well, as noted earlier, there is potential for improvement in Ms. Kellett's functioning with surgery and additional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It is unlikely however that Ms. Kellett will be able to return to her pre-accident capacity. She will limited from doing heavier chores around the house, gardening and home maintenance even if she has surgery and other additional treatment due to the ongoing limitations from her back injury and the pain and disability in her hands. As well, it is unlikely Ms. Kellett will be able to do chores that require grip, grasp or pinch strength.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Having considered the evidence, it is apparent Ms. Kellett has suffered diminished capacity in her housekeeping capacity. Although she seeks one hour a day based on $22 per hour, as noted earlier Ms. Kellett has residual abilities to care for herself and her home. Based on evidence it is my view that an amount based on five hours a week of assistance at a rate of $15 per hour as endorsed in </w:t>
      </w:r>
      <w:r>
        <w:rPr>
          <w:rFonts w:ascii="arial" w:eastAsia="arial" w:hAnsi="arial" w:cs="arial"/>
          <w:i/>
          <w:color w:val="000000"/>
          <w:sz w:val="20"/>
          <w:lang w:val="en-US" w:eastAsia="en-US" w:bidi="ar-SA"/>
        </w:rPr>
        <w:t>Kim</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Campbell v. Banman</w:t>
      </w:r>
      <w:r>
        <w:rPr>
          <w:rFonts w:ascii="arial" w:eastAsia="arial" w:hAnsi="arial" w:cs="arial"/>
          <w:color w:val="000000"/>
          <w:sz w:val="20"/>
          <w:lang w:val="en-US" w:eastAsia="en-US" w:bidi="ar-SA"/>
        </w:rPr>
        <w:t xml:space="preserve">, </w:t>
      </w:r>
      <w:hyperlink r:id="rId500" w:history="1">
        <w:r>
          <w:rPr>
            <w:rFonts w:ascii="arial" w:eastAsia="arial" w:hAnsi="arial" w:cs="arial"/>
            <w:i/>
            <w:color w:val="0077CC"/>
            <w:sz w:val="20"/>
            <w:u w:val="single"/>
            <w:shd w:val="clear" w:color="auto" w:fill="FFFFFF"/>
            <w:lang w:val="en-US" w:eastAsia="en-US" w:bidi="ar-SA"/>
          </w:rPr>
          <w:t>2009 BCCA 484</w:t>
        </w:r>
      </w:hyperlink>
      <w:r>
        <w:rPr>
          <w:rFonts w:ascii="arial" w:eastAsia="arial" w:hAnsi="arial" w:cs="arial"/>
          <w:color w:val="000000"/>
          <w:sz w:val="20"/>
          <w:lang w:val="en-US" w:eastAsia="en-US" w:bidi="ar-SA"/>
        </w:rPr>
        <w:t>, or $3,900 per year is appropriate. Accordingly, I have concluded it is appropriate to make some award under this head of damages. In my view, an award of $15,600 is appropriate under this head to compensate Ms. Kellett for her past loss of capacity, and $45,500 for her future loss of housekeeping capacity to age 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Ms. Kellett is advancing a claim for cost of future care in the amount $282,000 for cost of future care. The loss of housekeeping capacity overlaps with the claim for the cost of future house keeping and seasonal cleaning, indoor and outdoor home maintenance and gardening and lawn care. Ms. Kellett is relying on a report authored by Jennifer Lane, an occupational therapist with an expertise in cost of future care assessments, and the report of Ms. Clarke for the present value of the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defendant submits that many of the items Ms. Kellett is claiming are neither medically justified nor reasonable. The defendants take the position that the appropriate award for cost of future care is $20,000, taking into account Ms. Kellett's failure to mitigate.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Applicable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Cost of future care is established if there is a medical justification for the claim, and the claim is reasonable: </w:t>
      </w:r>
      <w:r>
        <w:rPr>
          <w:rFonts w:ascii="arial" w:eastAsia="arial" w:hAnsi="arial" w:cs="arial"/>
          <w:i/>
          <w:color w:val="000000"/>
          <w:sz w:val="20"/>
          <w:lang w:val="en-US" w:eastAsia="en-US" w:bidi="ar-SA"/>
        </w:rPr>
        <w:t>Aberdeen v. Zanatta</w:t>
      </w:r>
      <w:r>
        <w:rPr>
          <w:rFonts w:ascii="arial" w:eastAsia="arial" w:hAnsi="arial" w:cs="arial"/>
          <w:color w:val="000000"/>
          <w:sz w:val="20"/>
          <w:lang w:val="en-US" w:eastAsia="en-US" w:bidi="ar-SA"/>
        </w:rPr>
        <w:t xml:space="preserve">, </w:t>
      </w:r>
      <w:hyperlink r:id="rId501"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xml:space="preserve"> at para.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O'Connell</w:t>
      </w:r>
      <w:r>
        <w:rPr>
          <w:rFonts w:ascii="arial" w:eastAsia="arial" w:hAnsi="arial" w:cs="arial"/>
          <w:color w:val="000000"/>
          <w:sz w:val="20"/>
          <w:lang w:val="en-US" w:eastAsia="en-US" w:bidi="ar-SA"/>
        </w:rPr>
        <w:t>, the Court of Appeal discussed 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[55] The law is settled as to the appropriate approach to be taken in assessing future care costs. In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502"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paras. 21-22, </w:t>
      </w:r>
      <w:hyperlink r:id="rId502" w:history="1">
        <w:r>
          <w:rPr>
            <w:rFonts w:ascii="arial" w:eastAsia="arial" w:hAnsi="arial" w:cs="arial"/>
            <w:i/>
            <w:color w:val="0077CC"/>
            <w:sz w:val="20"/>
            <w:u w:val="single"/>
            <w:shd w:val="clear" w:color="auto" w:fill="FFFFFF"/>
            <w:lang w:val="en-US" w:eastAsia="en-US" w:bidi="ar-SA"/>
          </w:rPr>
          <w:t>[2002] 1 S.C.R. 205</w:t>
        </w:r>
      </w:hyperlink>
      <w:r>
        <w:rPr>
          <w:rFonts w:ascii="arial" w:eastAsia="arial" w:hAnsi="arial" w:cs="arial"/>
          <w:color w:val="000000"/>
          <w:sz w:val="20"/>
          <w:lang w:val="en-US" w:eastAsia="en-US" w:bidi="ar-SA"/>
        </w:rPr>
        <w:t>, referred to by the trial judge, the Court articulated the test: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Damages for cost of future care are a matter of prediction. No one knows the future. Yet the rule that damages must be assessed once and for all at the time of trial (subject to modification on appeal) requires courts to peer into the future and fix the damages for future care as best they can. </w:t>
      </w:r>
      <w:r>
        <w:rPr>
          <w:rFonts w:ascii="arial" w:eastAsia="arial" w:hAnsi="arial" w:cs="arial"/>
          <w:color w:val="000000"/>
          <w:sz w:val="20"/>
          <w:u w:val="single"/>
          <w:lang w:val="en-US" w:eastAsia="en-US" w:bidi="ar-SA"/>
        </w:rPr>
        <w:t>In doing so, courts rely on the evidence as to what care is likely to be in the injured person's best interest</w:t>
      </w:r>
      <w:r>
        <w:rPr>
          <w:rFonts w:ascii="arial" w:eastAsia="arial" w:hAnsi="arial" w:cs="arial"/>
          <w:color w:val="000000"/>
          <w:sz w:val="20"/>
          <w:lang w:val="en-US" w:eastAsia="en-US" w:bidi="ar-SA"/>
        </w:rPr>
        <w:t>. Then they calculate the present cost of providing that care and may make an adjustment for the contingency that the future may differ from what the evidence at trial indicates.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w:t>
      </w:r>
      <w:r>
        <w:rPr>
          <w:rFonts w:ascii="arial" w:eastAsia="arial" w:hAnsi="arial" w:cs="arial"/>
          <w:color w:val="000000"/>
          <w:sz w:val="20"/>
          <w:u w:val="single"/>
          <w:lang w:val="en-US" w:eastAsia="en-US" w:bidi="ar-SA"/>
        </w:rPr>
        <w:t>The resulting award may be said to reflect the reasonable or normal expectations of what the injured person will require</w:t>
      </w:r>
      <w:r>
        <w:rPr>
          <w:rFonts w:ascii="arial" w:eastAsia="arial" w:hAnsi="arial" w:cs="arial"/>
          <w:color w:val="000000"/>
          <w:sz w:val="20"/>
          <w:lang w:val="en-US" w:eastAsia="en-US" w:bidi="ar-SA"/>
        </w:rPr>
        <w:t xml:space="preserve">. Jane Stapleton, "The Normal Expectancies Measure in Tort Damages" (1997), 113 </w:t>
      </w:r>
      <w:r>
        <w:rPr>
          <w:rFonts w:ascii="arial" w:eastAsia="arial" w:hAnsi="arial" w:cs="arial"/>
          <w:i/>
          <w:color w:val="000000"/>
          <w:sz w:val="20"/>
          <w:lang w:val="en-US" w:eastAsia="en-US" w:bidi="ar-SA"/>
        </w:rPr>
        <w:t>L.Q.R</w:t>
      </w:r>
      <w:r>
        <w:rPr>
          <w:rFonts w:ascii="arial" w:eastAsia="arial" w:hAnsi="arial" w:cs="arial"/>
          <w:color w:val="000000"/>
          <w:sz w:val="20"/>
          <w:lang w:val="en-US" w:eastAsia="en-US" w:bidi="ar-SA"/>
        </w:rPr>
        <w:t xml:space="preserve">. 257, thus suggests, at pp. 257-58, that the tort measure of compensatory damages may be described as the "'normal expectancies' measure", a term which "more clearly describes the aim of awards of compensatory damages in tort: namely, to re-position the plaintiff to the destination he would normally have reached ... had it not been for the tort". </w:t>
      </w:r>
      <w:r>
        <w:rPr>
          <w:rFonts w:ascii="arial" w:eastAsia="arial" w:hAnsi="arial" w:cs="arial"/>
          <w:color w:val="000000"/>
          <w:sz w:val="20"/>
          <w:u w:val="single"/>
          <w:lang w:val="en-US" w:eastAsia="en-US" w:bidi="ar-SA"/>
        </w:rPr>
        <w:t>The measure is objective, based on the evidence</w:t>
      </w:r>
      <w:r>
        <w:rPr>
          <w:rFonts w:ascii="arial" w:eastAsia="arial" w:hAnsi="arial" w:cs="arial"/>
          <w:color w:val="000000"/>
          <w:sz w:val="20"/>
          <w:lang w:val="en-US" w:eastAsia="en-US" w:bidi="ar-SA"/>
        </w:rPr>
        <w:t xml:space="preserve">. This method produces a result fair to both the claimant and the defendant. The claimant receives damages for future losses, as best they can be ascertained. The defendant is required to compensate for those losses. To award less than what may </w:t>
      </w:r>
      <w:r>
        <w:rPr>
          <w:rFonts w:ascii="arial" w:eastAsia="arial" w:hAnsi="arial" w:cs="arial"/>
          <w:color w:val="000000"/>
          <w:sz w:val="20"/>
          <w:u w:val="single"/>
          <w:lang w:val="en-US" w:eastAsia="en-US" w:bidi="ar-SA"/>
        </w:rPr>
        <w:t>reasonably be expected to be required</w:t>
      </w:r>
      <w:r>
        <w:rPr>
          <w:rFonts w:ascii="arial" w:eastAsia="arial" w:hAnsi="arial" w:cs="arial"/>
          <w:color w:val="000000"/>
          <w:sz w:val="20"/>
          <w:lang w:val="en-US" w:eastAsia="en-US" w:bidi="ar-SA"/>
        </w:rPr>
        <w:t xml:space="preserve"> is to give the plaintiff too little and unfairly advantage the defendant. To award more is to give the plaintiff a windfall and require the defendant to pay more than is fair.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Damages for loss of future care are directly related to expenses that it is reasonably expected will be required. Services that a plaintiff is unlikely to avail themselves of should not be awarded: </w:t>
      </w:r>
      <w:r>
        <w:rPr>
          <w:rFonts w:ascii="arial" w:eastAsia="arial" w:hAnsi="arial" w:cs="arial"/>
          <w:i/>
          <w:color w:val="000000"/>
          <w:sz w:val="20"/>
          <w:lang w:val="en-US" w:eastAsia="en-US" w:bidi="ar-SA"/>
        </w:rPr>
        <w:t>O'Connell</w:t>
      </w:r>
      <w:r>
        <w:rPr>
          <w:rFonts w:ascii="arial" w:eastAsia="arial" w:hAnsi="arial" w:cs="arial"/>
          <w:color w:val="000000"/>
          <w:sz w:val="20"/>
          <w:lang w:val="en-US" w:eastAsia="en-US" w:bidi="ar-SA"/>
        </w:rPr>
        <w:t>, at para. 68.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defendant concedes that the cost of future surgery and rehabilitation, including hand therapy and physiotherapy in the amount of $3,500 is appropriate, with an additional amount of $2000 for future intermittent sessions of physiotherapy. Ms. Kellett is claiming $21,225 for medications, physiotherapy and hand therapy for life or until age approximately age 87. As well, she is claiming $1,359 for hand surgery and physiotherapy following hand surgery. The physiotherapy of $14,885 is for 12 sessions annually or $750 a year based on Dr. Badii's recommendation. As well, Dr. Badii recommends the use of Voltaren for her hand pain. That has been costed at $5,876 for indefinite use of Voltaren. However, the evidence is that surgery could alleviate some of that need. Having considered the evidence, it is my view that an award in the amount of $15,000 is appropriate for future surgery, medications, physiotherapy and hand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Ms. Kellett is also claiming $549 for a hand splint. However, Ms. Kellett's evidence is that she has used one for a month and stopped using it because it did not assist but instead caused more pain. Accordingly, I make no award for this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Ms. Kellett is claiming $2,421 for the cost of future psychological counselling and mindfulness based therapy based on the recommendations of Dr. Estrin. The defendant submits that an award in the amount of $2000 is appropriate for psychological treatment. While the defendant appears to take issue with the mindfulness based therapy, both psychological counselling and mindfulness based therapy have been recommended by Dr. Estrin to assist Ms. Kellett in dealing with the chronic pain and limitations she has experienced as a result of the accident. According, I am of view that an award in the amount of $2,421 is appropriate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Ms. Kellett is claiming the amount of $47,480 for yoga, a gym pass and kinesiology sessions. The defendant submits the appropriate award for yoga, gym and kinesiology is $4000. The amount of $16,844 for kinesiology is based on 12 sessions annually ($860 per year) for life. However, the recommendation is that Ms. Kellett have supervised exercise once every six months after the first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Ms. Kellett's evidence is that she has never tried yoga despite it being recommended to her. As well, apart from when she was attending active rehabilitation, Ms. Kellett has not attended the gym and has not looked into going to the gym. At trial, she testified she was interested in both doing yoga and going to the gym, and it has been recommended that she participate in an ongoing exercise program for her back. However, given the evidence about her participation in exercise to date, I find it unlikely Ms. Kellett will participate in yoga and go to the gym until age 87. Having considered the evidence and the contingencies, it is my opinion that an award of $10,000 is appropriate for yoga, gym pass and kinesiology.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Ms. Kellett is claiming the amount of $609.35 for various equipment, some of which she already has, such as an ergonomic keyboard. Her evidence is that she has many of the items on the list. Ms. Kellett testified she had an ergonomic keyboard at work, and does not need one at home. Based on the limited evidence about what equipment she already owns, and the lack of medical recommendations for those items, I am of the view that $150 is appropriate for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Ms. Kellett is claiming the amount of $38,622 for housekeeping services, and the amount of $7,192 for seasonal cleaning. She is also claiming $8,422 for indoor and outdoor home maintenance and $13,486 for gardening and lawn care. The total amount she is claiming for housekeeping, maintenance and gardening and lawn care is $60,530 to age 80. The defendant submits the appropriate awards are $6,000 for housekeeping and maintenance, $1,000 for yard/garden maintenance and $2,000 for home maintenance.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Ms. Kellett's claim is based on the recommendations by Ms. Chauhan that if Ms. Kellett was to live on her own she would need assistance with those items. Ms. Kellett indicated that she would like to live on her own, but there are no plans for Mr. Mason and his family to move out. The evidence is that Ms. Kellett's residence has been renovated to accommodate Mr. Mason's family. As well, Ms. Kellett's evidence is that she may move house when she retires. As noted earlier, there must be regard for the real and substantial possibility that the expense may be incurred and an allowance for the contingency that the cost may not be incurred. In my view, there has been no real and substantial possibility that the costs associated with the yard care and gardening will be incurred past the age of 70 even if Ms. Kellett's family moves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As well, there is duplication between the claim for loss of housekeeping capacity and the cost of future care being claimed for housekeeping and seasonal cleaning. Having considered the possibility that the expenses may not be incurred and the duplication in the claims, it is my view that the amount submitted by the defendant of $9,000 is appropriate for cost of future care associated with the house and 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defendant takes the position that Ms. Kellett has failed to mitigate her damages by following the recommended treatment, and in particular the recommendation that she have injections into her CMC joints and her back, and have hand surgery. The defendant takes the position that damages should be awarded in the amount he suggests because of Ms. Kellett's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Ms. Kellett submits that she has followed recommendations except for the injections. Surgery has only recently been suggested and she is considering it. Ms. Kellett submits that the defendant has not established that she will not have significant disability even if she has surgery on her hands.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Parameters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There is no question that every plaintiff has an obligation to take reasonable steps to reduce the damages flowing from a tort. In order to be successful in discharging the burden of proving that Ms. Kellett has failed to mitigate, the defendant must establish that Ms. Kellett failed to undertake a recommended treatment, that by following the recommended treatment Ms. Kellett would have overcome the problem, and that the refusal to take the treatment was unreasonable: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503"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at para. 57; </w:t>
      </w:r>
      <w:r>
        <w:rPr>
          <w:rFonts w:ascii="arial" w:eastAsia="arial" w:hAnsi="arial" w:cs="arial"/>
          <w:i/>
          <w:color w:val="000000"/>
          <w:sz w:val="20"/>
          <w:lang w:val="en-US" w:eastAsia="en-US" w:bidi="ar-SA"/>
        </w:rPr>
        <w:t>Wahl v. Sidhu</w:t>
      </w:r>
      <w:r>
        <w:rPr>
          <w:rFonts w:ascii="arial" w:eastAsia="arial" w:hAnsi="arial" w:cs="arial"/>
          <w:color w:val="000000"/>
          <w:sz w:val="20"/>
          <w:lang w:val="en-US" w:eastAsia="en-US" w:bidi="ar-SA"/>
        </w:rPr>
        <w:t xml:space="preserve">, </w:t>
      </w:r>
      <w:hyperlink r:id="rId504" w:history="1">
        <w:r>
          <w:rPr>
            <w:rFonts w:ascii="arial" w:eastAsia="arial" w:hAnsi="arial" w:cs="arial"/>
            <w:i/>
            <w:color w:val="0077CC"/>
            <w:sz w:val="20"/>
            <w:u w:val="single"/>
            <w:shd w:val="clear" w:color="auto" w:fill="FFFFFF"/>
            <w:lang w:val="en-US" w:eastAsia="en-US" w:bidi="ar-SA"/>
          </w:rPr>
          <w:t>2012 BCCA 111</w:t>
        </w:r>
      </w:hyperlink>
      <w:r>
        <w:rPr>
          <w:rFonts w:ascii="arial" w:eastAsia="arial" w:hAnsi="arial" w:cs="arial"/>
          <w:color w:val="000000"/>
          <w:sz w:val="20"/>
          <w:lang w:val="en-US" w:eastAsia="en-US" w:bidi="ar-SA"/>
        </w:rPr>
        <w:t>, at para. 32.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The mitigation test is a subjective/objective test. In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para. 53, the Court reiterated the following test from Chiu:</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503"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at para. 57, this Court set out the test for failure to mitigate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The onus is on the defendant to prove that the plaintiff could have avoided all or a portion of his loss. In a personal injury case in which the plaintiff has not pursued a course of medical treatment recommended to him by doctors, the defendant must prove two things: (1) that the plaintiff acted unreasonably in eschewing the recommended treatment, and (2) the extent, if any, to which the plaintiff's damages would have been reduced had he acted reasonably. These principles are found in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505"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of the Law to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agree with the defendant that Ms. Kellett did not follow the recommendation to have injections into her CMC joints and back. However, as noted earlier, Dr. Badii's evidence is that injections into the CMC joints are not generally recommended. Injections into the facet joints of the back may give some temporary relief to her back pain, but need to be repeated.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As well, as set out earlier, there is no evidence that Ms. Kellett will have a complete resolution of her hand issue if she undergoes the recommended surgery. The evidence of the defendant's expert, Dr. Vaisler, is that while she will likely have an improvement in her pain but not a complete resolution, she will be left with a 15% to 20% permanent loss of grip, grasp and pinch strength in her hands. In other words, even if the surgery, with the attendant time off work, rehabilitation and pain, is successful, Ms. Kellett will continue to experience pain and disability in her hands. As well, as noted earlier, the defendant's expert, Dr. Vaisler's opinion is that Ms. Kellett will continue to experience intermittent, annoying and possibly limiting low back pain with heavy lifting, heavy labour or sustained and repetitive bending on a permanent nature as a result of the 2014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While Ms. Kellett will likely have some improvement with the recommended treatment, the evidence does not support the conclusion that Ms. Kellett will have received substantial benefit which would have reduced her damages had she had injections into her hands and back. The evidence is that regardless of surgery or injections, Ms. Kellett will be left with a permanent partial disability to her hands which impact her grip, and a permanent partial disability to her back which will impact her ability to stand or sit for lengths of time, and limit her from returning to her pre-accident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the circumstances, I have concluded that the defendant has not established that the awards for non-pecuniary damages or future loss of income earning capacity or future care should be reduced on the basis that Ms. Kellett failed to mitigate her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parties have agreed to an amount of $2,000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Ms. Kellett has conceded that any in-trust claim for the services her son provided is a duplication of the loss of housekeeping capacity claim and if an award is made under that head, no award should be made for the in trust claim. Accordingly, I am not awarding any amount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summary, I am awarding the following amounts:</w:t>
      </w:r>
      <w:r>
        <w:rPr>
          <w:rFonts w:ascii="arial" w:eastAsia="arial" w:hAnsi="arial" w:cs="arial"/>
          <w:sz w:val="20"/>
          <w:lang w:val="en-US" w:eastAsia="en-US" w:bidi="ar-SA"/>
        </w:rPr>
        <w:cr/>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$135,000</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housekeeping capacity: $61,100</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income loss: $43,000</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income earning capacity: $350,000</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$36,571</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$2,000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Total: $627,671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Ms. Kellett is entitled to pre-judgment interest on the special damages. Ms. Kellett is also entitled to her costs of this action at Scale B, subject to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L.B. GEROW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7" style="position:absolute;z-index:2518456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12" w:history="1">
        <w:r>
          <w:rPr>
            <w:rFonts w:ascii="arial" w:eastAsia="arial" w:hAnsi="arial" w:cs="arial"/>
            <w:b/>
            <w:bCs/>
            <w:i/>
            <w:color w:val="0077CC"/>
            <w:kern w:val="32"/>
            <w:sz w:val="28"/>
            <w:szCs w:val="32"/>
            <w:u w:val="single"/>
            <w:shd w:val="clear" w:color="auto" w:fill="FFFFFF"/>
            <w:lang w:val="en-US" w:eastAsia="en-US" w:bidi="ar-SA"/>
          </w:rPr>
          <w:t>Bajwa v. British Columbia Veterinary Medical Assn., [2012] B.C.J. No. 1211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T.C. Armstrong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18, 30, 31, June 10 and 24,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15,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S130062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1211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878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43 Admin. L.R. (5th) 278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CarswellBC 1762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Dr. Pavitar Singh Bajwa, Plaintiff, and British Columbia Veterinary Medical Association, Valerie Osborne, Maureen Baird, Lisa Fong, Dr. David Kirby, Dr. Patrick O'Grady, Dr. Wayne Hollingshead, Dr. Mark Lang, Dr. Diane McKelvey and Dr. J. Allen Forsyth,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8"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8" w:name="Keywords_33"/>
      <w:bookmarkEnd w:id="218"/>
      <w:r>
        <w:rPr>
          <w:rFonts w:ascii="arial" w:eastAsia="arial" w:hAnsi="arial" w:cs="arial"/>
          <w:b/>
          <w:color w:val="000000"/>
          <w:sz w:val="20"/>
          <w:lang w:val="en-US" w:eastAsia="en-US" w:bidi="ar-SA"/>
        </w:rPr>
        <w:t>Civil litigation — Civil procedure — Parties — Vexatious litigants — Disposition without trial — Dismissal of action — Frivolous, vexatious or abuse of process — Application by defendants to dismiss plaintiff's action for damages arising from disciplinary hearings and for order declaring him to be vexatious litigant allowed — Plaintiff, Indo-Canadian veterinarian, alleged errors due to institutional bias, discriminatory attitudes and maliciousness — Plaintiff had applied for judicial reviews, commenced other actions and was complainant before human rights tribunal — Plaintiff's action was attempt to circumvent previous court decisions — He was not permitted to start proceedings that collaterally attacked disciplinary decision — Proceeding was abuse of process — Plaintiff's conduct met criteria of vexatious litigant.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Self-governing professions — Governing body — Discipline of members — Liability of governing body — Liability — Discipline of members — Professions — Veterinarians — Application by defendants to dismiss plaintiff's action for damages arising from disciplinary hearings and for order declaring him to be vexatious litigant allowed — Plaintiff, Indo-Canadian veterinarian, alleged errors due to institutional bias, discriminatory attitudes and maliciousness — Plaintiff had applied for judicial reviews, commenced other actions and was complainant before human rights tribunal — Plaintiff's action was attempt to circumvent previous court decisions — He was not permitted to start proceedings that collaterally attacked disciplinary decision — Proceeding was abuse of process — Plaintiff's conduct met criteria of vexatious litigant.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9" w:name="Case Summary_30"/>
            <w:bookmarkEnd w:id="21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to dismiss the plaintiff's action for damages arising from disciplinary hearings against him and for an order declaring him to be a vexatious litigant. The plaintiff was an Indo-Canadian veterinarian. The professional association regulating veterinary practice in his province investigated complaints about his treatment of animals. The association constituted an inquiry committee to conduct a hearing into professional misconduct after he repeatedly failed to provide requested information. The inquiry committee prepared a report indicating that it could not find him guilty due to insufficient evidence. The report was sent to the association council, which concluded that the committee erred in dismissing the charges and directed a new inquiry. The plaintiff's petition for judicial review of the council decision was dismissed. A second inquiry committee heard the previous and additional charges and reported to the council that the allegations were proven. The council accepted the findings and imposed penalties. The plaintiff's application for judicial review of the decisions of the second inquiry committee and the council was allowed, but the defendants successfully appealed. The plaintiff sued the association and individuals on a variety of grounds. The essence of his claim was that the defendants made errors in the disciplinary process due to institutional bias, discriminatory attitudes and maliciousness. The plaintiff had previously commenced three other actions and was subject to an order prohibiting him from recommencing them or commencing new similar actions. He was currently a complainant before a human rights tribunal in which issues of discriminatory disciplinary procedures were raised.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0" w:name="Holdings of Court_23"/>
            <w:bookmarkEnd w:id="220"/>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action was an attempt to circumvent the decisions of the courts that reviewed the association's disciplinary processes and decisions. He was not permitted to start proceedings that collaterally attacked the association's decision because a statutory right of appeal was provided. The proceeding was therefore an abuse of process. The immunity provided by the Disciplinary Authority Protection Act to those exercising disciplinary powers in regulating a profession, combined with the court decision that it was reasonable to remit the charges to the second inquiry, defeated the plaintiff's claim. The facts pleaded by the plaintiff were insufficient to support a breach of the Civil Rights Protection Act. A tort of bad faith did not exist. The Human Rights Code provided a statutory scheme foreclosing the possibility of a common law remedy for discrimination. The plaintiff failed to plead all constituent elements of the tort of misfeasance in a public office. The claim of malicious prosecution failed, as the prosecution did not terminate in the plaintiff's favour and the defendant had reasonable and probable cause to commence it. The plaintiff could not invoke a right to natural justice or fairness as a cause of action. There was no cause of action with respect to abuse of process, given that the decision to remit the charges was reasonable. The action was an abuse of process insofar as it was in breach of the prohibition order. The plaintiff did not plead facts to support a claim that his Charter right to interprovincial mobility was violated. The plaintiff's conduct, viewed as part of the whole history, met the criteria of a vexatious litigant.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1" w:name="Legislation Cited_23"/>
      <w:bookmarkEnd w:id="22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9"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 R.S.C. 1985, App. II, No. 44, Schedule B, s. 6(2)(b)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Civil Rights Protection Act, </w:t>
      </w:r>
      <w:hyperlink r:id="rId513" w:history="1">
        <w:r>
          <w:rPr>
            <w:rFonts w:ascii="arial" w:eastAsia="arial" w:hAnsi="arial" w:cs="arial"/>
            <w:i/>
            <w:color w:val="0077CC"/>
            <w:sz w:val="20"/>
            <w:u w:val="single"/>
            <w:shd w:val="clear" w:color="auto" w:fill="FFFFFF"/>
            <w:lang w:val="en-US" w:eastAsia="en-US" w:bidi="ar-SA"/>
          </w:rPr>
          <w:t>RSBC 1996, CHAPTER 49, s. 1</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Criminal Code, R.S.C. 1985, c. C-46,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Disciplinary Authority Protection Act, </w:t>
      </w:r>
      <w:r>
        <w:rPr>
          <w:rFonts w:ascii="arial" w:eastAsia="arial" w:hAnsi="arial" w:cs="arial"/>
          <w:i/>
          <w:color w:val="000000"/>
          <w:sz w:val="20"/>
          <w:lang w:val="en-US" w:eastAsia="en-US" w:bidi="ar-SA"/>
        </w:rPr>
        <w:t>RSBC 1996, CHAPTER 98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Human Rights Code, </w:t>
      </w:r>
      <w:r>
        <w:rPr>
          <w:rFonts w:ascii="arial" w:eastAsia="arial" w:hAnsi="arial" w:cs="arial"/>
          <w:i/>
          <w:color w:val="000000"/>
          <w:sz w:val="20"/>
          <w:lang w:val="en-US" w:eastAsia="en-US" w:bidi="ar-SA"/>
        </w:rPr>
        <w:t>RSBC 1996, CHAPTER 210</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Judicial Review Procedure Act, </w:t>
      </w:r>
      <w:r>
        <w:rPr>
          <w:rFonts w:ascii="arial" w:eastAsia="arial" w:hAnsi="arial" w:cs="arial"/>
          <w:i/>
          <w:color w:val="000000"/>
          <w:sz w:val="20"/>
          <w:lang w:val="en-US" w:eastAsia="en-US" w:bidi="ar-SA"/>
        </w:rPr>
        <w:t>RSBC 1996, CHAPTER 241</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19(23)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Act, </w:t>
      </w:r>
      <w:hyperlink r:id="rId514" w:history="1">
        <w:r>
          <w:rPr>
            <w:rFonts w:ascii="arial" w:eastAsia="arial" w:hAnsi="arial" w:cs="arial"/>
            <w:i/>
            <w:color w:val="0077CC"/>
            <w:sz w:val="20"/>
            <w:u w:val="single"/>
            <w:shd w:val="clear" w:color="auto" w:fill="FFFFFF"/>
            <w:lang w:val="en-US" w:eastAsia="en-US" w:bidi="ar-SA"/>
          </w:rPr>
          <w:t>RSBC 1996, CHAPTER 443, s. 18</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9-5, Rule 9-5(1), Rule 9-5(1) (a), Rule 9-5(1)(b), Rule 9-5(1)(c), Rule 9-5(1)(d), Rule 9-6, Rule 9-6(4), Rule 9-6(5)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Veterinarians Act, </w:t>
      </w:r>
      <w:r>
        <w:rPr>
          <w:rFonts w:ascii="arial" w:eastAsia="arial" w:hAnsi="arial" w:cs="arial"/>
          <w:i/>
          <w:color w:val="000000"/>
          <w:sz w:val="20"/>
          <w:lang w:val="en-US" w:eastAsia="en-US" w:bidi="ar-SA"/>
        </w:rPr>
        <w:t>S.B.C. 2010, c. 15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Veterinarians Act, RSBC 1996, CHAPTER 476, s. 15, s. 19, s. 23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2" w:name="Counsel_34"/>
      <w:bookmarkEnd w:id="22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0" style="position:absolute;z-index:251796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G.A. Pyper.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R.W. Grant, S. Ramdin.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3" w:name="Judgment_34"/>
      <w:bookmarkEnd w:id="223"/>
      <w:r>
        <w:pict>
          <v:line id="_x0000_s1191" style="position:absolute;z-index:2518466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4" w:name="T.C. ARMSTRONG J."/>
            <w:bookmarkEnd w:id="224"/>
            <w:r>
              <w:rPr>
                <w:rFonts w:ascii="arial" w:eastAsia="arial" w:hAnsi="arial" w:cs="arial"/>
                <w:b/>
                <w:color w:val="000000"/>
                <w:sz w:val="30"/>
                <w:lang w:val="en-US" w:eastAsia="en-US" w:bidi="ar-SA"/>
              </w:rPr>
              <w:t>T.C. ARMSTRONG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is a veterinarian and a member of the College of Veterinarians of British Columbia. In these reasons I will refer to the College by their former name, the British Columbia Veterinary Medical Association (the "BCVMA"). The plaintiff has sued the BCVMA, Valerie Osborne, Dr. David Kirby, Dr. Patrick O'Grady, Dr. Wayne Hollingshead, Dr. Mark Lang, Dr. Diane McKelvey, and Dr. J. Allan Forsyth (the "individual defendants") for general and special damages for financial hardship, loss of income, emotional damage, psychological damage, and punitive damages arising from disciplinary proceedings initiated and continued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defendants apply to dismiss Dr. Bajwa's action pursuant to Rule 9-5(1)(a), (b) and (d) or Rule 9-6(4) and (5)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The individual defendants also seek an order prohibiting Dr. Bajwa from bringing any further actions against them without leave of the court, pursuant to s.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443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original notice of civil claim was filed September 9, 2010 and amended on November 9, 2010. In the midst of this application on March 31, 2011, the plaintiff obtained an order permitting a further amendment to 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claims in this proceeding have been dismissed against Maureen Baird, former solicitor for the BCVMA and discontinued by consent against Lisa Fong, the plaintiff's previous solicitor. Originally Dr. Bajwa claimed 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their actions in the conduct of disciplinary proceedings taken against him and his subsequent judicial review application. Although the claims against those two defendants were terminated, the March 31, 2011 further amended notice of civil claim (the "notice of civil claim") retained the allegations against Ms. Baird and Ms. Fong.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BCVMA and the individual defendants (collectively, the "defendants") apply under Rules 9-5 and 9-6. They also ask for an order declaring the plaintiff a vexatious litigant and that he be precluded from commencing any further actions against the defendants without leave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Rule 9-5 states, in part, as follows:</w:t>
      </w:r>
      <w:r>
        <w:rPr>
          <w:rFonts w:ascii="arial" w:eastAsia="arial" w:hAnsi="arial" w:cs="arial"/>
          <w:sz w:val="20"/>
          <w:lang w:val="en-US" w:eastAsia="en-US" w:bidi="ar-SA"/>
        </w:rPr>
        <w:cr/>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relevant portions of Rule 9-6 are as follows: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an answering party may, after serving a responding pleading on a claiming party, apply under this rule for judgment dismissing all or part of a claim in the claiming party's originating pleading.</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hearing an application under subrule (2) or (4), the court,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there is no genuine issue for trial with respect to a claim or defence, must pronounce judgment or dismiss the claim accordingly,</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the amount to which the claiming party is entitled, may order a trial of that issue or pronounce judgment with a reference or an accounting to determine the amount,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a question of law, may determine the question and pronounce judgment accordingly, and</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may make any other order it considers will further the object of these Supreme Court 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defendants must meet a rigorous test to succeed under Rule 9-5(1)(a) or (b). I must accept the facts set out in the notice of civil claim as true and be able to conclude there is no reasonable claim disclosed in the plaintiff's pleadings. The test to be applied was set out in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the test in Canada governing the application of provisions like Rule 19(24)(a) of the British Columbia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is the same as the one that governs an application under R.S.C. O. 18, r. 19: assuming that the facts as stated in the statement of claim can be proved, is it "plain and obvious" that the plaintiff's statement of claim discloses no reasonable cause of action? As in England, if there is a chance that the plaintiff might succeed, then the plaintiff should not be "driven from the judgment seat". Neither the length and complexity of the issues, the novelty of the cause of action, nor the potential for the defendant to present a strong defence should prevent the plaintiff from proceeding with his or her case. Only if the action is certain to fail because it contains a radical defect ranking with the others listed in Rule 19(24) of the British Columbia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should the relevant portions of a plaintiff's statement of claim be struck out under Rule 19(24)(a).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Under Rule 9-5(1)(a), (b), (c), and (d), the test is the same; the applicant must show that it is "plain and obvious" that the pleading offends the subrule in question: </w:t>
      </w:r>
      <w:r>
        <w:rPr>
          <w:rFonts w:ascii="arial" w:eastAsia="arial" w:hAnsi="arial" w:cs="arial"/>
          <w:i/>
          <w:color w:val="000000"/>
          <w:sz w:val="20"/>
          <w:lang w:val="en-US" w:eastAsia="en-US" w:bidi="ar-SA"/>
        </w:rPr>
        <w:t>Camp Development Corporation v. Greater Vancouver (Transportation Authority),</w:t>
      </w:r>
      <w:r>
        <w:rPr>
          <w:rFonts w:ascii="arial" w:eastAsia="arial" w:hAnsi="arial" w:cs="arial"/>
          <w:color w:val="000000"/>
          <w:sz w:val="20"/>
          <w:lang w:val="en-US" w:eastAsia="en-US" w:bidi="ar-SA"/>
        </w:rPr>
        <w:t xml:space="preserve"> </w:t>
      </w:r>
      <w:hyperlink r:id="rId515" w:history="1">
        <w:r>
          <w:rPr>
            <w:rFonts w:ascii="arial" w:eastAsia="arial" w:hAnsi="arial" w:cs="arial"/>
            <w:i/>
            <w:color w:val="0077CC"/>
            <w:sz w:val="20"/>
            <w:u w:val="single"/>
            <w:shd w:val="clear" w:color="auto" w:fill="FFFFFF"/>
            <w:lang w:val="en-US" w:eastAsia="en-US" w:bidi="ar-SA"/>
          </w:rPr>
          <w:t>2009 BCSC 819</w:t>
        </w:r>
      </w:hyperlink>
      <w:r>
        <w:rPr>
          <w:rFonts w:ascii="arial" w:eastAsia="arial" w:hAnsi="arial" w:cs="arial"/>
          <w:color w:val="000000"/>
          <w:sz w:val="20"/>
          <w:lang w:val="en-US" w:eastAsia="en-US" w:bidi="ar-SA"/>
        </w:rPr>
        <w:t xml:space="preserve">, aff'd </w:t>
      </w:r>
      <w:hyperlink r:id="rId516" w:history="1">
        <w:r>
          <w:rPr>
            <w:rFonts w:ascii="arial" w:eastAsia="arial" w:hAnsi="arial" w:cs="arial"/>
            <w:i/>
            <w:color w:val="0077CC"/>
            <w:sz w:val="20"/>
            <w:u w:val="single"/>
            <w:shd w:val="clear" w:color="auto" w:fill="FFFFFF"/>
            <w:lang w:val="en-US" w:eastAsia="en-US" w:bidi="ar-SA"/>
          </w:rPr>
          <w:t>2010 BCCA 284</w:t>
        </w:r>
      </w:hyperlink>
      <w:r>
        <w:rPr>
          <w:rFonts w:ascii="arial" w:eastAsia="arial" w:hAnsi="arial" w:cs="arial"/>
          <w:color w:val="000000"/>
          <w:sz w:val="20"/>
          <w:lang w:val="en-US" w:eastAsia="en-US" w:bidi="ar-SA"/>
        </w:rPr>
        <w:t>, at para. 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test under Rule 9-6(4) and (5) allows for the dismissal of a claim when a claimant has failed to plead sufficient material facts to support every element of the cause of action. The test was outlined by the Court of Appeal in </w:t>
      </w:r>
      <w:r>
        <w:rPr>
          <w:rFonts w:ascii="arial" w:eastAsia="arial" w:hAnsi="arial" w:cs="arial"/>
          <w:i/>
          <w:color w:val="000000"/>
          <w:sz w:val="20"/>
          <w:lang w:val="en-US" w:eastAsia="en-US" w:bidi="ar-SA"/>
        </w:rPr>
        <w:t>Skybridge Investments Ltd. v. Metro Motors Ltd.</w:t>
      </w:r>
      <w:r>
        <w:rPr>
          <w:rFonts w:ascii="arial" w:eastAsia="arial" w:hAnsi="arial" w:cs="arial"/>
          <w:color w:val="000000"/>
          <w:sz w:val="20"/>
          <w:lang w:val="en-US" w:eastAsia="en-US" w:bidi="ar-SA"/>
        </w:rPr>
        <w:t xml:space="preserve">, </w:t>
      </w:r>
      <w:hyperlink r:id="rId517" w:history="1">
        <w:r>
          <w:rPr>
            <w:rFonts w:ascii="arial" w:eastAsia="arial" w:hAnsi="arial" w:cs="arial"/>
            <w:i/>
            <w:color w:val="0077CC"/>
            <w:sz w:val="20"/>
            <w:u w:val="single"/>
            <w:shd w:val="clear" w:color="auto" w:fill="FFFFFF"/>
            <w:lang w:val="en-US" w:eastAsia="en-US" w:bidi="ar-SA"/>
          </w:rPr>
          <w:t>2006 BCCA 500</w:t>
        </w:r>
      </w:hyperlink>
      <w:r>
        <w:rPr>
          <w:rFonts w:ascii="arial" w:eastAsia="arial" w:hAnsi="arial" w:cs="arial"/>
          <w:color w:val="000000"/>
          <w:sz w:val="20"/>
          <w:lang w:val="en-US" w:eastAsia="en-US" w:bidi="ar-SA"/>
        </w:rPr>
        <w:t>. The relevant principles, with citations omitted, are as follows:</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test that should be applied under Rule 18(6) (summary judgment for the defendant) is the same as the test that should be applied under Rule 18(1). The question is whether there is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 As has been said in a number of cases, that is equivalent to the question, under Rule 18(6), of whether the claim is bound to fail, or, under Rule 18(1), bound to succeed (para. 8).</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Neither a judge in chambers nor a master is to determine any issue of fact or law on an application for summary judgment; his or her function is limited to a determination as to whether a bona fide triable issue arises on the material before him in the context of the applicable law (para. 8).</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grant such an application, a court must be satisfied that it is "plain and obvious" or "beyond a doubt" the action will not succeed ... If a chambers judge must assess and weigh the evidence to arrive at a summary judgment, the "plain and obvious" or "beyond a doubt" test has not been met. If the judge hearing the application is left in doubt as to whether there is a triable issue, the application should be dismissed (para. 8).</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Rule 19(1) states: "A pleading ... must contain a statement in summary form of the material facts on which the party relies, but not the evidence by which the facts are to be proved." Rule 19(9.1) states: "Conclusions of law may be pleaded only if the material facts supporting them are pleaded." "Material fact" is defined as "one that is essential in order to formulate a complete cause of action. If a material fact is omitted, a cause of action is not effectively pleaded. ..." (para. 9).</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judge hearing an application pursuant to Rule 18(6) must: examine the pleaded facts to determine which causes of action they may support; identify the essential elements required to be proved at trial in order to succeed on each cause of action; and determine if sufficient material facts have been pleaded to support each element of a given cause of action (para. 10).</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 xml:space="preserve">If insufficient material facts have been pleaded to support every element of a cause of action, then beyond a doubt that cause of action is bound to fail and a defendant bringing an application pursuant to Rule 18(6) will have met the onus to negative the existence of a </w:t>
      </w:r>
      <w:r>
        <w:rPr>
          <w:rFonts w:ascii="arial" w:eastAsia="arial" w:hAnsi="arial" w:cs="arial"/>
          <w:i/>
          <w:color w:val="000000"/>
          <w:sz w:val="20"/>
          <w:u w:val="single"/>
          <w:lang w:val="en-US" w:eastAsia="en-US" w:bidi="ar-SA"/>
        </w:rPr>
        <w:t>bona fide</w:t>
      </w:r>
      <w:r>
        <w:rPr>
          <w:rFonts w:ascii="arial" w:eastAsia="arial" w:hAnsi="arial" w:cs="arial"/>
          <w:color w:val="000000"/>
          <w:sz w:val="20"/>
          <w:u w:val="single"/>
          <w:lang w:val="en-US" w:eastAsia="en-US" w:bidi="ar-SA"/>
        </w:rPr>
        <w:t xml:space="preserve"> triable issue</w:t>
      </w:r>
      <w:r>
        <w:rPr>
          <w:rFonts w:ascii="arial" w:eastAsia="arial" w:hAnsi="arial" w:cs="arial"/>
          <w:color w:val="000000"/>
          <w:sz w:val="20"/>
          <w:lang w:val="en-US" w:eastAsia="en-US" w:bidi="ar-SA"/>
        </w:rPr>
        <w:t xml:space="preserve">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general proposition applicable to Rule 9-5 applications is not an unqualified rule. In </w:t>
      </w:r>
      <w:r>
        <w:rPr>
          <w:rFonts w:ascii="arial" w:eastAsia="arial" w:hAnsi="arial" w:cs="arial"/>
          <w:i/>
          <w:color w:val="000000"/>
          <w:sz w:val="20"/>
          <w:lang w:val="en-US" w:eastAsia="en-US" w:bidi="ar-SA"/>
        </w:rPr>
        <w:t>Stephen v. HMTQ</w:t>
      </w:r>
      <w:r>
        <w:rPr>
          <w:rFonts w:ascii="arial" w:eastAsia="arial" w:hAnsi="arial" w:cs="arial"/>
          <w:color w:val="000000"/>
          <w:sz w:val="20"/>
          <w:lang w:val="en-US" w:eastAsia="en-US" w:bidi="ar-SA"/>
        </w:rPr>
        <w:t xml:space="preserve">, </w:t>
      </w:r>
      <w:hyperlink r:id="rId518" w:history="1">
        <w:r>
          <w:rPr>
            <w:rFonts w:ascii="arial" w:eastAsia="arial" w:hAnsi="arial" w:cs="arial"/>
            <w:i/>
            <w:color w:val="0077CC"/>
            <w:sz w:val="20"/>
            <w:u w:val="single"/>
            <w:shd w:val="clear" w:color="auto" w:fill="FFFFFF"/>
            <w:lang w:val="en-US" w:eastAsia="en-US" w:bidi="ar-SA"/>
          </w:rPr>
          <w:t>2008 BCSC 1656</w:t>
        </w:r>
      </w:hyperlink>
      <w:r>
        <w:rPr>
          <w:rFonts w:ascii="arial" w:eastAsia="arial" w:hAnsi="arial" w:cs="arial"/>
          <w:color w:val="000000"/>
          <w:sz w:val="20"/>
          <w:lang w:val="en-US" w:eastAsia="en-US" w:bidi="ar-SA"/>
        </w:rPr>
        <w:t>, Mr. Justice Joyce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[49] The principle that in an application under Rule 19(24)(a) the facts alleged in the statement of claim must be assumed to be true is not absolute and unqualified. In </w:t>
      </w:r>
      <w:r>
        <w:rPr>
          <w:rFonts w:ascii="arial" w:eastAsia="arial" w:hAnsi="arial" w:cs="arial"/>
          <w:i/>
          <w:color w:val="000000"/>
          <w:sz w:val="20"/>
          <w:lang w:val="en-US" w:eastAsia="en-US" w:bidi="ar-SA"/>
        </w:rPr>
        <w:t>Borzoni</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[2007] B.C.J. No. 105</w:t>
        </w:r>
      </w:hyperlink>
      <w:r>
        <w:rPr>
          <w:rFonts w:ascii="arial" w:eastAsia="arial" w:hAnsi="arial" w:cs="arial"/>
          <w:color w:val="000000"/>
          <w:sz w:val="20"/>
          <w:lang w:val="en-US" w:eastAsia="en-US" w:bidi="ar-SA"/>
        </w:rPr>
        <w:t xml:space="preserve">, the Court said at para. 30 that "it is not fundamentally wrong to look behind the allegations in some cases" and that in some cases it is necessary to subject the allegations in the pleadings to "sceptical analysis in order to determine their true character". Thus, in </w:t>
      </w:r>
      <w:r>
        <w:rPr>
          <w:rFonts w:ascii="arial" w:eastAsia="arial" w:hAnsi="arial" w:cs="arial"/>
          <w:i/>
          <w:color w:val="000000"/>
          <w:sz w:val="20"/>
          <w:lang w:val="en-US" w:eastAsia="en-US" w:bidi="ar-SA"/>
        </w:rPr>
        <w:t>Borzoni</w:t>
      </w:r>
      <w:r>
        <w:rPr>
          <w:rFonts w:ascii="arial" w:eastAsia="arial" w:hAnsi="arial" w:cs="arial"/>
          <w:color w:val="000000"/>
          <w:sz w:val="20"/>
          <w:lang w:val="en-US" w:eastAsia="en-US" w:bidi="ar-SA"/>
        </w:rPr>
        <w:t>, at paras. 31 - 32 Thackray J.A., giving the judgment of the court, concluded with respect to the pleadings: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Therefore, in my opinion, considering the circumstances, litigation history and allegations in the case at bar it is appropriate to subject them to a sceptical analysis. Paragraphs 40, 41, 45, 46 and 47 of the statement of claim allege, against </w:t>
      </w:r>
      <w:r>
        <w:rPr>
          <w:rFonts w:ascii="arial" w:eastAsia="arial" w:hAnsi="arial" w:cs="arial"/>
          <w:color w:val="000000"/>
          <w:sz w:val="20"/>
          <w:u w:val="single"/>
          <w:lang w:val="en-US" w:eastAsia="en-US" w:bidi="ar-SA"/>
        </w:rPr>
        <w:t>all of the defendants</w:t>
      </w:r>
      <w:r>
        <w:rPr>
          <w:rFonts w:ascii="arial" w:eastAsia="arial" w:hAnsi="arial" w:cs="arial"/>
          <w:color w:val="000000"/>
          <w:sz w:val="20"/>
          <w:lang w:val="en-US" w:eastAsia="en-US" w:bidi="ar-SA"/>
        </w:rPr>
        <w:t>, intolerance, deceit, harassment, intimidation, writing malicious letters, falsifying documents and, in general, in disrupting the appellants' lives. They include an allegation that all of the defendants allowed, encouraged and influenced some of the Youngs' neighbours in "attempts to collide with the Plaintiffs' moving car, vandalism to the Plaintiff's property, uttering threats, trespassing, and watching of the Plaintiffs and their home." Paragraph 63 alleges that the "corporate" defendants, "under advice of Defendant Mr. Borzoni, fabricated and falsified documents destined" for the Tribunal and the Supreme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Most of these wide and sweeping allegations would not, even if true, ground an action for intentional infliction of nervous shock or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way of a breach of duty. However, particularly in that they are directed at all defendants, which includes a police department, a Regional District, corporations and individuals, the allegations can only be viewed as wild speculation. As said by Mr. Justice McKenzie, they are "only language, not reality." More substantively it can be said, paraphrasing from </w:t>
      </w:r>
      <w:r>
        <w:rPr>
          <w:rFonts w:ascii="arial" w:eastAsia="arial" w:hAnsi="arial" w:cs="arial"/>
          <w:i/>
          <w:color w:val="000000"/>
          <w:sz w:val="20"/>
          <w:lang w:val="en-US" w:eastAsia="en-US" w:bidi="ar-SA"/>
        </w:rPr>
        <w:t>Operation Dismantle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The Queen</w:t>
      </w:r>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[1985] 1 S.C.R. 441</w:t>
        </w:r>
      </w:hyperlink>
      <w:r>
        <w:rPr>
          <w:rFonts w:ascii="arial" w:eastAsia="arial" w:hAnsi="arial" w:cs="arial"/>
          <w:color w:val="000000"/>
          <w:sz w:val="20"/>
          <w:lang w:val="en-US" w:eastAsia="en-US" w:bidi="ar-SA"/>
        </w:rPr>
        <w:t>], that they are but speculation and it is not required that they be taken as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will examine the defendant's application in light of the pleadings and with a view to the litigation history and the background to some of the allegations made by Dr. Bajwa. In this case it is important to apply a "sceptical analysis in order to determine the true character" of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BCVMA is the governing professional association regulating the practice of veterinarian medicine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Dr. Bajwa is an Indo-Canadian veterinarian who has practised veterinary medicine in Surrey. He and other South Asian veterinarians have been engaged in a protracted dispute with the BCVMA over disciplinary procedures and penalties directed at them by the BCVMA and their staff. Dr. Bajwa and others have commenced several actions against the BCVMA and have made complaints to the Human Rights Tribunal about discriminatory disciplinary and licensing procedures directed at them because of their race, colour, ancestry, place of origin and political beliefs as Indo-Canadian foreign-trained veterinarians.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Dr. Bajwa was disciplined because he committed acts of unprofessional misconduct. The uncontroverted facts are that the BCVMA received complaints from members of the public concerning Dr. Bajwa's treatment of two animals. The BCVMA investigated these complaints and requested that Dr. Bajwa provide relevant medical records and copies of invoices. Apparently he sent medical records that were illegible and he failed to forward the requested invoices.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January 28, 2004, the BCVMA asked for a transcript of the medical records and invoices that had not been provided and answers to 12 questions. On February 13, 2004, the BCVMA sent a letter to Dr. Bajwa asking three additional questions. Dr. Bajwa did not reply to this request and the BCVMA repeated the request in letters dated March 9, 2004 and March 30, 2004. The last letter notified Dr. Bajwa that if the records were not received by April 8, 2004, the author would assume that he was refusing to cooperate, contrary to s. 14 of the BCVMA Code of Ethics.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On August 23, 2004, the BCVMA complaints officer sent a further letter requesting answers to four further questions. Dr. Bajwa answered three questions but declined to answer the fourth. On October 26, 2004, Dr. Bajwa was issued a form of charge and the association constituted an inquiry committee under s. 15 of </w:t>
      </w:r>
      <w:r>
        <w:rPr>
          <w:rFonts w:ascii="arial" w:eastAsia="arial" w:hAnsi="arial" w:cs="arial"/>
          <w:i/>
          <w:color w:val="000000"/>
          <w:sz w:val="20"/>
          <w:lang w:val="en-US" w:eastAsia="en-US" w:bidi="ar-SA"/>
        </w:rPr>
        <w:t>Veterinarians Act,</w:t>
      </w:r>
      <w:r>
        <w:rPr>
          <w:rFonts w:ascii="arial" w:eastAsia="arial" w:hAnsi="arial" w:cs="arial"/>
          <w:color w:val="000000"/>
          <w:sz w:val="20"/>
          <w:lang w:val="en-US" w:eastAsia="en-US" w:bidi="ar-SA"/>
        </w:rPr>
        <w:t xml:space="preserve"> </w:t>
      </w:r>
      <w:hyperlink r:id="rId519" w:history="1">
        <w:r>
          <w:rPr>
            <w:rFonts w:ascii="arial" w:eastAsia="arial" w:hAnsi="arial" w:cs="arial"/>
            <w:i/>
            <w:color w:val="0077CC"/>
            <w:sz w:val="20"/>
            <w:u w:val="single"/>
            <w:shd w:val="clear" w:color="auto" w:fill="FFFFFF"/>
            <w:lang w:val="en-US" w:eastAsia="en-US" w:bidi="ar-SA"/>
          </w:rPr>
          <w:t>R.S.B.C. 1996, c. 476</w:t>
        </w:r>
      </w:hyperlink>
      <w:r>
        <w:rPr>
          <w:rFonts w:ascii="arial" w:eastAsia="arial" w:hAnsi="arial" w:cs="arial"/>
          <w:color w:val="000000"/>
          <w:sz w:val="20"/>
          <w:lang w:val="en-US" w:eastAsia="en-US" w:bidi="ar-SA"/>
        </w:rPr>
        <w:t xml:space="preserve">. (All subsequent references are to this repealed version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not the current version in force, namely the </w:t>
      </w:r>
      <w:r>
        <w:rPr>
          <w:rFonts w:ascii="arial" w:eastAsia="arial" w:hAnsi="arial" w:cs="arial"/>
          <w:i/>
          <w:color w:val="000000"/>
          <w:sz w:val="20"/>
          <w:lang w:val="en-US" w:eastAsia="en-US" w:bidi="ar-SA"/>
        </w:rPr>
        <w:t>Veterinarians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2010, c. 15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BCVMA inquiry committee conducted a three-day hearing at which Dr. Bajwa and the BCVMA were represented by counsel. The inquiry committee gave preliminary indications that it intended to dismiss the charges because they did not think there was enough evidence to prove either charge and that the evidence presented did not meet the standard to find the member guilty of the offences.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inquiry committee indicated it would hear argument before rendering its decision and Dr. Bajwa called no evidence in defence of the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committee prepared a report that it could not find Dr. Bajwa guilty of misconduct because the BCVMA had not met the burden of proof and the evidence was insufficient to find Dr. Bajwa guilty.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Bajwa pleads as follows:</w:t>
      </w:r>
      <w:r>
        <w:rPr>
          <w:rFonts w:ascii="arial" w:eastAsia="arial" w:hAnsi="arial" w:cs="arial"/>
          <w:sz w:val="20"/>
          <w:lang w:val="en-US" w:eastAsia="en-US" w:bidi="ar-SA"/>
        </w:rPr>
        <w:cr/>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Inquiry Committee after deliberations pronounced a decision and represented to the Plaintiff on February 7, 2007 that the First Inquiry Committee without dissent found that:</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charges pertaining to File 04 - 025 are dismissed as the charges have not been proven; and</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charges pertaining to File 04 - 049 are dismissed as the charges have not been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pleading, based on the undisputed facts on this application, is not entirely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report of the inquiry committee was sent to the BCVMA Council which was vested with the authority to determine whether or not a member is guilty of professional misconduct. One member of the inquiry committee dissented from the findings of the committee as a whole and his report was received by the Council after receiving the majority report. The Council concluded that the inquiry committee had erred in dismissing the charges and in dismissing the charges before Dr. Bajwa had an opportunity to present his defence. The Council directed a new inquiry committee be appointed and hear the complaints against Dr. Bajwa.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Dr. Bajwa petitioned the court to review the Council's decision under the </w:t>
      </w:r>
      <w:r>
        <w:rPr>
          <w:rFonts w:ascii="arial" w:eastAsia="arial" w:hAnsi="arial" w:cs="arial"/>
          <w:i/>
          <w:color w:val="000000"/>
          <w:sz w:val="20"/>
          <w:lang w:val="en-US" w:eastAsia="en-US" w:bidi="ar-SA"/>
        </w:rPr>
        <w:t>Judicial Review Procedure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241</w:t>
      </w:r>
      <w:r>
        <w:rPr>
          <w:rFonts w:ascii="arial" w:eastAsia="arial" w:hAnsi="arial" w:cs="arial"/>
          <w:color w:val="000000"/>
          <w:sz w:val="20"/>
          <w:lang w:val="en-US" w:eastAsia="en-US" w:bidi="ar-SA"/>
        </w:rPr>
        <w:t xml:space="preserve">. Mr. Justice Slade dismissed the petition on March 5, 2008, in </w:t>
      </w:r>
      <w:r>
        <w:rPr>
          <w:rFonts w:ascii="arial" w:eastAsia="arial" w:hAnsi="arial" w:cs="arial"/>
          <w:i/>
          <w:color w:val="000000"/>
          <w:sz w:val="20"/>
          <w:lang w:val="en-US" w:eastAsia="en-US" w:bidi="ar-SA"/>
        </w:rPr>
        <w:t>Bajwa v. British Columbia Veterinary Medical Association,</w:t>
      </w:r>
      <w:r>
        <w:rPr>
          <w:rFonts w:ascii="arial" w:eastAsia="arial" w:hAnsi="arial" w:cs="arial"/>
          <w:color w:val="000000"/>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2008 BCSC 748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A curious feature of this matter is that the Committee does not purport to dismiss the charges against Dr. Bajwa in its report. Though it made statements at the hearing alluding to dismissing the charges, in its report the Committee states only that the BCVMA failed to prove the charges against Dr. Bajwa and that there was insufficient evidence to find a guilty verdict. However, both parties presented their arguments to this Court on the basis that the Committee did dismiss the charges.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In my view, an inquiry committee does not have the power to summarily end a proceeding initiated by the Council. The Act shows, in my opinion, a clear distinction between the roles of the Council and inquiry committees appointed by it. Under s. 17(1)(b), an inquiry committee has the duty, and by implication the power, to "find whether the charge or complaint, if any, has been proven". Whereas the Act defines for inquiry committees an investigative role (hear, decide, find and report), the Act expressly empowers the Council to affect the legal rights of persons (</w:t>
      </w:r>
      <w:r>
        <w:rPr>
          <w:rFonts w:ascii="arial" w:eastAsia="arial" w:hAnsi="arial" w:cs="arial"/>
          <w:i/>
          <w:color w:val="000000"/>
          <w:sz w:val="20"/>
          <w:lang w:val="en-US" w:eastAsia="en-US" w:bidi="ar-SA"/>
        </w:rPr>
        <w:t>e.g.</w:t>
      </w:r>
      <w:r>
        <w:rPr>
          <w:rFonts w:ascii="arial" w:eastAsia="arial" w:hAnsi="arial" w:cs="arial"/>
          <w:color w:val="000000"/>
          <w:sz w:val="20"/>
          <w:lang w:val="en-US" w:eastAsia="en-US" w:bidi="ar-SA"/>
        </w:rPr>
        <w:t>, suspend from practice, restrict practice).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Accepting without deciding that an inquiry committee has the power to make </w:t>
      </w:r>
      <w:r>
        <w:rPr>
          <w:rFonts w:ascii="arial" w:eastAsia="arial" w:hAnsi="arial" w:cs="arial"/>
          <w:color w:val="000000"/>
          <w:sz w:val="20"/>
          <w:u w:val="single"/>
          <w:lang w:val="en-US" w:eastAsia="en-US" w:bidi="ar-SA"/>
        </w:rPr>
        <w:t>findings</w:t>
      </w:r>
      <w:r>
        <w:rPr>
          <w:rFonts w:ascii="arial" w:eastAsia="arial" w:hAnsi="arial" w:cs="arial"/>
          <w:color w:val="000000"/>
          <w:sz w:val="20"/>
          <w:lang w:val="en-US" w:eastAsia="en-US" w:bidi="ar-SA"/>
        </w:rPr>
        <w:t xml:space="preserve"> as to guilt and sufficiency of evidence, it cannot have the power to summarily dismiss a complaint proceeding initiated by the Council or the power to make determinations that are binding on the Council. An interpretation of the Act that finds in inquiry committees these powers would permit inquiry committees to usurp the Council's power to decide whether to impose discipline on a member. Such an interpretation is at odds with the scheme of the Act, which contemplates inquiry committees reporting to the Council (s. 17(1)(c)), the Council considering reports (s. 17(2)) and the Council deciding whether to impose disciplinary measures (ss. 17(2) and 17(3)). It is also, in my view, tantamount to finding a delegation of disciplinary authority, when such delegation is not clearly and expressly authorized by statute, as all such delegation must be: </w:t>
      </w:r>
      <w:r>
        <w:rPr>
          <w:rFonts w:ascii="arial" w:eastAsia="arial" w:hAnsi="arial" w:cs="arial"/>
          <w:i/>
          <w:color w:val="000000"/>
          <w:sz w:val="20"/>
          <w:lang w:val="en-US" w:eastAsia="en-US" w:bidi="ar-SA"/>
        </w:rPr>
        <w:t>Moreau-Bérubé v. New Brunswick (Judicial Council)</w:t>
      </w:r>
      <w:r>
        <w:rPr>
          <w:rFonts w:ascii="arial" w:eastAsia="arial" w:hAnsi="arial" w:cs="arial"/>
          <w:color w:val="000000"/>
          <w:sz w:val="20"/>
          <w:lang w:val="en-US" w:eastAsia="en-US" w:bidi="ar-SA"/>
        </w:rPr>
        <w:t xml:space="preserve">, </w:t>
      </w:r>
      <w:hyperlink r:id="rId521" w:history="1">
        <w:r>
          <w:rPr>
            <w:rFonts w:ascii="arial" w:eastAsia="arial" w:hAnsi="arial" w:cs="arial"/>
            <w:i/>
            <w:color w:val="0077CC"/>
            <w:sz w:val="20"/>
            <w:u w:val="single"/>
            <w:shd w:val="clear" w:color="auto" w:fill="FFFFFF"/>
            <w:lang w:val="en-US" w:eastAsia="en-US" w:bidi="ar-SA"/>
          </w:rPr>
          <w:t>2002 SCC 11</w:t>
        </w:r>
      </w:hyperlink>
      <w:r>
        <w:rPr>
          <w:rFonts w:ascii="arial" w:eastAsia="arial" w:hAnsi="arial" w:cs="arial"/>
          <w:color w:val="000000"/>
          <w:sz w:val="20"/>
          <w:lang w:val="en-US" w:eastAsia="en-US" w:bidi="ar-SA"/>
        </w:rPr>
        <w:t xml:space="preserve">, </w:t>
      </w:r>
      <w:hyperlink r:id="rId521" w:history="1">
        <w:r>
          <w:rPr>
            <w:rFonts w:ascii="arial" w:eastAsia="arial" w:hAnsi="arial" w:cs="arial"/>
            <w:i/>
            <w:color w:val="0077CC"/>
            <w:sz w:val="20"/>
            <w:u w:val="single"/>
            <w:shd w:val="clear" w:color="auto" w:fill="FFFFFF"/>
            <w:lang w:val="en-US" w:eastAsia="en-US" w:bidi="ar-SA"/>
          </w:rPr>
          <w:t>[2002] 1 S.C.R. 249</w:t>
        </w:r>
      </w:hyperlink>
      <w:r>
        <w:rPr>
          <w:rFonts w:ascii="arial" w:eastAsia="arial" w:hAnsi="arial" w:cs="arial"/>
          <w:color w:val="000000"/>
          <w:sz w:val="20"/>
          <w:lang w:val="en-US" w:eastAsia="en-US" w:bidi="ar-SA"/>
        </w:rPr>
        <w:t xml:space="preserve"> at para. 65.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 My opinion that the Committee did not have the jurisdiction to make findings binding on the Council or summarily end the proceedings against Dr. Bajwa means that the Committee could not have rendered a final decision in the proceedings against Dr. Bajwa, and </w:t>
      </w:r>
      <w:r>
        <w:rPr>
          <w:rFonts w:ascii="arial" w:eastAsia="arial" w:hAnsi="arial" w:cs="arial"/>
          <w:color w:val="000000"/>
          <w:sz w:val="20"/>
          <w:u w:val="single"/>
          <w:lang w:val="en-US" w:eastAsia="en-US" w:bidi="ar-SA"/>
        </w:rPr>
        <w:t>therefore the Council's order for a new hearing is the result of an interlocutory decision</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Accordingly, the petitioner's application is premature unless there are exceptional circumstances that justify the Court's intervention in the administrative proceedings</w:t>
      </w:r>
      <w:r>
        <w:rPr>
          <w:rFonts w:ascii="arial" w:eastAsia="arial" w:hAnsi="arial" w:cs="arial"/>
          <w:color w:val="000000"/>
          <w:sz w:val="20"/>
          <w:lang w:val="en-US" w:eastAsia="en-US" w:bidi="ar-SA"/>
        </w:rPr>
        <w:t>. Because the Petition alleges that the Council's decision amounts to a jurisdictional error, I will consider the application of the jurisdictional question exception to the general rule against judicial review of interlocutory decisions.</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his conclusion Slade J.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[75] Taking into account the factors reviewed above it is my opinion that the appropriate standard of review is reasonableness.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[76] The Council ordered a new hearing because it concluded that the Committee made a significant legal error by dismissing the charges against Dr. Bajwa and also a significant procedural error by dismissing the charges against Dr. Bajwa before he had an opportunity to present a defence. The petitioner says that the Committee did not err on either of these points.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[77] Above I concluded that the Committee exceeded its jurisdiction in purporting to dismiss the proceedings against Dr. Bajwa. It follows that </w:t>
      </w:r>
      <w:r>
        <w:rPr>
          <w:rFonts w:ascii="arial" w:eastAsia="arial" w:hAnsi="arial" w:cs="arial"/>
          <w:color w:val="000000"/>
          <w:sz w:val="20"/>
          <w:u w:val="single"/>
          <w:lang w:val="en-US" w:eastAsia="en-US" w:bidi="ar-SA"/>
        </w:rPr>
        <w:t>the Council's decision to order a new hearing and the opinion on which that decision was premised (</w:t>
      </w:r>
      <w:r>
        <w:rPr>
          <w:rFonts w:ascii="arial" w:eastAsia="arial" w:hAnsi="arial" w:cs="arial"/>
          <w:i/>
          <w:color w:val="000000"/>
          <w:sz w:val="20"/>
          <w:u w:val="single"/>
          <w:lang w:val="en-US" w:eastAsia="en-US" w:bidi="ar-SA"/>
        </w:rPr>
        <w:t>i.e.</w:t>
      </w:r>
      <w:r>
        <w:rPr>
          <w:rFonts w:ascii="arial" w:eastAsia="arial" w:hAnsi="arial" w:cs="arial"/>
          <w:color w:val="000000"/>
          <w:sz w:val="20"/>
          <w:u w:val="single"/>
          <w:lang w:val="en-US" w:eastAsia="en-US" w:bidi="ar-SA"/>
        </w:rPr>
        <w:t>, that the Committee committed a significant legal error by dismissing the charges against Dr. Bajwa) were reasonable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[78] On the second point, </w:t>
      </w:r>
      <w:r>
        <w:rPr>
          <w:rFonts w:ascii="arial" w:eastAsia="arial" w:hAnsi="arial" w:cs="arial"/>
          <w:color w:val="000000"/>
          <w:sz w:val="20"/>
          <w:u w:val="single"/>
          <w:lang w:val="en-US" w:eastAsia="en-US" w:bidi="ar-SA"/>
        </w:rPr>
        <w:t>I find that it was reasonable for the Council to conclude that the Committee committed a significant procedural error when it ended the hearing before Dr. Bajwa had the opportunity to present a defence</w:t>
      </w:r>
      <w:r>
        <w:rPr>
          <w:rFonts w:ascii="arial" w:eastAsia="arial" w:hAnsi="arial" w:cs="arial"/>
          <w:color w:val="000000"/>
          <w:sz w:val="20"/>
          <w:lang w:val="en-US" w:eastAsia="en-US" w:bidi="ar-SA"/>
        </w:rPr>
        <w:t>. Though the Committee did not deny Dr. Bajwa the opportunity to present a defence, it led him to believe he did not need to present a defence because a final decision would be rendered in his favour. This was a misdirection, since the Committee did not have the authority to render a final decision and could not control the Council's power of decision. It was reasonable for the Council to conclude that the Committee had committed a significant procedural error by misleading Dr. Bajwa in a way that could have caused him to compromise his right to be heard before the Committee. It was also reasonable for the Council to direct a new hearing, since it would redress the defect introduced by the Committee's error and correct any misunderstanding of the Committee's powers.</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Following the decision dismissing Dr. Bajwa's judicial review application, a second inquiry committee was struck to hear the two previous charges and additional charges relating to preparation of proper records and his failure to respond to the complaint officer. At the second hearing Dr. Bajwa's counsel attempted unsuccessfully to raise the issue of institutional discrimination bias before the second inquiry committee. He argued that Dr. Gerard, one member of the inquiry committee, should recuse himself because he was appointed to the group of potential committee members after the resolution was passed striking the second inquiry in respect to the 2004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inquiry committee concluded that it had no jurisdiction to decide an issue of institutional bias and that Dr. Gerard was not required to recuse himself from the Committee. They reported to the Council that the allegations had been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Council accepted the findings of the committee and imposed the following penalties: a formal reprimand of the plaintiff, a requirement that the plaintiff complete online courses on medical records, and that the plaintiff pay $10,000 to the BCVMA within 30 days of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 judicial review of the decision of the second inquiry committee and Council decision was taken before Madam Justice Allan. In </w:t>
      </w:r>
      <w:r>
        <w:rPr>
          <w:rFonts w:ascii="arial" w:eastAsia="arial" w:hAnsi="arial" w:cs="arial"/>
          <w:i/>
          <w:color w:val="000000"/>
          <w:sz w:val="20"/>
          <w:lang w:val="en-US" w:eastAsia="en-US" w:bidi="ar-SA"/>
        </w:rPr>
        <w:t>Bajwa v. British Columbia Veterinary Medical Association</w:t>
      </w:r>
      <w:r>
        <w:rPr>
          <w:rFonts w:ascii="arial" w:eastAsia="arial" w:hAnsi="arial" w:cs="arial"/>
          <w:color w:val="000000"/>
          <w:sz w:val="20"/>
          <w:lang w:val="en-US" w:eastAsia="en-US" w:bidi="ar-SA"/>
        </w:rPr>
        <w:t xml:space="preserve">, </w:t>
      </w:r>
      <w:hyperlink r:id="rId522" w:history="1">
        <w:r>
          <w:rPr>
            <w:rFonts w:ascii="arial" w:eastAsia="arial" w:hAnsi="arial" w:cs="arial"/>
            <w:i/>
            <w:color w:val="0077CC"/>
            <w:sz w:val="20"/>
            <w:u w:val="single"/>
            <w:shd w:val="clear" w:color="auto" w:fill="FFFFFF"/>
            <w:lang w:val="en-US" w:eastAsia="en-US" w:bidi="ar-SA"/>
          </w:rPr>
          <w:t>2010 BCSC 848</w:t>
        </w:r>
      </w:hyperlink>
      <w:r>
        <w:rPr>
          <w:rFonts w:ascii="arial" w:eastAsia="arial" w:hAnsi="arial" w:cs="arial"/>
          <w:color w:val="000000"/>
          <w:sz w:val="20"/>
          <w:lang w:val="en-US" w:eastAsia="en-US" w:bidi="ar-SA"/>
        </w:rPr>
        <w:t>, issued June 16, 2010, she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[73] I conclude that the Inquiry Committee had a duty to consider Dr. Bajwa's submissions on institutional bias, and admit and consider the evidence relevant to that issue.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[78] In this case, the Inquiry Committee should have permitted Mr. Pyper to introduce the evidence which Dr. Bajwa alleged raised a reasonable apprehension of bias and make submissions on that issue. If that had been done, and the Inquiry Committee ruled against Dr. Bajwa on that issue, there would have been a record before this court on judicial review.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[79] ... The Council's decision and penalty are quashed and the matter is remitted to the Association for consideration of the institutional bias evidence and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decision of Allan J. was appealed successfully. In </w:t>
      </w:r>
      <w:r>
        <w:rPr>
          <w:rFonts w:ascii="arial" w:eastAsia="arial" w:hAnsi="arial" w:cs="arial"/>
          <w:i/>
          <w:color w:val="000000"/>
          <w:sz w:val="20"/>
          <w:lang w:val="en-US" w:eastAsia="en-US" w:bidi="ar-SA"/>
        </w:rPr>
        <w:t>Bajwa v. British Columbia Veterinary Medical Association,</w:t>
      </w:r>
      <w:r>
        <w:rPr>
          <w:rFonts w:ascii="arial" w:eastAsia="arial" w:hAnsi="arial" w:cs="arial"/>
          <w:color w:val="000000"/>
          <w:sz w:val="20"/>
          <w:lang w:val="en-US" w:eastAsia="en-US" w:bidi="ar-SA"/>
        </w:rPr>
        <w:t xml:space="preserve"> </w:t>
      </w:r>
      <w:hyperlink r:id="rId523" w:history="1">
        <w:r>
          <w:rPr>
            <w:rFonts w:ascii="arial" w:eastAsia="arial" w:hAnsi="arial" w:cs="arial"/>
            <w:i/>
            <w:color w:val="0077CC"/>
            <w:sz w:val="20"/>
            <w:u w:val="single"/>
            <w:shd w:val="clear" w:color="auto" w:fill="FFFFFF"/>
            <w:lang w:val="en-US" w:eastAsia="en-US" w:bidi="ar-SA"/>
          </w:rPr>
          <w:t>2011 BCCA 265</w:t>
        </w:r>
      </w:hyperlink>
      <w:r>
        <w:rPr>
          <w:rFonts w:ascii="arial" w:eastAsia="arial" w:hAnsi="arial" w:cs="arial"/>
          <w:color w:val="000000"/>
          <w:sz w:val="20"/>
          <w:lang w:val="en-US" w:eastAsia="en-US" w:bidi="ar-SA"/>
        </w:rPr>
        <w:t xml:space="preserve">, leave to appeal ref'd </w:t>
      </w:r>
      <w:hyperlink r:id="rId524" w:history="1">
        <w:r>
          <w:rPr>
            <w:rFonts w:ascii="arial" w:eastAsia="arial" w:hAnsi="arial" w:cs="arial"/>
            <w:i/>
            <w:color w:val="0077CC"/>
            <w:sz w:val="20"/>
            <w:u w:val="single"/>
            <w:shd w:val="clear" w:color="auto" w:fill="FFFFFF"/>
            <w:lang w:val="en-US" w:eastAsia="en-US" w:bidi="ar-SA"/>
          </w:rPr>
          <w:t>[2011] S.C.C.A. No. 386</w:t>
        </w:r>
      </w:hyperlink>
      <w:r>
        <w:rPr>
          <w:rFonts w:ascii="arial" w:eastAsia="arial" w:hAnsi="arial" w:cs="arial"/>
          <w:color w:val="000000"/>
          <w:sz w:val="20"/>
          <w:lang w:val="en-US" w:eastAsia="en-US" w:bidi="ar-SA"/>
        </w:rPr>
        <w:t>, the Court of Appeal discussed the plaintiff's petition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In 2007, a three-member inquiry committee was convened to hear the following two charges of professional misconduct against the respondent, Dr. Bajwa: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first charge, </w:t>
      </w:r>
      <w:r>
        <w:rPr>
          <w:rFonts w:ascii="arial" w:eastAsia="arial" w:hAnsi="arial" w:cs="arial"/>
          <w:b/>
          <w:color w:val="000000"/>
          <w:sz w:val="20"/>
          <w:lang w:val="en-US" w:eastAsia="en-US" w:bidi="ar-SA"/>
        </w:rPr>
        <w:t>04-025</w:t>
      </w:r>
      <w:r>
        <w:rPr>
          <w:rFonts w:ascii="arial" w:eastAsia="arial" w:hAnsi="arial" w:cs="arial"/>
          <w:color w:val="000000"/>
          <w:sz w:val="20"/>
          <w:lang w:val="en-US" w:eastAsia="en-US" w:bidi="ar-SA"/>
        </w:rPr>
        <w:t xml:space="preserve"> pertains to the allegation that Dr. Bajwa is guilty of unprofessional conduct and/or professional misconduct and/or violation of the [Association] Bylaws and/or Code of Ethics by failing to respond promptly and appropriately to letters from the Complaint Officer of the Association dated February 13, 2004, March 9, 2004 and March 30, 2004 requesting medical records regarding a complaint made by Gale Madland. The second charge, </w:t>
      </w:r>
      <w:r>
        <w:rPr>
          <w:rFonts w:ascii="arial" w:eastAsia="arial" w:hAnsi="arial" w:cs="arial"/>
          <w:b/>
          <w:color w:val="000000"/>
          <w:sz w:val="20"/>
          <w:lang w:val="en-US" w:eastAsia="en-US" w:bidi="ar-SA"/>
        </w:rPr>
        <w:t>04-049</w:t>
      </w:r>
      <w:r>
        <w:rPr>
          <w:rFonts w:ascii="arial" w:eastAsia="arial" w:hAnsi="arial" w:cs="arial"/>
          <w:color w:val="000000"/>
          <w:sz w:val="20"/>
          <w:lang w:val="en-US" w:eastAsia="en-US" w:bidi="ar-SA"/>
        </w:rPr>
        <w:t>, pertains to the allegation that that [sic] Dr. Bajwa is guilty of unprofessional conduct and/or professional misconduct and/or violation of the [Association] Bylaws and/or Code of Ethics by failing to respond promptly and appropriately to a letter from the Complaints Officer of the Association dated August 23, 2004 requesting information in respect of the complaint of Arthur and Christie Hunter, the owners of the cat Cleo Hunter.</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A majority of the inquiry committee held that while Dr. Bajwa had failed to respond promptly and appropriately to requests for information from the Association, there was insufficient evidence on which to base a finding of professional misconduct. However, the Council, after reviewing the inquiry committee report, determined that the inquiry committee lacked jurisdiction to dismiss the charges or to decide whether the member had been guilty of professional misconduct. The Council also concluded that the inquiry committee made a procedural error in dismissing the charges before Dr. Bajwa had an opportunity to present a defence. As a result, the Council ordered a new hearing before a new inquiry committee.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Dr. Bajwa petitioned the Supreme Court to set aside the order of the Council. In reasons for judgment indexed as </w:t>
      </w:r>
      <w:hyperlink r:id="rId520" w:history="1">
        <w:r>
          <w:rPr>
            <w:rFonts w:ascii="arial" w:eastAsia="arial" w:hAnsi="arial" w:cs="arial"/>
            <w:i/>
            <w:color w:val="0077CC"/>
            <w:sz w:val="20"/>
            <w:u w:val="single"/>
            <w:shd w:val="clear" w:color="auto" w:fill="FFFFFF"/>
            <w:lang w:val="en-US" w:eastAsia="en-US" w:bidi="ar-SA"/>
          </w:rPr>
          <w:t>2008 BCSC 748</w:t>
        </w:r>
      </w:hyperlink>
      <w:r>
        <w:rPr>
          <w:rFonts w:ascii="arial" w:eastAsia="arial" w:hAnsi="arial" w:cs="arial"/>
          <w:color w:val="000000"/>
          <w:sz w:val="20"/>
          <w:lang w:val="en-US" w:eastAsia="en-US" w:bidi="ar-SA"/>
        </w:rPr>
        <w:t>, Slade J. held the petition to be premature as the inquiry committee lacked jurisdiction to render a final decision and, therefore, the Council's order for a new hearing was the result of an interlocutory decision. Alternatively, Slade J. dismissed the petition on the basis that the appropriate standard of review was reasonableness and that the Council's decision was reasonable.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On August 18, 19, 21 and 22, 2008, a new three-member inquiry committee (the "Committee") reconsidered the two previous charges against Dr. Bajwa as well as the following additional charges of professional misconduct: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Complaint File 06-067</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prepare a proper and complete medical record for Cinnamon, a four year old Persian spayed cat owned by M. Watson regarding veterinarian services provided to Cinnamon, the particulars of which include but are not limited to:</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record is illegible;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record does not provide the address or contact information for Cinnamon's owner;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record does not contain the rates, volumes, length of times and rate of infusion for intravenous fluids given to Cinnamon;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record does not include information regarding drugs administered to Cinnamon;</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record does not contain information regarding the level of hydration for Cinnamon;</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record does not contain information regarding abdominal palpation results; and</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record does not contain physical examination findings.</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respond promptly and appropriately to letters dated January 10, 2007 and June 27, 2007, from the Complaint Officer for the BCVMA, Dr. Trudi Roberts, particulars of which include but are not limited to:</w:t>
      </w:r>
    </w:p>
    <w:p>
      <w:pPr>
        <w:numPr>
          <w:numId w:val="1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Your responses were misleading and non-responsive to the questions posed by the Complaint Officer;</w:t>
      </w:r>
    </w:p>
    <w:p>
      <w:pPr>
        <w:numPr>
          <w:numId w:val="1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You made unprofessional and inappropriate comments with respect to the character and integrity of the Complaint Officer.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At the outset of the hearing, counsel for Dr. Bajwa made a preliminary motion to dismiss the charges on several grounds including that the Committee was biased </w:t>
      </w:r>
      <w:r>
        <w:rPr>
          <w:rFonts w:ascii="arial" w:eastAsia="arial" w:hAnsi="arial" w:cs="arial"/>
          <w:i/>
          <w:color w:val="000000"/>
          <w:sz w:val="20"/>
          <w:lang w:val="en-US" w:eastAsia="en-US" w:bidi="ar-SA"/>
        </w:rPr>
        <w:t>vis a vis</w:t>
      </w:r>
      <w:r>
        <w:rPr>
          <w:rFonts w:ascii="arial" w:eastAsia="arial" w:hAnsi="arial" w:cs="arial"/>
          <w:color w:val="000000"/>
          <w:sz w:val="20"/>
          <w:lang w:val="en-US" w:eastAsia="en-US" w:bidi="ar-SA"/>
        </w:rPr>
        <w:t xml:space="preserve"> Dr. Bajwa. Counsel for Dr. Bajwa also sought to have a member of the Committee, Dr. Gerard, recuse himself based on the fact that he was appointed as a member of the pool of potential inquiry committee members after the Council passed resolutions striking an inquiry committee in respect of charges 04-025 and 04-049.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In support of the motion to dismiss the charges, Dr. Bajwa swore an affidavit on August 8, 2008 in which he described the nature of the bias alleged in the preliminary motion as follows:</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have an overwhelming apprehension that the council of the BCVMA as well as a group of Caucasian veterinarians practicing in British Columbia have a high degree of animosity, prejudice, bias and discriminatory approach </w:t>
      </w:r>
      <w:r>
        <w:rPr>
          <w:rFonts w:ascii="arial" w:eastAsia="arial" w:hAnsi="arial" w:cs="arial"/>
          <w:i/>
          <w:color w:val="000000"/>
          <w:sz w:val="20"/>
          <w:lang w:val="en-US" w:eastAsia="en-US" w:bidi="ar-SA"/>
        </w:rPr>
        <w:t>vis a vis</w:t>
      </w:r>
      <w:r>
        <w:rPr>
          <w:rFonts w:ascii="arial" w:eastAsia="arial" w:hAnsi="arial" w:cs="arial"/>
          <w:color w:val="000000"/>
          <w:sz w:val="20"/>
          <w:lang w:val="en-US" w:eastAsia="en-US" w:bidi="ar-SA"/>
        </w:rPr>
        <w:t xml:space="preserve"> a huge group of Indo-Canadian veterinarians.</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an Indo-Canadian veterinarian and my experience is that the BCVMA does not investigate complaints against Caucasian veterinarians or veterinarians that serve on the Conduct Review Committee whether they are Caucasian or not, but the BCVMA investigate [sic] and pursue vigorously, complaints against me and a group of Indo-Canadian veterinarians who pose an economic threat to the established fraternity of Caucasian veterinarians and all veterinarians that serve on the Conduct Review Committee.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allegations of bias were described by counsel for Dr. Bajwa as "institutional bias" of the Association.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Court of Appeal continued: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Dr. Bajwa and his co-complainants are asserting in the Human Rights proceeding that they are being unfairly targeted and unfairly treated via the operation of the discipline process of the Association. The veterinarians, including Dr. Bajwa, complain in those proceedings of discriminatory conduct including differential treatment of complaints against them as compared to other practitioners, biased hearings, a lack of opportunity to informally resolve complaints and disproportionate penalties. That seems to me to be entirely congruent with the complaints of "institutional bias" that Dr. Bajwa sought to advance and have adjudicated before the Committee and the Council during the discipline process in which he was involved. The complaint about the disciplinary process articulated on behalf of Dr. Bajwa is essentially a complaint of systemic discrimination by the Association against him and certain of his colleagues. </w:t>
      </w:r>
      <w:r>
        <w:rPr>
          <w:rFonts w:ascii="arial" w:eastAsia="arial" w:hAnsi="arial" w:cs="arial"/>
          <w:color w:val="000000"/>
          <w:sz w:val="20"/>
          <w:u w:val="single"/>
          <w:lang w:val="en-US" w:eastAsia="en-US" w:bidi="ar-SA"/>
        </w:rPr>
        <w:t>While sometimes the complaint is denoted as "institutional bias" I think it more accurate to characterize the complaint as one manifesting a discriminatory attitude to Dr. Bajwa and others because of racial origin and practice of alleged low cost veterinary service to the public. As well, Dr. Bajwa asserts that he and his colleagues face an overly rigorous review and prosecution policy on the part of the Association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The present case presents a different factual matrix for consideration of the applicability of the doctrine. The proceedings extant before the Human Rights Tribunal involve an examination in a very broad context of the conduct of the Association in discipline and [licensing] procedures. In the present disciplinary proceeding, Dr. Bajwa sought to have adjudicators in his case address and make a ruling upon the very matters that form the core of the ongoing proceedings before the Human Rights Tribunal. It is difficult to discern any practical utility in the process here sought to be invoked by Dr. Bajwa. Such process would cause a duplication, indeed I would say a waste of adjudicative resources because it seems quite unrealistic to think that any decision on "bias" issues that might be reached by an inquiry committee or the Council could have any measure of finality having regard to the scope of the proceedings before the Human Rights Tribunal.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The central concerns that underpin the doctrine of abuse of process exist here, namely a duplication and waste of resources and the possibility of inconsistent findings by different adjudicative bodies passing upon similar facts and issues. In the recent case of </w:t>
      </w:r>
      <w:r>
        <w:rPr>
          <w:rFonts w:ascii="arial" w:eastAsia="arial" w:hAnsi="arial" w:cs="arial"/>
          <w:i/>
          <w:color w:val="000000"/>
          <w:sz w:val="20"/>
          <w:lang w:val="en-US" w:eastAsia="en-US" w:bidi="ar-SA"/>
        </w:rPr>
        <w:t>British Columbia (Attorney General) v. Malik</w:t>
      </w:r>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2011 SCC 18</w:t>
        </w:r>
      </w:hyperlink>
      <w:r>
        <w:rPr>
          <w:rFonts w:ascii="arial" w:eastAsia="arial" w:hAnsi="arial" w:cs="arial"/>
          <w:color w:val="000000"/>
          <w:sz w:val="20"/>
          <w:lang w:val="en-US" w:eastAsia="en-US" w:bidi="ar-SA"/>
        </w:rPr>
        <w:t>, Binnie J. noted at para. 40, "[i]n a number of decisions our Court had emphasized a public interest in the avoidance of "[d]uplicative litigation, potential inconsistent results, undue costs, and inconclusive proceedings" (</w:t>
      </w:r>
      <w:r>
        <w:rPr>
          <w:rFonts w:ascii="arial" w:eastAsia="arial" w:hAnsi="arial" w:cs="arial"/>
          <w:i/>
          <w:color w:val="000000"/>
          <w:sz w:val="20"/>
          <w:lang w:val="en-US" w:eastAsia="en-US" w:bidi="ar-SA"/>
        </w:rPr>
        <w:t>Danyluk v. Ainsworth Technologies Inc.</w:t>
      </w:r>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2001 SCC 44</w:t>
        </w:r>
      </w:hyperlink>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[2001] 2 S.C.R. 460</w:t>
        </w:r>
      </w:hyperlink>
      <w:r>
        <w:rPr>
          <w:rFonts w:ascii="arial" w:eastAsia="arial" w:hAnsi="arial" w:cs="arial"/>
          <w:color w:val="000000"/>
          <w:sz w:val="20"/>
          <w:lang w:val="en-US" w:eastAsia="en-US" w:bidi="ar-SA"/>
        </w:rPr>
        <w:t>, at para. 18)".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That recent observation of Binnie J. appears to me to be particularly apposite on the facts of the present case. What I consider to be the key factual circumstance in the present case is the existence of the broadly framed inquiry before the Human Rights Tribunal. It is, as I observed, presently addressing the very issues that were sought to be raised by Dr. Bajwa in the discipline proceedings.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Unfortunately, it does not appear that counsel in the proceedings at first instance took the opportunity to respond to this valid question by advancing the comprehensive submissions that were enunciated in this Court about parallel proceedings and abuse of process. I venture to observe that the answer to the query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is "in the Human Rights proceedings". The chambers judge does not appear to have been effectively alerted to the scope of the parallel proceedings. I consider that if the submissions made before us on this appeal had been made to her, her decision would have been different.</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Court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For the reasons expressed above, I consider that the petition of Dr. Bajwa seeking judicial review was not well founded. I would allow this appeal and order the dismissal of the petition. Because the submissions ultimately dispositive of this appeal seem not to have been articulated at first instance, I consider it would be appropriate to order that the respective parties should bear their own costs in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light of these decisions, I will review the notice of civil claim to set forth what I understand is the plaintiff's claim in these proceedings in order to determine if the plaintiff's claims are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Further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the second day of argument on this application, the plaintiff applied for leave to file a further amended notice of civil claim. The defendants were unhappy with the late application but did not oppose the order permitting the amendment. They argued that the changes proposed did not address the concerns raised in the arguments advanced on the first day of the application. The further amended notice of civil claim was prolix and it was difficult to understand which facts were pleaded to support each of the causes of action Dr. Bajwa was advancing. It contains the following allegations:</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states that the basis of the Council's decision to refer this matter back to a new Committee was based on bad faith in that the Council intentionally and deliberately chose to ignore the findings of the First Inquiry Committee in that the charges were found 'not proven'. The Council further decided that it is not appropriate at this stage to consider any issue of "costs" given that the matter is still ongoing. The Plaintiff, Dr. Bajwa, at that point submitted that it was appropriate for the Defendant, the BCVMA, to pay the "wasted" costs incurred by Dr. Bajwa pertaining to the Inquiry Hearing which request was deliberately ignored by the Council.</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Council in referring the Charges back for rehearing relied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on the minority report of the Defendant Forsyth, to the detriment of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Valerie Osborne, has notwithstanding the findings of the First Inquiry Committee failed or, alternatively, refused to stay or dismiss the charges against the Plaintiff. The Plaintiff states that the conduct of the Defendant, Valerie Osborne, amounts to bad faith, is vexatious and vindictive.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Dr. Bajwa, has suffered and continues to suffer significant damages as the result of the bad faith of the Defendants, Dr. Kirby, Dr. O'Grady, Dr. Hollingshead, Dr. Lang and Dr. McKelvey, who intentionally or, alternatively, negligently misinterpreted the decision of the majority of the First Inquiry Committee by stating that the Inquiry Committee dismissed the charges which was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not the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states that his legal counsel who represented him at the Review Application namely, the Defendant Fong, acted in a negligent fashion and, in breaching the contractual and fiduciary duty between her and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Dr. Kirby, Dr. O'Grady, Dr. Hollingshead, Dr. Lang and Dr. McKelvey, </w:t>
      </w:r>
      <w:r>
        <w:rPr>
          <w:rFonts w:ascii="arial" w:eastAsia="arial" w:hAnsi="arial" w:cs="arial"/>
          <w:color w:val="000000"/>
          <w:sz w:val="20"/>
          <w:u w:val="single"/>
          <w:lang w:val="en-US" w:eastAsia="en-US" w:bidi="ar-SA"/>
        </w:rPr>
        <w:t>whose conduct to refer Dr. Bajwa's hearing back for a second hearing after a majority found that charges were not proven manifested in misconduct, motivated by malice, without reasonable and probable cause, bad faith and wrongful interference</w:t>
      </w:r>
      <w:r>
        <w:rPr>
          <w:rFonts w:ascii="arial" w:eastAsia="arial" w:hAnsi="arial" w:cs="arial"/>
          <w:color w:val="000000"/>
          <w:sz w:val="20"/>
          <w:lang w:val="en-US" w:eastAsia="en-US" w:bidi="ar-SA"/>
        </w:rPr>
        <w:t xml:space="preserve"> with the Plaintiff's right to pursue a livelihood as envisaged in Section 6(2)(b) of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charges instituted by the Defendants, the BCVMA, Valerie Osborne, Dr. Kirby, Dr. O'Grady, Dr. Hollingshead, Dr. Lang and Dr. McKelvy (the "Institutional Defendants") against the Plaintiff are </w:t>
      </w:r>
      <w:r>
        <w:rPr>
          <w:rFonts w:ascii="arial" w:eastAsia="arial" w:hAnsi="arial" w:cs="arial"/>
          <w:color w:val="000000"/>
          <w:sz w:val="20"/>
          <w:u w:val="single"/>
          <w:lang w:val="en-US" w:eastAsia="en-US" w:bidi="ar-SA"/>
        </w:rPr>
        <w:t>frivolous and vexatious and done with an ulterior motive, without reasonable or probable cause and with bad faith</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as follows:</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target low cost veterinarians, in particular, the Plaintiff who poses an economic threat to established Caucasian veterinarians, in particular, the Council members such as the Defendant, Dr. O'Grady, Dr. Forsyth and the Conduct Review Committee ex-chairman, Dr. Ashburner;</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use the disciplinary process to eradicate Indo-Canadian veterinarians and, in particular, the Plaintiff from practicing veterinary medicine in British Columbia.</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eradicate and remove the Plaintiff from the practice in that the Plaintiff posed and continues to pose an economic threat to the established fraternity of Caucasian veterinarians;</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target the Plaintiff who is an associate of Dr. Bhullar who is regarded as "</w:t>
      </w:r>
      <w:r>
        <w:rPr>
          <w:rFonts w:ascii="arial" w:eastAsia="arial" w:hAnsi="arial" w:cs="arial"/>
          <w:i/>
          <w:color w:val="000000"/>
          <w:sz w:val="20"/>
          <w:lang w:val="en-US" w:eastAsia="en-US" w:bidi="ar-SA"/>
        </w:rPr>
        <w:t>the ring leader</w:t>
      </w:r>
      <w:r>
        <w:rPr>
          <w:rFonts w:ascii="arial" w:eastAsia="arial" w:hAnsi="arial" w:cs="arial"/>
          <w:color w:val="000000"/>
          <w:sz w:val="20"/>
          <w:lang w:val="en-US" w:eastAsia="en-US" w:bidi="ar-SA"/>
        </w:rPr>
        <w:t>" of Indo-Canadian veterinarians and "</w:t>
      </w:r>
      <w:r>
        <w:rPr>
          <w:rFonts w:ascii="arial" w:eastAsia="arial" w:hAnsi="arial" w:cs="arial"/>
          <w:i/>
          <w:color w:val="000000"/>
          <w:sz w:val="20"/>
          <w:lang w:val="en-US" w:eastAsia="en-US" w:bidi="ar-SA"/>
        </w:rPr>
        <w:t>veterinarians for justice</w:t>
      </w:r>
      <w:r>
        <w:rPr>
          <w:rFonts w:ascii="arial" w:eastAsia="arial" w:hAnsi="arial" w:cs="arial"/>
          <w:color w:val="000000"/>
          <w:sz w:val="20"/>
          <w:lang w:val="en-US" w:eastAsia="en-US" w:bidi="ar-SA"/>
        </w:rPr>
        <w:t>" with malicious intent to injure the Plaintiff;</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accomplish their objective the Institutional Defendants embarked on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the following malicious and bad faith conduct:</w:t>
      </w:r>
    </w:p>
    <w:p>
      <w:pPr>
        <w:numPr>
          <w:numId w:val="4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Decided not to provide fair hearings in accordance with the principles of natural justice to the Plaintiff;</w:t>
      </w:r>
    </w:p>
    <w:p>
      <w:pPr>
        <w:numPr>
          <w:numId w:val="4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Coerced or, alternatively, unduly influenced the investigating officer, Dr. Trudi Roberts, to investigate and pursue the charges initiated by the Defendant, the BCVMA, against the Plaintiff;</w:t>
      </w:r>
    </w:p>
    <w:p>
      <w:pPr>
        <w:numPr>
          <w:numId w:val="4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condoning the conduct of the Chairman of the Conduct Review Committee to adopt a policy of </w:t>
      </w:r>
      <w:r>
        <w:rPr>
          <w:rFonts w:ascii="arial" w:eastAsia="arial" w:hAnsi="arial" w:cs="arial"/>
          <w:i/>
          <w:color w:val="000000"/>
          <w:sz w:val="20"/>
          <w:lang w:val="en-US" w:eastAsia="en-US" w:bidi="ar-SA"/>
        </w:rPr>
        <w:t>"using the complaint process to eradicate Indo-Canadian veterinarians and, in particular, Dr. Bajwa from practicing veterinary medicine in that Dr. Ashburner stated that 'gone are the days that we could go there and torch them, burn it down, a quicker way ...'";</w:t>
      </w:r>
    </w:p>
    <w:p>
      <w:pPr>
        <w:numPr>
          <w:numId w:val="4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implementing a task force consisting of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the Defendant, Dr. O'Grady to eliminate the Plaintiff and other Indo-Canadian veterinarians that pose an economic threat to the established fraternity of Caucasian veterinarians;</w:t>
      </w:r>
    </w:p>
    <w:p>
      <w:pPr>
        <w:numPr>
          <w:numId w:val="4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devise a strategy to eliminate Indo-Canadian veterinarians and, in particular, the Plaintiff from practicing veterinary medicine in British Columbia;</w:t>
      </w:r>
    </w:p>
    <w:p>
      <w:pPr>
        <w:numPr>
          <w:numId w:val="4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failing to implement or use their discretionary power under Section 19 of the </w:t>
      </w:r>
      <w:r>
        <w:rPr>
          <w:rFonts w:ascii="arial" w:eastAsia="arial" w:hAnsi="arial" w:cs="arial"/>
          <w:i/>
          <w:color w:val="000000"/>
          <w:sz w:val="20"/>
          <w:lang w:val="en-US" w:eastAsia="en-US" w:bidi="ar-SA"/>
        </w:rPr>
        <w:t>Veterinarians Act</w:t>
      </w:r>
      <w:r>
        <w:rPr>
          <w:rFonts w:ascii="arial" w:eastAsia="arial" w:hAnsi="arial" w:cs="arial"/>
          <w:color w:val="000000"/>
          <w:sz w:val="20"/>
          <w:lang w:val="en-US" w:eastAsia="en-US" w:bidi="ar-SA"/>
        </w:rPr>
        <w:t xml:space="preserve"> to award damages in favour of the Plaintiff;</w:t>
      </w:r>
    </w:p>
    <w:p>
      <w:pPr>
        <w:numPr>
          <w:numId w:val="4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proceeding with two disciplinary hearings and two council hearings against the Plaintiff without implementing and following the rules of natural justice and procedural fairness;</w:t>
      </w:r>
    </w:p>
    <w:p>
      <w:pPr>
        <w:numPr>
          <w:numId w:val="4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affording the Plaintiff the opportunity to present evidence of institutional bias which was at all material times the ranks of the Defendant, the BCVMA, include but are not limited to:</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members of the Conduct Review Committee;</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members of the Council;</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Registrar of the Defendant, Valerie Osborne;</w:t>
      </w:r>
    </w:p>
    <w:p>
      <w:pPr>
        <w:numPr>
          <w:numId w:val="5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investigating officer, Dr. Trudi Roberts.</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wrongfully interfering with the Plaintiffs economic ability to practice as a veterinarian and to make a living.</w:t>
      </w:r>
    </w:p>
    <w:p>
      <w:pPr>
        <w:numPr>
          <w:numId w:val="5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Registrar of the Defendant, Valerie Osborne, unduly influenced or, alternatively, coerced the investigating officer, Dr. Trudi Roberts, to proceed with the charges and investigation against the Plaintiff notwithstanding the reluctance of the investigating officer, Dr. Trudi Roberts, to do so. The conduct of the Defendant, Valerie Osborne, in this regard amounts to bad faith, malfeasance or malice, and without a reasonable and probable cause to do so.</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conduct of the Institutional Defendants, as set out in this Notice of Civil Claim, amount to an abuse of process and wrongful interference with the Plaintiff's right to pursue a livelihood, bad faith, and were done without reasonable and probable cause.</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conduct of the Institutional Defendants as set out above has caused damages and continues to cause damages to the Plaintiff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as follows:</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Financial hardship;</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Anxiety, despondency, insecurity;</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enjoyment of life, strained family relations;</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Sleeplessness, psychological and emotional trauma;</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income;</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caused the Plaintiff to incur unnecessary expense in legal fees and time to defend himself against the frivolous charges.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Discriminatory Conduct</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Council endorsed and did not interfere with previous Inquiry Committees' findings to dismiss charges. The Council intentionally, maliciously and in bad faith singled the Plaintiff out to refer charges back to a second hearing before a different Inquiry Committee. The Council acted with malice and without [probable] and reasonable cause or a primary purpose other than that of carrying the law into effect.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Breach of Trust/Malfeasance</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Dr. Kirby, Dr. O'Grady, Dr. Hollingshead, Dr. Lang and Dr. McKelvey's conduct as set out above amounts to malfeasance and breach of trust.</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Dr. Kirby, Dr. O' Grady, Dr. Hollingshead, Dr. Lang and Dr. McKelvey, at all material times owed the Plaintiff a common law duty of utmost good faith with respect to the Plaintiffs practice and rights to receive a hearing free from discriminatory conduct, bad faith, prejudice or bias.</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the BCVMA, Dr. Kirby, Dr. O'Grady, Dr. Hollingshead, Dr. Lang, Dr. McKelvey's conduct is a violation of the trust position </w:t>
      </w:r>
      <w:r>
        <w:rPr>
          <w:rFonts w:ascii="arial" w:eastAsia="arial" w:hAnsi="arial" w:cs="arial"/>
          <w:i/>
          <w:color w:val="000000"/>
          <w:sz w:val="20"/>
          <w:lang w:val="en-US" w:eastAsia="en-US" w:bidi="ar-SA"/>
        </w:rPr>
        <w:t>vis à vis</w:t>
      </w:r>
      <w:r>
        <w:rPr>
          <w:rFonts w:ascii="arial" w:eastAsia="arial" w:hAnsi="arial" w:cs="arial"/>
          <w:color w:val="000000"/>
          <w:sz w:val="20"/>
          <w:lang w:val="en-US" w:eastAsia="en-US" w:bidi="ar-SA"/>
        </w:rPr>
        <w:t xml:space="preserve"> the Plaintiff by acting in bad faith and malice.</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Malfeasance of the Defendants, Dr. Kirby, Dr. O'Grady, Dr. Hollingshead, Dr. Lang, Dr. McKelvey, Valerie Osborne and the BCVMA, amounts to a tortious action of abuse of process, malicious prosecution of vexatious, frivolous and bad faith complaints and violated Section 43(1) of the BCVMA Bylaws which conduct caused the Plaintiff damages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as follows:</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Financial hardship;</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and emotional injuries;</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Public humiliation;</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Discontent, confusion, resentment;</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Despondency;</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Sense of inferiority;</w:t>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 for pain and suffering, loss of enjoyment of life, loss of amenities, partial and/or psychological disability.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of which said injuries, loss and damage were caused or contributed by the tortious actions and bad faith of the said 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Malicious Prosecution</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Institutional Defendants </w:t>
      </w:r>
      <w:r>
        <w:rPr>
          <w:rFonts w:ascii="arial" w:eastAsia="arial" w:hAnsi="arial" w:cs="arial"/>
          <w:color w:val="000000"/>
          <w:sz w:val="20"/>
          <w:u w:val="single"/>
          <w:lang w:val="en-US" w:eastAsia="en-US" w:bidi="ar-SA"/>
        </w:rPr>
        <w:t>acted without reasonable or probable cause and in bad faith</w:t>
      </w:r>
      <w:r>
        <w:rPr>
          <w:rFonts w:ascii="arial" w:eastAsia="arial" w:hAnsi="arial" w:cs="arial"/>
          <w:color w:val="000000"/>
          <w:sz w:val="20"/>
          <w:lang w:val="en-US" w:eastAsia="en-US" w:bidi="ar-SA"/>
        </w:rPr>
        <w:t xml:space="preserve"> to prosecute the Plaintiff again after the First Inquiry Hearing on the same charges notwithstanding that the majority had ruled that the charges against the Plaintiff were not proven.</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states that the Institutional Defendants lacked an honest belief in the guilt of the Plaintiff.</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Inquiry Hearing terminated in favour of the Plaintiff with a majority decision of the Inquiry Committee. The Second Inquiry Hearing terminated in favour of the Plaintiff after Madam Justice Allan quashed both the findings of the Inquiry Committee and the Council.</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Institutional Defendants were activated by malice or a primary purpose other than that of carrying the law into effect to proceed with two disciplinary hearings against the Plaintiff for essentially the same charges. The particulars of the Institutional Defendants' malice are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as follows:</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gain a private collateral advantage to eradicate or eliminate the Plaintiff from practicing veterinary medicine in British Columbia;</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retaliate against the Plaintiff in that the Plaintiff is a complainant in the Human Rights Tribunal pursuing complaints against the Institutional Defendants based on the fact that the Plaintiff had the "</w:t>
      </w:r>
      <w:r>
        <w:rPr>
          <w:rFonts w:ascii="arial" w:eastAsia="arial" w:hAnsi="arial" w:cs="arial"/>
          <w:i/>
          <w:color w:val="000000"/>
          <w:sz w:val="20"/>
          <w:lang w:val="en-US" w:eastAsia="en-US" w:bidi="ar-SA"/>
        </w:rPr>
        <w:t>audacity</w:t>
      </w:r>
      <w:r>
        <w:rPr>
          <w:rFonts w:ascii="arial" w:eastAsia="arial" w:hAnsi="arial" w:cs="arial"/>
          <w:color w:val="000000"/>
          <w:sz w:val="20"/>
          <w:lang w:val="en-US" w:eastAsia="en-US" w:bidi="ar-SA"/>
        </w:rPr>
        <w:t>" to take part in complaints of serious human rights violations perpetrated by the Institutional Defendants;</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Ill-will;</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Spite; and</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Vengeance.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Abuse of Process</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conduct of the Defendants, Dr. Kirby, Dr. O'Grady, Dr. Hollingshead, Dr. Lang and Dr. McKelvey, to refer the decision of the First Inquiry Committee back for a rehearing notwithstanding that the finding of the First Inquiry Committee charges not to be proven amounts to an abuse of process and malicious prosecution in that the proceedings were already terminated in favour of the Plaintiff before the First Inquiry Committee.</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the BCVMA, Dr. Kirby, Dr. O'Grady, Dr. Hollingshead, Dr. Lang and Dr. McKelvey,</w:t>
      </w:r>
      <w:r>
        <w:rPr>
          <w:rFonts w:ascii="arial" w:eastAsia="arial" w:hAnsi="arial" w:cs="arial"/>
          <w:color w:val="000000"/>
          <w:sz w:val="20"/>
          <w:u w:val="single"/>
          <w:lang w:val="en-US" w:eastAsia="en-US" w:bidi="ar-SA"/>
        </w:rPr>
        <w:t xml:space="preserve"> acted without reasonable and [probable] cause</w:t>
      </w:r>
      <w:r>
        <w:rPr>
          <w:rFonts w:ascii="arial" w:eastAsia="arial" w:hAnsi="arial" w:cs="arial"/>
          <w:color w:val="000000"/>
          <w:sz w:val="20"/>
          <w:lang w:val="en-US" w:eastAsia="en-US" w:bidi="ar-SA"/>
        </w:rPr>
        <w:t>. The said Defendants lacked an honest belief in the guilt of the Plaintiff based on the decision of the First Inquiry Committee.</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Defendants, the BCVMA, Dr. Kirby, Dr. O'Grady, Dr. Hollingshead, Dr. Lang and Dr. McKelvey, was activated by malice, bad faith, or a primary purpose other than that of carrying the law into effect. The </w:t>
      </w:r>
      <w:r>
        <w:rPr>
          <w:rFonts w:ascii="arial" w:eastAsia="arial" w:hAnsi="arial" w:cs="arial"/>
          <w:color w:val="000000"/>
          <w:sz w:val="20"/>
          <w:u w:val="single"/>
          <w:lang w:val="en-US" w:eastAsia="en-US" w:bidi="ar-SA"/>
        </w:rPr>
        <w:t>particulars of the said Defendants' malice</w:t>
      </w:r>
      <w:r>
        <w:rPr>
          <w:rFonts w:ascii="arial" w:eastAsia="arial" w:hAnsi="arial" w:cs="arial"/>
          <w:color w:val="000000"/>
          <w:sz w:val="20"/>
          <w:lang w:val="en-US" w:eastAsia="en-US" w:bidi="ar-SA"/>
        </w:rPr>
        <w:t xml:space="preserve"> are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as follows:</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attempt to gain a private collateral advantage, spite, ill-will, vengeance and interference with the economic interest of the Plaintiff; and</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refer the matter back to a Second Inquiry Committee comprised of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Dr. Russ Gerard who has a track record that he only sits on hearings of Indo-Canadian veterinarians and will approve the charges.</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Both disciplinary inquiries and council hearings were commenced by the Institutional Defendants and continued by the Institutional Defendants primarily for a collateral or improper purpose that was unrelated to the ostensible purpose of the legal proceeding. Particulars of the Institutional Defendants' collateral or improper purpose are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as follows:</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use the disciplinary process to eliminate the Plaintiff from practicing veterinary medicine in British Columbia;</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cause financial hardship to the Plaintiff;</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curtail the influx of Indo-Canadian veterinarians from India to British Columbia;</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eliminate competition for the established fraternity of Caucasian veterinarians in British Columbia.</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Institutional Defendants, in particular the Defendant, Dr. Kirby, made an overt act on or about September 29, 2010 in furtherance of the Institutional Defendants' collateral or improper purpose. Particulars of the Institutional Defendants overt act are as follows:</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Dr. Kirby, on September 29, 2010 circulated an email to his colleagues in the ranks of the Defendant, the BCVMA, who prosecuted the Plaintiff for improper purpose and stated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as follows: "</w:t>
      </w:r>
      <w:r>
        <w:rPr>
          <w:rFonts w:ascii="arial" w:eastAsia="arial" w:hAnsi="arial" w:cs="arial"/>
          <w:i/>
          <w:color w:val="000000"/>
          <w:sz w:val="20"/>
          <w:lang w:val="en-US" w:eastAsia="en-US" w:bidi="ar-SA"/>
        </w:rPr>
        <w:t>The Association's argument was that it would be inappropriate for the Inquiry Panel or the Council to hear evidence on 'institutional bias' for several reasons. First it places the BCVMA in a double jeopardy situation given the HRT process has been hearing evidence on this very question for over 2 years. To make the BCVMA hear evidence on this question all over again in an inquiry would be hugely expensive and time consuming and in our opinion unnecessary. Secondly, there was no legal authority for the Association to do so and, it would make no logical sense! If the Association was in fact guilty of institutional bias against Dr. Bajwa they would of course rule that his evidence was meaningless and find against him. If the Association was in fact 'not' guilty of institutional bias against Dr. Bajwa his evidence would not have been persuasive and again the Association would find against him!</w:t>
      </w:r>
      <w:r>
        <w:rPr>
          <w:rFonts w:ascii="arial" w:eastAsia="arial" w:hAnsi="arial" w:cs="arial"/>
          <w:color w:val="000000"/>
          <w:sz w:val="20"/>
          <w:lang w:val="en-US" w:eastAsia="en-US" w:bidi="ar-SA"/>
        </w:rPr>
        <w:t>"</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Institutional Defendants by commencing and continuing the disciplinary proceedings against the Plaintiff and engaging in the conduct as described in this Notice of Civil Claim caused the Plaintiff actual damage in the form of financial hardship, loss of income, emotional, psychological damage and thereby committed the tort of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Bajwa summarized the legal basis of his claim as breach of trust, bad faith, abuse of process, discrimination and malicious prosecution. He also claimed that the defendants were guilty of malfeasance and discriminatory conduct. He alleges that the BCVMA defendants acted without reasonable and probable cause, and with bad faith in the disciplinary process, including subjecting him to two inquiry committee hearings. He claims the defendants have caused damages including expenditures for legal expenses of approximately $86,000.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It appears that the essence of Dr. Bajwa's claims is that the defendants are attempting to preclude Indo-Canadian veterinarians from practising in British Columbia because of their practice of charging lower fees. He says that there is an institutional bias on the part of the Council and its members to use its statutory mandate to maintain professional standards as a means of curtailing the influx of Indo-Canadian veterinarians, eliminating the plaintiff from practising veterinary medicine, and eliminating competition for Caucasian veterinarians. In furtherance of this discriminatory strategy the plaintiff says the defendants acted maliciously, in bad faith, and without reasonable and probable cause in following the decision of Slade J. where he concluded it was reasonable to refer charges against the plaintiff back to a second inquiry committee.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factual basis of these claims are that the Council acted with malice and without reasonable and probable cause in:</w:t>
      </w:r>
      <w:r>
        <w:rPr>
          <w:rFonts w:ascii="arial" w:eastAsia="arial" w:hAnsi="arial" w:cs="arial"/>
          <w:sz w:val="20"/>
          <w:lang w:val="en-US" w:eastAsia="en-US" w:bidi="ar-SA"/>
        </w:rPr>
        <w:cr/>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commencing the disciplinary proceedings;</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referring charges to a second inquiry committee;</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denying Dr. Bajwa the right to lead evidence of institutional bias at the second inquiry hearing; and</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influencing the registrar of the BCVMA to proceed with charges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Previous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There is further background to this action. I must consider three other actions commenced by the plaintiff and others: </w:t>
      </w:r>
      <w:r>
        <w:rPr>
          <w:rFonts w:ascii="arial" w:eastAsia="arial" w:hAnsi="arial" w:cs="arial"/>
          <w:i/>
          <w:color w:val="000000"/>
          <w:sz w:val="20"/>
          <w:lang w:val="en-US" w:eastAsia="en-US" w:bidi="ar-SA"/>
        </w:rPr>
        <w:t>Bajwa v. Ashburner</w:t>
      </w:r>
      <w:r>
        <w:rPr>
          <w:rFonts w:ascii="arial" w:eastAsia="arial" w:hAnsi="arial" w:cs="arial"/>
          <w:color w:val="000000"/>
          <w:sz w:val="20"/>
          <w:lang w:val="en-US" w:eastAsia="en-US" w:bidi="ar-SA"/>
        </w:rPr>
        <w:t xml:space="preserve">, S.C.B.C Action No. S055936, Vancouver Registry (the "Ashburner Action"); </w:t>
      </w:r>
      <w:r>
        <w:rPr>
          <w:rFonts w:ascii="arial" w:eastAsia="arial" w:hAnsi="arial" w:cs="arial"/>
          <w:i/>
          <w:color w:val="000000"/>
          <w:sz w:val="20"/>
          <w:lang w:val="en-US" w:eastAsia="en-US" w:bidi="ar-SA"/>
        </w:rPr>
        <w:t>Bajwa v. BCVMA</w:t>
      </w:r>
      <w:r>
        <w:rPr>
          <w:rFonts w:ascii="arial" w:eastAsia="arial" w:hAnsi="arial" w:cs="arial"/>
          <w:color w:val="000000"/>
          <w:sz w:val="20"/>
          <w:lang w:val="en-US" w:eastAsia="en-US" w:bidi="ar-SA"/>
        </w:rPr>
        <w:t xml:space="preserve">, S.C.B.C. Action No. S053575, Vancouver Registry (the "Bajwa Action"); and </w:t>
      </w:r>
      <w:r>
        <w:rPr>
          <w:rFonts w:ascii="arial" w:eastAsia="arial" w:hAnsi="arial" w:cs="arial"/>
          <w:i/>
          <w:color w:val="000000"/>
          <w:sz w:val="20"/>
          <w:lang w:val="en-US" w:eastAsia="en-US" w:bidi="ar-SA"/>
        </w:rPr>
        <w:t>Bajwa v. Rana</w:t>
      </w:r>
      <w:r>
        <w:rPr>
          <w:rFonts w:ascii="arial" w:eastAsia="arial" w:hAnsi="arial" w:cs="arial"/>
          <w:color w:val="000000"/>
          <w:sz w:val="20"/>
          <w:lang w:val="en-US" w:eastAsia="en-US" w:bidi="ar-SA"/>
        </w:rPr>
        <w:t>, S.C.B.C. Action No. S055935, Vancouver Registry (the "Rana Action") (collectively referred to as the "2005 Bajwa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history of these actions is important because on June 4, 2008, Mr. Justice Davies made an order barring the plaintiff from recommencing any of the actions, or commencing new actions based on the same or substantially the same allegations brought in those actions, or allegations which might or ought to have been brought in those actions: </w:t>
      </w:r>
      <w:r>
        <w:rPr>
          <w:rFonts w:ascii="arial" w:eastAsia="arial" w:hAnsi="arial" w:cs="arial"/>
          <w:i/>
          <w:color w:val="000000"/>
          <w:sz w:val="20"/>
          <w:lang w:val="en-US" w:eastAsia="en-US" w:bidi="ar-SA"/>
        </w:rPr>
        <w:t>Bajwa v. British Columbia Veterinary Medical Assoc.</w:t>
      </w:r>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2008 BCSC 905</w:t>
        </w:r>
      </w:hyperlink>
      <w:r>
        <w:rPr>
          <w:rFonts w:ascii="arial" w:eastAsia="arial" w:hAnsi="arial" w:cs="arial"/>
          <w:color w:val="000000"/>
          <w:sz w:val="20"/>
          <w:lang w:val="en-US" w:eastAsia="en-US" w:bidi="ar-SA"/>
        </w:rPr>
        <w:t xml:space="preserve"> at para.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defendants advance four distinct grounds for dismissing the action. They also rely on the decision of the Court of Appeal dismissing Dr. Bajwa's application for judicial review of the second inquiry and the Council's decision that he was guilty of the allegations against him. I will deal with this ground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First, they argue that the claims are barred by the </w:t>
      </w:r>
      <w:r>
        <w:rPr>
          <w:rFonts w:ascii="arial" w:eastAsia="arial" w:hAnsi="arial" w:cs="arial"/>
          <w:i/>
          <w:color w:val="000000"/>
          <w:sz w:val="20"/>
          <w:lang w:val="en-US" w:eastAsia="en-US" w:bidi="ar-SA"/>
        </w:rPr>
        <w:t>Disciplinary Authority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98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DAPA</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DAPA</w:t>
      </w:r>
      <w:r>
        <w:rPr>
          <w:rFonts w:ascii="arial" w:eastAsia="arial" w:hAnsi="arial" w:cs="arial"/>
          <w:color w:val="000000"/>
          <w:sz w:val="20"/>
          <w:lang w:val="en-US" w:eastAsia="en-US" w:bidi="ar-SA"/>
        </w:rPr>
        <w:t xml:space="preserve"> gives immunity to members of corporations established to regulate a profession for acts done by specified persons in the exercise of disciplinary powers in regulating that profession or occupation. The </w:t>
      </w:r>
      <w:r>
        <w:rPr>
          <w:rFonts w:ascii="arial" w:eastAsia="arial" w:hAnsi="arial" w:cs="arial"/>
          <w:i/>
          <w:color w:val="000000"/>
          <w:sz w:val="20"/>
          <w:lang w:val="en-US" w:eastAsia="en-US" w:bidi="ar-SA"/>
        </w:rPr>
        <w:t>DAPA</w:t>
      </w:r>
      <w:r>
        <w:rPr>
          <w:rFonts w:ascii="arial" w:eastAsia="arial" w:hAnsi="arial" w:cs="arial"/>
          <w:color w:val="000000"/>
          <w:sz w:val="20"/>
          <w:lang w:val="en-US" w:eastAsia="en-US" w:bidi="ar-SA"/>
        </w:rPr>
        <w:t xml:space="preserve"> contains an exception to this statutory immunity where a member acts maliciously and without reasonable and probable cause: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If,</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an Act a corporation is established having as one of its purposes the regulation of the profession or occupation practised or carried on by the members of the corporation, and</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disciplinary powers over the members of the corporation in respect of their conduct in the profession or occupation regulated are conferred by the Act on the corporation, or on any body of its members, or on any official or member of the corporation,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liability is incurred by the corporation, or by any body of the members, or by any official or member of the corporation, or by any person retained as counsel, solicitor or agent by the corporation for any act or thing done in the exercise of the disciplinary powers conferred or in doing any act or thing in preparation for the exercise of those powers, unless the act or thing is done maliciously and without reasonable and probable cause.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If any action is brought in respect of any act or thing referred to in section 1, the plaintiff expressly alleges in the pleadings that the act or thing was done maliciously and without reasonable and probable cause, and if at the trial of the action, on the general issue being pleaded, the plaintiff fails to prove the allegation, the action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defendants argue that the actions impugned by the plaintiff are governed by the </w:t>
      </w:r>
      <w:r>
        <w:rPr>
          <w:rFonts w:ascii="arial" w:eastAsia="arial" w:hAnsi="arial" w:cs="arial"/>
          <w:i/>
          <w:color w:val="000000"/>
          <w:sz w:val="20"/>
          <w:lang w:val="en-US" w:eastAsia="en-US" w:bidi="ar-SA"/>
        </w:rPr>
        <w:t>DAPA,</w:t>
      </w:r>
      <w:r>
        <w:rPr>
          <w:rFonts w:ascii="arial" w:eastAsia="arial" w:hAnsi="arial" w:cs="arial"/>
          <w:color w:val="000000"/>
          <w:sz w:val="20"/>
          <w:lang w:val="en-US" w:eastAsia="en-US" w:bidi="ar-SA"/>
        </w:rPr>
        <w:t xml:space="preserve"> and that statute is a complete answer to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Further, the defendants argue that Dr. Bajwa's pleadings must identify the facts that substantiate or support the allegations of malice, bad faith and lack of reasonable and probable cause if he alleges that the </w:t>
      </w:r>
      <w:r>
        <w:rPr>
          <w:rFonts w:ascii="arial" w:eastAsia="arial" w:hAnsi="arial" w:cs="arial"/>
          <w:i/>
          <w:color w:val="000000"/>
          <w:sz w:val="20"/>
          <w:lang w:val="en-US" w:eastAsia="en-US" w:bidi="ar-SA"/>
        </w:rPr>
        <w:t>DAPA</w:t>
      </w:r>
      <w:r>
        <w:rPr>
          <w:rFonts w:ascii="arial" w:eastAsia="arial" w:hAnsi="arial" w:cs="arial"/>
          <w:color w:val="000000"/>
          <w:sz w:val="20"/>
          <w:lang w:val="en-US" w:eastAsia="en-US" w:bidi="ar-SA"/>
        </w:rPr>
        <w:t xml:space="preserve"> immunity does not protect the defendants. They state the plaintiff's pleadings are insufficient to support a claim that the defendants were motivated by malice and lacked reasonable or probable cause for their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defendants also point to section 23 of the </w:t>
      </w:r>
      <w:r>
        <w:rPr>
          <w:rFonts w:ascii="arial" w:eastAsia="arial" w:hAnsi="arial" w:cs="arial"/>
          <w:i/>
          <w:color w:val="000000"/>
          <w:sz w:val="20"/>
          <w:lang w:val="en-US" w:eastAsia="en-US" w:bidi="ar-SA"/>
        </w:rPr>
        <w:t>Veterinarians Act</w:t>
      </w:r>
      <w:r>
        <w:rPr>
          <w:rFonts w:ascii="arial" w:eastAsia="arial" w:hAnsi="arial" w:cs="arial"/>
          <w:color w:val="000000"/>
          <w:sz w:val="20"/>
          <w:lang w:val="en-US" w:eastAsia="en-US" w:bidi="ar-SA"/>
        </w:rPr>
        <w:t xml:space="preserve">, which precludes claims against Council members or inquiry committees for anything done in good faith under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defendants' second argument is that the causes of action described as "discrimination or bias" and "bad faith conduct" are not civil causes of action and cannot support a claim against the defendants for damages. They also argue that the claims for "breach of fiduciary duty", "breach of trust"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fail because the plaintiff has not pleaded sufficient facts to support a finding in law that the defendants owed any duty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defendants also argue that the causes of action arising from a breach of section 6(2)(b) of the</w:t>
      </w:r>
      <w:r>
        <w:rPr>
          <w:rFonts w:ascii="arial" w:eastAsia="arial" w:hAnsi="arial" w:cs="arial"/>
          <w:i/>
          <w:color w:val="000000"/>
          <w:sz w:val="20"/>
          <w:lang w:val="en-US" w:eastAsia="en-US" w:bidi="ar-SA"/>
        </w:rPr>
        <w:t xml:space="preserve"> Charter</w:t>
      </w:r>
      <w:r>
        <w:rPr>
          <w:rFonts w:ascii="arial" w:eastAsia="arial" w:hAnsi="arial" w:cs="arial"/>
          <w:color w:val="000000"/>
          <w:sz w:val="20"/>
          <w:lang w:val="en-US" w:eastAsia="en-US" w:bidi="ar-SA"/>
        </w:rPr>
        <w:t>, malicious prosecution and abuse of process, are bare allegations of serious misconduct which cannot succeed in the absence of some facts or particulars to support the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third ground relied upon by these defendants is that the claim is based entirely upon decisions made by individuals in the course of performing duties while administering the disciplinary process of the BCVMA. They argue that the plaintiff is limited to challenging the decisions of this administrative body to judicial review and that it is not open to the plaintiff to pursue these parallel proceedings under the guise of a damages action. The issues raised in the judicial review were considered and decided against the plaintiff; he is precluded from bringing this action because it is a collateral attack on the decisions of Slade J. and the Court of Appeal. In fact, Slade J.'s decision was not appealed and Dr. Bajwa failed to obtain leave to appeal the Court of Appeal decision regarding the second judicial review. Therefore, it is argued, this action is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fourth ground advanced by the defendants is that the order of Davies J. precluded the plaintiff from commencing this action. In the 2005 Bajwa actions the plaintiff and others claimed that Valerie Osborne and the BCVMA discriminated against the plaintiff and caused him to suffer humiliation, embarrassment, emotional trauma, and financial hardship. He pleaded that Ms. Osborne and the BCVMA targeted the plaintiff for alleged misconduct that occurred in 2003 and prosecuted him in an attempt to retaliate for the plaintiff participating in a Human Rights Tribunal claim. The plaintiff also claimed that he was pursued for alleged misconduct by Ms. Osborne together with the BCVMA and that they were motivated by malice, bad faith, and wrongful interference with his right to pursue a livelihood as envisioned by section 6(2)(b)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BCVMA response to the claim under section 6(2)(b)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alluded to in the notice of civil claim was that there were insufficient facts pleaded to support this claim. They argue that this section is directed at interprovincial mobility limitations and not simply a right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Similar allegations appear to be repeated in this action. In this proceeding the notice of civil claim also alleges that the defendants were motivated by malice and acted without reasonable and probable cause. Dr. Bajwa says they acted in bad faith and wrongfully interfered with his right to pursue a livelihood as envisioned by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He pleads the defendants were guilty of a tortious abuse of process, malicious prosecution of vexatious, frivolous and bad faith complaints, and violated section 43(1) of the BCVMA bylaws, all of which caused the plaintiff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Paragraph 43(e) of the notice of civil claim is identical to paras. 29 and 30 of the 2005 Bajwa statement of claim in action No. S055936.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the 2005 Bajwa actions the plaintiff claimed that disciplinary inquiries and Council hearings were commenced for a collateral or improper purpose. That allegation is almost identical to the allegation at para. 71 of 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Thus, the defendants say that many of the claims in this action might or ought to have been brought in the 2005 Bajwa actions. They argue that the commencement of this action was in direct breach of the order of Davies J. prohibiting these claims and the current claims are therefore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plaintiff argues that his claims are based on the </w:t>
      </w:r>
      <w:r>
        <w:rPr>
          <w:rFonts w:ascii="arial" w:eastAsia="arial" w:hAnsi="arial" w:cs="arial"/>
          <w:i/>
          <w:color w:val="000000"/>
          <w:sz w:val="20"/>
          <w:lang w:val="en-US" w:eastAsia="en-US" w:bidi="ar-SA"/>
        </w:rPr>
        <w:t>Civil Rights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CRPA</w:t>
      </w:r>
      <w:r>
        <w:rPr>
          <w:rFonts w:ascii="arial" w:eastAsia="arial" w:hAnsi="arial" w:cs="arial"/>
          <w:color w:val="000000"/>
          <w:sz w:val="20"/>
          <w:lang w:val="en-US" w:eastAsia="en-US" w:bidi="ar-SA"/>
        </w:rPr>
        <w:t>] in addition to his other common law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plaintiff's principal argument is that he has an arguable claim for damages under the </w:t>
      </w:r>
      <w:r>
        <w:rPr>
          <w:rFonts w:ascii="arial" w:eastAsia="arial" w:hAnsi="arial" w:cs="arial"/>
          <w:i/>
          <w:color w:val="000000"/>
          <w:sz w:val="20"/>
          <w:lang w:val="en-US" w:eastAsia="en-US" w:bidi="ar-SA"/>
        </w:rPr>
        <w:t>CRPA</w:t>
      </w:r>
      <w:r>
        <w:rPr>
          <w:rFonts w:ascii="arial" w:eastAsia="arial" w:hAnsi="arial" w:cs="arial"/>
          <w:color w:val="000000"/>
          <w:sz w:val="20"/>
          <w:lang w:val="en-US" w:eastAsia="en-US" w:bidi="ar-SA"/>
        </w:rPr>
        <w:t xml:space="preserve"> and at common law the test for striking a statement of claim as disclosing no reasonable cause of action is whether it is plain and obvious that no reasonable cause of action is disclosed. If there is a chance that the plaintiff can succeed then he ought to be given the opportunity to proceed to trial. It should be dismissed only if it is certain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plaintiff also argues that the court is prohibited from determining any issue of fact or law and on this application my function is limited to determining whether there is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 on the material presented and in the context of the applicable law. He says there is a clear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 and the defendants' application should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argued that the Council decision to convene the second inquiry hearing was frivolous and vexatious. He argued that the Council ignored the findings of the first inquiry hearing without lawful reason and was guilty of bad faith in convening the second hearing. The Council also erred in refusing to compensate him for the expenses incurred in defending the first inquiry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plaintiff claims that the defendants issued a second set of charges on the same facts and knowingly prosecuted the plaintiff on those charges when the issues were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the BCVMA was </w:t>
      </w:r>
      <w:r>
        <w:rPr>
          <w:rFonts w:ascii="arial" w:eastAsia="arial" w:hAnsi="arial" w:cs="arial"/>
          <w:i/>
          <w:color w:val="000000"/>
          <w:sz w:val="20"/>
          <w:lang w:val="en-US" w:eastAsia="en-US" w:bidi="ar-SA"/>
        </w:rPr>
        <w:t>functus officio</w:t>
      </w:r>
      <w:r>
        <w:rPr>
          <w:rFonts w:ascii="arial" w:eastAsia="arial" w:hAnsi="arial" w:cs="arial"/>
          <w:color w:val="000000"/>
          <w:sz w:val="20"/>
          <w:lang w:val="en-US" w:eastAsia="en-US" w:bidi="ar-SA"/>
        </w:rPr>
        <w:t>. He says the BCVMA was malicious in proceeding with both disciplinary hearings on essentially the same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plaintiff argued that the Council decision to refer the matter to a second inquiry committee before a different panel constituted an error. He argued that a self-governing profession may only revisit a decision under these circumstances: if authorized by statute; if there had been a slip in drawing up the decision; or, if there was an error in expressing the tribunal's manifest intention; </w:t>
      </w:r>
      <w:r>
        <w:rPr>
          <w:rFonts w:ascii="arial" w:eastAsia="arial" w:hAnsi="arial" w:cs="arial"/>
          <w:i/>
          <w:color w:val="000000"/>
          <w:sz w:val="20"/>
          <w:lang w:val="en-US" w:eastAsia="en-US" w:bidi="ar-SA"/>
        </w:rPr>
        <w:t>Chandler v. Alberta Association of Architects,</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[1989] 2 S.C.R. 848</w:t>
        </w:r>
      </w:hyperlink>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He argued, relying on </w:t>
      </w:r>
      <w:r>
        <w:rPr>
          <w:rFonts w:ascii="arial" w:eastAsia="arial" w:hAnsi="arial" w:cs="arial"/>
          <w:i/>
          <w:color w:val="000000"/>
          <w:sz w:val="20"/>
          <w:lang w:val="en-US" w:eastAsia="en-US" w:bidi="ar-SA"/>
        </w:rPr>
        <w:t>Gardner v. Law Society of British Columbia</w:t>
      </w:r>
      <w:r>
        <w:rPr>
          <w:rFonts w:ascii="arial" w:eastAsia="arial" w:hAnsi="arial" w:cs="arial"/>
          <w:color w:val="000000"/>
          <w:sz w:val="20"/>
          <w:lang w:val="en-US" w:eastAsia="en-US" w:bidi="ar-SA"/>
        </w:rPr>
        <w:t xml:space="preserve"> </w:t>
      </w:r>
      <w:hyperlink r:id="rId529" w:history="1">
        <w:r>
          <w:rPr>
            <w:rFonts w:ascii="arial" w:eastAsia="arial" w:hAnsi="arial" w:cs="arial"/>
            <w:i/>
            <w:color w:val="0077CC"/>
            <w:sz w:val="20"/>
            <w:u w:val="single"/>
            <w:shd w:val="clear" w:color="auto" w:fill="FFFFFF"/>
            <w:lang w:val="en-US" w:eastAsia="en-US" w:bidi="ar-SA"/>
          </w:rPr>
          <w:t>(1991), 61 B.C.L.R. (2d) 219</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Ross v. British Columbia Psychological Association</w:t>
      </w:r>
      <w:r>
        <w:rPr>
          <w:rFonts w:ascii="arial" w:eastAsia="arial" w:hAnsi="arial" w:cs="arial"/>
          <w:color w:val="000000"/>
          <w:sz w:val="20"/>
          <w:lang w:val="en-US" w:eastAsia="en-US" w:bidi="ar-SA"/>
        </w:rPr>
        <w:t xml:space="preserve"> </w:t>
      </w:r>
      <w:hyperlink r:id="rId530" w:history="1">
        <w:r>
          <w:rPr>
            <w:rFonts w:ascii="arial" w:eastAsia="arial" w:hAnsi="arial" w:cs="arial"/>
            <w:i/>
            <w:color w:val="0077CC"/>
            <w:sz w:val="20"/>
            <w:u w:val="single"/>
            <w:shd w:val="clear" w:color="auto" w:fill="FFFFFF"/>
            <w:lang w:val="en-US" w:eastAsia="en-US" w:bidi="ar-SA"/>
          </w:rPr>
          <w:t>(1987), 19 B.C.L.R. (2d) 145</w:t>
        </w:r>
      </w:hyperlink>
      <w:r>
        <w:rPr>
          <w:rFonts w:ascii="arial" w:eastAsia="arial" w:hAnsi="arial" w:cs="arial"/>
          <w:color w:val="000000"/>
          <w:sz w:val="20"/>
          <w:lang w:val="en-US" w:eastAsia="en-US" w:bidi="ar-SA"/>
        </w:rPr>
        <w:t xml:space="preserve"> (C.A.) that there was no jurisdiction to investigate and bring disciplinary proceedings twice for the same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He also referred to </w:t>
      </w:r>
      <w:r>
        <w:rPr>
          <w:rFonts w:ascii="arial" w:eastAsia="arial" w:hAnsi="arial" w:cs="arial"/>
          <w:i/>
          <w:color w:val="000000"/>
          <w:sz w:val="20"/>
          <w:lang w:val="en-US" w:eastAsia="en-US" w:bidi="ar-SA"/>
        </w:rPr>
        <w:t>Quintette Coal Ltd. v. British Columbia (Commissioner of Social Service Tax)</w:t>
      </w:r>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(1990), 3 T.C.T. 5161</w:t>
        </w:r>
      </w:hyperlink>
      <w:r>
        <w:rPr>
          <w:rFonts w:ascii="arial" w:eastAsia="arial" w:hAnsi="arial" w:cs="arial"/>
          <w:color w:val="000000"/>
          <w:sz w:val="20"/>
          <w:lang w:val="en-US" w:eastAsia="en-US" w:bidi="ar-SA"/>
        </w:rPr>
        <w:t xml:space="preserve"> (B.C.S.C.), for the proposition that the Council had no authority to issue a second set of charges on the same facts. I observed that the Council did not issue a second set of charges solely on the same facts; they referred the previous charges and additional charges to a new committee following the decision of Slade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Pyper, counsel for the plaintiff, agreed that the Council had the power to refer the charges back to the committee but suggests that they acted on an improper foundation in making that referral. He argued that the Council erred in deciding to pursue the second hearing when they should have followed the majority findings on the facts proven in the first inquiry.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Bajwa also argued that the defendants demonstrated malice in relying on Slade J.'s decision in which he said it was "reasonable to direct a new hearing". Dr. Bajwa argued the defendants should have declined to order a new hearing and that the decision of Slade J. was not meant to authorize a new hearing but was intended to direct a re-examination of the first inquiry committee report. That proposition is not reflected in the court's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Mr. Pyper also argued that Dr. Bajwa's previous counsel advanced improper arguments before Slade J. Presumably, this is why Dr. Bajwa sued his former lawyer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conducting the first judicial review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Bajwa argued that Maureen Baird's conduct in advising and assisting the second inquiry committee was malicious and without reasonable and probable cause. I could not understand the plaintiff's argument regarding Ms. Baird's conduct in light of the fact she acted for the BCVMA alone and the claim against her was dismissed by consent. She provided legal services at the second inquiry; there was no claim that the BCVMA was liable for wrongs committed by Ms. Baird.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At one point, Dr. Bajwa focused his argument on the Council's failure to award him costs of the first inquiry. He argued that Dr. Bajwa had spent $86,000 on the process and the failure to award him compensation as a result of the second hearing was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defendants replied that costs remained an outstanding issue between the parties that should be resolved or dealt with at the conclusion of these disciplinary proceedings. At the time of argument, the appeal of the decision of Allan J. was outstanding and it was unclear if the outcome of the second inquiry would be upheld on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He argued that the BCVMA was guilty of abuse of process in referring the charges to a second inquiry committee. He relied on </w:t>
      </w:r>
      <w:r>
        <w:rPr>
          <w:rFonts w:ascii="arial" w:eastAsia="arial" w:hAnsi="arial" w:cs="arial"/>
          <w:i/>
          <w:color w:val="000000"/>
          <w:sz w:val="20"/>
          <w:lang w:val="en-US" w:eastAsia="en-US" w:bidi="ar-SA"/>
        </w:rPr>
        <w:t>Home Equity Development v. Crow,</w:t>
      </w:r>
      <w:r>
        <w:rPr>
          <w:rFonts w:ascii="arial" w:eastAsia="arial" w:hAnsi="arial" w:cs="arial"/>
          <w:color w:val="000000"/>
          <w:sz w:val="20"/>
          <w:lang w:val="en-US" w:eastAsia="en-US" w:bidi="ar-SA"/>
        </w:rPr>
        <w:t xml:space="preserve"> </w:t>
      </w:r>
      <w:hyperlink r:id="rId532" w:history="1">
        <w:r>
          <w:rPr>
            <w:rFonts w:ascii="arial" w:eastAsia="arial" w:hAnsi="arial" w:cs="arial"/>
            <w:i/>
            <w:color w:val="0077CC"/>
            <w:sz w:val="20"/>
            <w:u w:val="single"/>
            <w:shd w:val="clear" w:color="auto" w:fill="FFFFFF"/>
            <w:lang w:val="en-US" w:eastAsia="en-US" w:bidi="ar-SA"/>
          </w:rPr>
          <w:t>2002 BCSC 1688</w:t>
        </w:r>
      </w:hyperlink>
      <w:r>
        <w:rPr>
          <w:rFonts w:ascii="arial" w:eastAsia="arial" w:hAnsi="arial" w:cs="arial"/>
          <w:color w:val="000000"/>
          <w:sz w:val="20"/>
          <w:lang w:val="en-US" w:eastAsia="en-US" w:bidi="ar-SA"/>
        </w:rPr>
        <w:t xml:space="preserve"> for the proposition that the defendants' conduct subjected the plaintiff to a legal process for a collateral or improper purpose. He alleged that there had been an act or threat made in furtherance of that purpose and that Dr. Bajwa had suffered damages. Regrettably, the authority cited by counsel does not contain the ratio he attributed to the reasons. </w:t>
      </w:r>
      <w:r>
        <w:rPr>
          <w:rFonts w:ascii="arial" w:eastAsia="arial" w:hAnsi="arial" w:cs="arial"/>
          <w:i/>
          <w:color w:val="000000"/>
          <w:sz w:val="20"/>
          <w:lang w:val="en-US" w:eastAsia="en-US" w:bidi="ar-SA"/>
        </w:rPr>
        <w:t>Home Equity Development</w:t>
      </w:r>
      <w:r>
        <w:rPr>
          <w:rFonts w:ascii="arial" w:eastAsia="arial" w:hAnsi="arial" w:cs="arial"/>
          <w:color w:val="000000"/>
          <w:sz w:val="20"/>
          <w:lang w:val="en-US" w:eastAsia="en-US" w:bidi="ar-SA"/>
        </w:rPr>
        <w:t xml:space="preserve"> is a decision dealing with amendments to pleadings in a defamation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Dr. Bajwa argued that where he was required to allege malice he was not required to detail the particulars of that allegation. He said it is sufficient to allege malice, without setting out the circumstances from which it could be inferred. I was referred to Rule 19(23)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Reilly v. British Columbia (Attorney General),</w:t>
      </w:r>
      <w:r>
        <w:rPr>
          <w:rFonts w:ascii="arial" w:eastAsia="arial" w:hAnsi="arial" w:cs="arial"/>
          <w:color w:val="000000"/>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2006 BCSC 1323</w:t>
        </w:r>
      </w:hyperlink>
      <w:r>
        <w:rPr>
          <w:rFonts w:ascii="arial" w:eastAsia="arial" w:hAnsi="arial" w:cs="arial"/>
          <w:color w:val="000000"/>
          <w:sz w:val="20"/>
          <w:lang w:val="en-US" w:eastAsia="en-US" w:bidi="ar-SA"/>
        </w:rPr>
        <w:t xml:space="preserve">, rev'd </w:t>
      </w:r>
      <w:hyperlink r:id="rId534" w:history="1">
        <w:r>
          <w:rPr>
            <w:rFonts w:ascii="arial" w:eastAsia="arial" w:hAnsi="arial" w:cs="arial"/>
            <w:i/>
            <w:color w:val="0077CC"/>
            <w:sz w:val="20"/>
            <w:u w:val="single"/>
            <w:shd w:val="clear" w:color="auto" w:fill="FFFFFF"/>
            <w:lang w:val="en-US" w:eastAsia="en-US" w:bidi="ar-SA"/>
          </w:rPr>
          <w:t>2008 BCCA 167</w:t>
        </w:r>
      </w:hyperlink>
      <w:r>
        <w:rPr>
          <w:rFonts w:ascii="arial" w:eastAsia="arial" w:hAnsi="arial" w:cs="arial"/>
          <w:color w:val="000000"/>
          <w:sz w:val="20"/>
          <w:lang w:val="en-US" w:eastAsia="en-US" w:bidi="ar-SA"/>
        </w:rPr>
        <w:t>, at paras. 19-20.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Dr. Bajwa said that malice can be a reasonable inference drawn from facts pleaded and only if it is plain and obvious that the facts pleaded cannot lead to a finding of malice can the action be struck: </w:t>
      </w:r>
      <w:r>
        <w:rPr>
          <w:rFonts w:ascii="arial" w:eastAsia="arial" w:hAnsi="arial" w:cs="arial"/>
          <w:i/>
          <w:color w:val="000000"/>
          <w:sz w:val="20"/>
          <w:lang w:val="en-US" w:eastAsia="en-US" w:bidi="ar-SA"/>
        </w:rPr>
        <w:t>Miguna v. Toronto (City) Police Services Board</w:t>
      </w:r>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(2007), 155 A.C.W.S. (3d) 546</w:t>
        </w:r>
      </w:hyperlink>
      <w:r>
        <w:rPr>
          <w:rFonts w:ascii="arial" w:eastAsia="arial" w:hAnsi="arial" w:cs="arial"/>
          <w:color w:val="000000"/>
          <w:sz w:val="20"/>
          <w:lang w:val="en-US" w:eastAsia="en-US" w:bidi="ar-SA"/>
        </w:rPr>
        <w:t xml:space="preserve">, var'd </w:t>
      </w:r>
      <w:hyperlink r:id="rId536" w:history="1">
        <w:r>
          <w:rPr>
            <w:rFonts w:ascii="arial" w:eastAsia="arial" w:hAnsi="arial" w:cs="arial"/>
            <w:i/>
            <w:color w:val="0077CC"/>
            <w:sz w:val="20"/>
            <w:u w:val="single"/>
            <w:shd w:val="clear" w:color="auto" w:fill="FFFFFF"/>
            <w:lang w:val="en-US" w:eastAsia="en-US" w:bidi="ar-SA"/>
          </w:rPr>
          <w:t>2008 ONCA 799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Bajwa also argued that misfeasance in public office is a tort, but continues to evolve. He observed that the element of malice along with the degree of doctrinal instability makes misfeasance a potentially difficult claim to strike out at the pleadings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Bajwa attacked the arguments relating to Slade J. in support of the BCVMA position on the first judicial review as bizarre. Dr. Bajwa had not presented evidence for the first inquiry committee, apparently due to the indication from the committee that the charges would be dismissed. Because the Council is the body required to deal with guilt, it was important that he not be denied the opportunity to call evidence if the Council was to make a decision that might have been against his interests. This, coupled with the committee's error in suggesting the charges against him be dismissed resulted in commissioning the new inquiry committee. Dr. Bajwa believed this was an error on the part of Slade J. because Dr. Bajwa did not intend to give evidence in the face of the conclusions rendered by the first inquiry committee.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Bajwa also argued that the scope of the review by the Human Rights Tribunal did not extend to consideration of bias and fairness. He argues that the breaches of his entitlement to unbiased and fair disciplinary proceedings can only be achieved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On this application, Dr. Bajwa did not address the defendants' argument that his claim related to s. 6(2)(b)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should not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order for the defendants to succeed in this application I must be satisfied that it is plain and obvious on the existing pleadings that the plaintiff cannot succeed. While it is difficult to identify the actual substance of the plaintiff's claims they seem to be as follows:</w:t>
      </w:r>
      <w:r>
        <w:rPr>
          <w:rFonts w:ascii="arial" w:eastAsia="arial" w:hAnsi="arial" w:cs="arial"/>
          <w:sz w:val="20"/>
          <w:lang w:val="en-US" w:eastAsia="en-US" w:bidi="ar-SA"/>
        </w:rPr>
        <w:cr/>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commissioning of the first committee of inquiry was part of a discriminatory scheme by the BCVMA to exclude Indo-Canadian veterinarians from practising their profession in British Columbia largely because they provide services at substantially lower prices than were previously charged;</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report of the majority of the first inquiry committee ought to have been accepted and Dr. Bajwa left to carry on his new his practice;</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Forsyth's minority report was improperly delivered to the Council and the Council's response to the majority report was evidence of the BCVMA's discriminatory conduct;</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Council acted improperly in referring Dr. Bajwa's conduct to a second inquiry committee;</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second inquiry committee wrongly conducted a new hearing, ignoring findings that the charges had not been proven;</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Council acted improperly in levying penalties against Dr. Bajwa; and</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registrar and the BCVMA acted improperly in refusing to pay costs to the plaintiff arising from the first inquiry committee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One issue I must decide is whether or not the plaintiff's claims ought to be resolved as part of the Human Rights Tribunal process currently ongoing, as discussed by the Court of Appeal in </w:t>
      </w:r>
      <w:r>
        <w:rPr>
          <w:rFonts w:ascii="arial" w:eastAsia="arial" w:hAnsi="arial" w:cs="arial"/>
          <w:i/>
          <w:color w:val="000000"/>
          <w:sz w:val="20"/>
          <w:lang w:val="en-US" w:eastAsia="en-US" w:bidi="ar-SA"/>
        </w:rPr>
        <w:t>Bajwa.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Human Rights Tribunal and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Dr. Bajwa is one of the complainants in </w:t>
      </w:r>
      <w:r>
        <w:rPr>
          <w:rFonts w:ascii="arial" w:eastAsia="arial" w:hAnsi="arial" w:cs="arial"/>
          <w:i/>
          <w:color w:val="000000"/>
          <w:sz w:val="20"/>
          <w:lang w:val="en-US" w:eastAsia="en-US" w:bidi="ar-SA"/>
        </w:rPr>
        <w:t>Brar and others v. B.C. Veterinary Medical Association and Osborne</w:t>
      </w:r>
      <w:r>
        <w:rPr>
          <w:rFonts w:ascii="arial" w:eastAsia="arial" w:hAnsi="arial" w:cs="arial"/>
          <w:color w:val="000000"/>
          <w:sz w:val="20"/>
          <w:lang w:val="en-US" w:eastAsia="en-US" w:bidi="ar-SA"/>
        </w:rPr>
        <w:t xml:space="preserve">, </w:t>
      </w:r>
      <w:hyperlink r:id="rId537" w:history="1">
        <w:r>
          <w:rPr>
            <w:rFonts w:ascii="arial" w:eastAsia="arial" w:hAnsi="arial" w:cs="arial"/>
            <w:i/>
            <w:color w:val="0077CC"/>
            <w:sz w:val="20"/>
            <w:u w:val="single"/>
            <w:shd w:val="clear" w:color="auto" w:fill="FFFFFF"/>
            <w:lang w:val="en-US" w:eastAsia="en-US" w:bidi="ar-SA"/>
          </w:rPr>
          <w:t>2007 BCHRT 363</w:t>
        </w:r>
      </w:hyperlink>
      <w:r>
        <w:rPr>
          <w:rFonts w:ascii="arial" w:eastAsia="arial" w:hAnsi="arial" w:cs="arial"/>
          <w:color w:val="000000"/>
          <w:sz w:val="20"/>
          <w:lang w:val="en-US" w:eastAsia="en-US" w:bidi="ar-SA"/>
        </w:rPr>
        <w:t>. In reasons for denying the defendants' application to dismiss the complaints, the Tribunal wrote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The Complainants also allege that they are being discriminated and retaliated against by the BCVMA which they allege has unfairly and unequally targeted them through the licensing and disciplinary processes as opposed to non-Indo-Canadians. In essence, they allege that:</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professional conduct complaints against them, often without merit, are accepted and vigorously investigated when other similar, or even more serious complaints, are not pursued;</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not being offered consent resolution options which are provided to other BCVMA members;</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complaints, involving the Complainants, are being set for hearings, which are stressful, time consuming and expensive when other similar cases are not set for hearing;</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there may be a different version of the same event, the BCVMA pursues the allegations against the Indo-Canadian veterinarians but not against others;</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equal and reasonable level of procedural fairness is being denied to the Complainants during their licensing applications and at hearing;</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Inquiry panel hearings involving the Complainants have been improperly appointed contrary to the BCVMA's by-laws and the panels have refused to hear arguments pertaining to bias and discrimination against them. The panels have proceeded with an Inquiry despite legal counsel being unavailable, have considered inappropriate evidence, have proceeded on the basis of frivolous charges, have scheduled hearings on weekends and evenings, and the Registrar and BCVMA have interfered with witnesses;</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prohibited from telephoning, emailing or attending in person at the BCVMA. They are only allowed to fax communications to the BCVMA;</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warnings and/or sanctions that have been issued against the Complainants are disproportionate to what are normally issued against others;</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granting of their licences have been delayed and/or denied based on unfounded allegations;</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BCVMA has refused to respond to, or investigate, complaints that have been made by the Complainants against other non-Indo-Canadian veterinarians;</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have been subjected to unscheduled inspections of their clinics; and</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BCVMA has refused to immediately convene Special General Meetings that have been requested by the Complainants.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[67] The Tribunal has considered its jurisdiction </w:t>
      </w:r>
      <w:r>
        <w:rPr>
          <w:rFonts w:ascii="arial" w:eastAsia="arial" w:hAnsi="arial" w:cs="arial"/>
          <w:i/>
          <w:color w:val="000000"/>
          <w:sz w:val="20"/>
          <w:lang w:val="en-US" w:eastAsia="en-US" w:bidi="ar-SA"/>
        </w:rPr>
        <w:t>vis-à-vis</w:t>
      </w:r>
      <w:r>
        <w:rPr>
          <w:rFonts w:ascii="arial" w:eastAsia="arial" w:hAnsi="arial" w:cs="arial"/>
          <w:color w:val="000000"/>
          <w:sz w:val="20"/>
          <w:lang w:val="en-US" w:eastAsia="en-US" w:bidi="ar-SA"/>
        </w:rPr>
        <w:t xml:space="preserve"> complaints raising issues of discrimination that have been processed in other forums. </w:t>
      </w:r>
      <w:r>
        <w:rPr>
          <w:rFonts w:ascii="arial" w:eastAsia="arial" w:hAnsi="arial" w:cs="arial"/>
          <w:color w:val="000000"/>
          <w:sz w:val="20"/>
          <w:u w:val="single"/>
          <w:lang w:val="en-US" w:eastAsia="en-US" w:bidi="ar-SA"/>
        </w:rPr>
        <w:t xml:space="preserve">I have no difficulty finding that in the circumstances of this case, the Tribunal has jurisdiction to review the processing of complaints by the BCVMA, including the appointment of Inquiry panels and the nature and extent of the penalties imposed on its members if it is with regard to issues of discrimination under the </w:t>
      </w:r>
      <w:r>
        <w:rPr>
          <w:rFonts w:ascii="arial" w:eastAsia="arial" w:hAnsi="arial" w:cs="arial"/>
          <w:i/>
          <w:color w:val="000000"/>
          <w:sz w:val="20"/>
          <w:u w:val="single"/>
          <w:lang w:val="en-US" w:eastAsia="en-US" w:bidi="ar-SA"/>
        </w:rPr>
        <w:t>Code</w:t>
      </w:r>
      <w:r>
        <w:rPr>
          <w:rFonts w:ascii="arial" w:eastAsia="arial" w:hAnsi="arial" w:cs="arial"/>
          <w:color w:val="000000"/>
          <w:sz w:val="20"/>
          <w:u w:val="single"/>
          <w:lang w:val="en-US" w:eastAsia="en-US" w:bidi="ar-SA"/>
        </w:rPr>
        <w:t>.</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pleadings indicate that the decisions to continue disciplinary procedures against Dr. Bajwa were due to his race. It seems to me that if Dr. Bajwa was denied fairness or experienced bias in the disciplinary process and either of those complaints stemmed from his identity as an Indo-Canadian veterinarian, then bias or fairness would remain an issue to be resolved by the Tribunal. This accords with the Court of Appeal decision in </w:t>
      </w:r>
      <w:r>
        <w:rPr>
          <w:rFonts w:ascii="arial" w:eastAsia="arial" w:hAnsi="arial" w:cs="arial"/>
          <w:i/>
          <w:color w:val="000000"/>
          <w:sz w:val="20"/>
          <w:lang w:val="en-US" w:eastAsia="en-US" w:bidi="ar-SA"/>
        </w:rPr>
        <w:t>Bajwa.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 argued that same decision presents a conundrum for the plaintiff because the issue of institutional bias must be dealt with by the Human Rights Tribunal. He argues that the Human Rights Tribunal is limited to dealing with issues pertaining to discrimination and that bias and fairness remain issues to be resolved by this Court. The notice of civil claim is replete with references to allegations that the BCVMA disciplinary process was infused with institutional bias and intended to eradicate Indo-Canadian veterinarians from practising veterinary medicine in BC. This issue was dealt with in the Court of Appeal on the appeal from Allan J.'s decision arising from the second inquiry committee. The plaintiff took his complaints of bias and systemic discrimination to the Human Rights Tribunal. He has availed himself of all judicial remedies available and, owing to his lack of success in those proceedings, now pursues damages based largely on the decision-making of the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essence of the plaintiff's claim is that due to institutional bias, discriminatory attitudes, and maliciousness, the defendants made errors in the disciplinary decision-making process in the exercise of the BCVMA's statutory powers by the Council members. These decisions led to unfavorable outcomes in the second disciplinary hearing and two subsequent judicial review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On the appeal from the second judicial review application the Court of Appeal concluded that the Human Rights Tribunal was engaged in examination of the very broad context of the conduct of the BCVMA in discipline and licensing procedures. In the disciplinary proceeding before the court, they concluded that Dr. Bajwa wanted a ruling on the very matters that form the core of the Human Rights Tribunal proceedings. They concluded that the judicial review process was a duplication and waste of adjudicative resources because the inquiry before the Council could not bring finality to the issue while the broad spectrum of complaints was before the Human Rights Tribunal. On the basis that the public interest favors an avoidance of duplication of litigation, potential inconsistent results, undue costs, and inconclusive proceedings, the issues were left to be decided by the Human Rights Tribunal.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principle articulated by the Court of Appeal is apposite to this action. The issue between Dr. Bajwa and the BCVMA arising from his allegation of institutional bias must be resolved by the Human Rights Tribunal. The claim in this action is also more properly described as one manifesting a discriminatory attitude to Dr. Bajwa because of his racial origin and practice of alleged low cost veterinary medicine. The notice of civil claim targets the disciplinary process administered by the BCVMA and its staff. In the words of Mr. Justice Hall in </w:t>
      </w:r>
      <w:r>
        <w:rPr>
          <w:rFonts w:ascii="arial" w:eastAsia="arial" w:hAnsi="arial" w:cs="arial"/>
          <w:i/>
          <w:color w:val="000000"/>
          <w:sz w:val="20"/>
          <w:lang w:val="en-US" w:eastAsia="en-US" w:bidi="ar-SA"/>
        </w:rPr>
        <w:t>Bajwa</w:t>
      </w:r>
      <w:r>
        <w:rPr>
          <w:rFonts w:ascii="arial" w:eastAsia="arial" w:hAnsi="arial" w:cs="arial"/>
          <w:color w:val="000000"/>
          <w:sz w:val="20"/>
          <w:lang w:val="en-US" w:eastAsia="en-US" w:bidi="ar-SA"/>
        </w:rPr>
        <w:t>, the Human Rights proceedings are truly "parallel proceedings" seeking remedies for the same core complaints which are the subject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It appears to me the outcome of Human Rights Tribunal proceeding may impact Dr. Bajwa's right revisit the disciplinary decisions made by the Council. However, the origins of his claims in this proceeding are found in the alleged discriminatory motives of the BCVMA and their actions taken maliciously and without reasonable or probable cause. The issues central to this action are squarely before the Human Rights Tribunal. There will be a waste of adjudicative resources to have issues of bias and discrimination decided in this proceeding. There is the real possibility of inconsistent findings between the Court and the Tribunal. As a such I conclude that continuation of this action will be an abuse of process and should be stayed to preserve the integrity of legal processes against such an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It is important to note that public policy proscribes claims properly made to the Human Rights Tribunal as inappropriate for resolution by civil action. See </w:t>
      </w:r>
      <w:r>
        <w:rPr>
          <w:rFonts w:ascii="arial" w:eastAsia="arial" w:hAnsi="arial" w:cs="arial"/>
          <w:i/>
          <w:color w:val="000000"/>
          <w:sz w:val="20"/>
          <w:lang w:val="en-US" w:eastAsia="en-US" w:bidi="ar-SA"/>
        </w:rPr>
        <w:t>Seneca College of Applied Arts and Technology v. Bhadauria</w:t>
      </w:r>
      <w:r>
        <w:rPr>
          <w:rFonts w:ascii="arial" w:eastAsia="arial" w:hAnsi="arial" w:cs="arial"/>
          <w:color w:val="000000"/>
          <w:sz w:val="20"/>
          <w:lang w:val="en-US" w:eastAsia="en-US" w:bidi="ar-SA"/>
        </w:rPr>
        <w:t xml:space="preserve">, </w:t>
      </w:r>
      <w:hyperlink r:id="rId538" w:history="1">
        <w:r>
          <w:rPr>
            <w:rFonts w:ascii="arial" w:eastAsia="arial" w:hAnsi="arial" w:cs="arial"/>
            <w:i/>
            <w:color w:val="0077CC"/>
            <w:sz w:val="20"/>
            <w:u w:val="single"/>
            <w:shd w:val="clear" w:color="auto" w:fill="FFFFFF"/>
            <w:lang w:val="en-US" w:eastAsia="en-US" w:bidi="ar-SA"/>
          </w:rPr>
          <w:t>[1981] 2 S.C.R. 181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Honda Canada Inc. v. Keays</w:t>
      </w:r>
      <w:r>
        <w:rPr>
          <w:rFonts w:ascii="arial" w:eastAsia="arial" w:hAnsi="arial" w:cs="arial"/>
          <w:color w:val="000000"/>
          <w:sz w:val="20"/>
          <w:lang w:val="en-US" w:eastAsia="en-US" w:bidi="ar-SA"/>
        </w:rPr>
        <w:t xml:space="preserve">, </w:t>
      </w:r>
      <w:hyperlink r:id="rId539" w:history="1">
        <w:r>
          <w:rPr>
            <w:rFonts w:ascii="arial" w:eastAsia="arial" w:hAnsi="arial" w:cs="arial"/>
            <w:i/>
            <w:color w:val="0077CC"/>
            <w:sz w:val="20"/>
            <w:u w:val="single"/>
            <w:shd w:val="clear" w:color="auto" w:fill="FFFFFF"/>
            <w:lang w:val="en-US" w:eastAsia="en-US" w:bidi="ar-SA"/>
          </w:rPr>
          <w:t>2008 SCC 39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It is unclear to me how a decision favorable to Dr. Bajwa from the Tribunal will affect his right to a review of the disciplinary proceedings and penalties imposed against him; that issue cannot be decided at this time or in this proceeding. In my view the plaintiff's claims in the notice of civil claim raising these issues should be struck out for the reasons set out in this judgment. If I am wrong in these conclusions I would stay the proceedings in regard to these claims pending the results of the Human Rights Tribunal.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Collateral Attack and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defendants argue that the plaintiff's claim is a collateral attack on the BCVMA second inquiry result, the Slade J. and the Court of Appeal decision. If the plaintiff 's attack in this action depends on a finding contrary to the courts' decisions on the judicial reviews, then the claims made are impermissible collateral attacks: </w:t>
      </w:r>
      <w:r>
        <w:rPr>
          <w:rFonts w:ascii="arial" w:eastAsia="arial" w:hAnsi="arial" w:cs="arial"/>
          <w:i/>
          <w:color w:val="000000"/>
          <w:sz w:val="20"/>
          <w:lang w:val="en-US" w:eastAsia="en-US" w:bidi="ar-SA"/>
        </w:rPr>
        <w:t>Canada (Attorney General) v. TeleZone Inc.,</w:t>
      </w:r>
      <w:r>
        <w:rPr>
          <w:rFonts w:ascii="arial" w:eastAsia="arial" w:hAnsi="arial" w:cs="arial"/>
          <w:color w:val="000000"/>
          <w:sz w:val="20"/>
          <w:lang w:val="en-US" w:eastAsia="en-US" w:bidi="ar-SA"/>
        </w:rPr>
        <w:t xml:space="preserve"> </w:t>
      </w:r>
      <w:hyperlink r:id="rId540" w:history="1">
        <w:r>
          <w:rPr>
            <w:rFonts w:ascii="arial" w:eastAsia="arial" w:hAnsi="arial" w:cs="arial"/>
            <w:i/>
            <w:color w:val="0077CC"/>
            <w:sz w:val="20"/>
            <w:u w:val="single"/>
            <w:shd w:val="clear" w:color="auto" w:fill="FFFFFF"/>
            <w:lang w:val="en-US" w:eastAsia="en-US" w:bidi="ar-SA"/>
          </w:rPr>
          <w:t>2010 SCC 62</w:t>
        </w:r>
      </w:hyperlink>
      <w:r>
        <w:rPr>
          <w:rFonts w:ascii="arial" w:eastAsia="arial" w:hAnsi="arial" w:cs="arial"/>
          <w:color w:val="000000"/>
          <w:sz w:val="20"/>
          <w:lang w:val="en-US" w:eastAsia="en-US" w:bidi="ar-SA"/>
        </w:rPr>
        <w:t xml:space="preserve"> at paras. 65 and 66. In the result, Dr. Bajwa's claim would be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Alternatively, if the specific object of the plaintiff's action does not require the court to invalidate or render inoperative those orders to recover damages caused by the decisions of the Council and the second inquiry committee, then his action is not a collateral attack on those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my view if the BCVMA disciplinary process, the results of the second inquiry and the resulting court decisions are valid, then Dr. Bajwa's claims fail as a collateral attack because an essential element of the claims has been resolved against him in those proceedings. It will be an abuse of process to continue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at para. 60, Mr. Justice Binnie quoted </w:t>
      </w:r>
      <w:r>
        <w:rPr>
          <w:rFonts w:ascii="arial" w:eastAsia="arial" w:hAnsi="arial" w:cs="arial"/>
          <w:i/>
          <w:color w:val="000000"/>
          <w:sz w:val="20"/>
          <w:lang w:val="en-US" w:eastAsia="en-US" w:bidi="ar-SA"/>
        </w:rPr>
        <w:t>Wilson v. The Queen,</w:t>
      </w:r>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[1983] 2 S.C.R. 594</w:t>
        </w:r>
      </w:hyperlink>
      <w:r>
        <w:rPr>
          <w:rFonts w:ascii="arial" w:eastAsia="arial" w:hAnsi="arial" w:cs="arial"/>
          <w:color w:val="000000"/>
          <w:sz w:val="20"/>
          <w:lang w:val="en-US" w:eastAsia="en-US" w:bidi="ar-SA"/>
        </w:rPr>
        <w:t xml:space="preserve"> at 599 in defining a collateral attack as "an attack made in proceedings other than those whose specific object is the reversal, variation, or nullification of the order or judgment." He also referred to </w:t>
      </w:r>
      <w:r>
        <w:rPr>
          <w:rFonts w:ascii="arial" w:eastAsia="arial" w:hAnsi="arial" w:cs="arial"/>
          <w:i/>
          <w:color w:val="000000"/>
          <w:sz w:val="20"/>
          <w:lang w:val="en-US" w:eastAsia="en-US" w:bidi="ar-SA"/>
        </w:rPr>
        <w:t>R. v. Litchfield</w:t>
      </w:r>
      <w:r>
        <w:rPr>
          <w:rFonts w:ascii="arial" w:eastAsia="arial" w:hAnsi="arial" w:cs="arial"/>
          <w:color w:val="000000"/>
          <w:sz w:val="20"/>
          <w:lang w:val="en-US" w:eastAsia="en-US" w:bidi="ar-SA"/>
        </w:rPr>
        <w:t xml:space="preserve">, </w:t>
      </w:r>
      <w:hyperlink r:id="rId542" w:history="1">
        <w:r>
          <w:rPr>
            <w:rFonts w:ascii="arial" w:eastAsia="arial" w:hAnsi="arial" w:cs="arial"/>
            <w:i/>
            <w:color w:val="0077CC"/>
            <w:sz w:val="20"/>
            <w:u w:val="single"/>
            <w:shd w:val="clear" w:color="auto" w:fill="FFFFFF"/>
            <w:lang w:val="en-US" w:eastAsia="en-US" w:bidi="ar-SA"/>
          </w:rPr>
          <w:t>[1993] 4 S.C.R. 333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Garland v. Consumers' Gas Co.,</w:t>
      </w:r>
      <w:r>
        <w:rPr>
          <w:rFonts w:ascii="arial" w:eastAsia="arial" w:hAnsi="arial" w:cs="arial"/>
          <w:color w:val="000000"/>
          <w:sz w:val="20"/>
          <w:lang w:val="en-US" w:eastAsia="en-US" w:bidi="ar-SA"/>
        </w:rPr>
        <w:t xml:space="preserve"> </w:t>
      </w:r>
      <w:hyperlink r:id="rId543" w:history="1">
        <w:r>
          <w:rPr>
            <w:rFonts w:ascii="arial" w:eastAsia="arial" w:hAnsi="arial" w:cs="arial"/>
            <w:i/>
            <w:color w:val="0077CC"/>
            <w:sz w:val="20"/>
            <w:u w:val="single"/>
            <w:shd w:val="clear" w:color="auto" w:fill="FFFFFF"/>
            <w:lang w:val="en-US" w:eastAsia="en-US" w:bidi="ar-SA"/>
          </w:rPr>
          <w:t>2004 SCC 25</w:t>
        </w:r>
      </w:hyperlink>
      <w:r>
        <w:rPr>
          <w:rFonts w:ascii="arial" w:eastAsia="arial" w:hAnsi="arial" w:cs="arial"/>
          <w:color w:val="000000"/>
          <w:sz w:val="20"/>
          <w:lang w:val="en-US" w:eastAsia="en-US" w:bidi="ar-SA"/>
        </w:rPr>
        <w:t>, quoting this passage from the latter: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a plain reading of this rule, the doctrine of collateral attack does not apply in this case because here the specific object of the appellant's action is not to invalidate or render inoperative the Board's orders, but rather to recover money that was illegally collected by the respondent as a result of Board orders. Consequently, the collateral attack doctrine does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policy underlying the rule against collateral attacks is to maintain the rule of law and to preserve the integrity of the justice system. The purpose is to prevent parties from circumventing the effect of a decision against them by going to another forum to escape the consequences of a prior decision: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at para. 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Mr. Justice Binnie also said the following in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[66] Thirdly, the Attorney General's argument fails even if one takes a more expansive view of the doctrine of collateral attack, as does Professor David Mullan: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cause of action [in </w:t>
      </w:r>
      <w:r>
        <w:rPr>
          <w:rFonts w:ascii="arial" w:eastAsia="arial" w:hAnsi="arial" w:cs="arial"/>
          <w:i/>
          <w:color w:val="000000"/>
          <w:sz w:val="20"/>
          <w:lang w:val="en-US" w:eastAsia="en-US" w:bidi="ar-SA"/>
        </w:rPr>
        <w:t>Garland</w:t>
      </w:r>
      <w:r>
        <w:rPr>
          <w:rFonts w:ascii="arial" w:eastAsia="arial" w:hAnsi="arial" w:cs="arial"/>
          <w:color w:val="000000"/>
          <w:sz w:val="20"/>
          <w:lang w:val="en-US" w:eastAsia="en-US" w:bidi="ar-SA"/>
        </w:rPr>
        <w:t xml:space="preserve">] depended necessarily on establishing the invalidity of the Board's order on which the utility was relying in collecting interest. If the order had been valid, there would have been no cause of action. This was in every sense a collateral attack on the Board's orders. Collateral attack is not and never has been confined to situations where the challenge is by way of resistance to the enforcement of an order. </w:t>
      </w:r>
      <w:r>
        <w:rPr>
          <w:rFonts w:ascii="arial" w:eastAsia="arial" w:hAnsi="arial" w:cs="arial"/>
          <w:color w:val="000000"/>
          <w:sz w:val="20"/>
          <w:u w:val="single"/>
          <w:lang w:val="en-US" w:eastAsia="en-US" w:bidi="ar-SA"/>
        </w:rPr>
        <w:t>It is also implicated in situations where someone, in asserting a civil claim for monetary or other relief, needs to attack a law or order that the defendant is advancing as justification for the actions on which the plaintiff's claim is based.</w:t>
      </w:r>
      <w:r>
        <w:rPr>
          <w:rFonts w:ascii="arial" w:eastAsia="arial" w:hAnsi="arial" w:cs="arial"/>
          <w:color w:val="000000"/>
          <w:sz w:val="20"/>
          <w:lang w:val="en-US" w:eastAsia="en-US" w:bidi="ar-SA"/>
        </w:rPr>
        <w:t xml:space="preserve"> . . . [Emphasis added.]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(D. J. Mullan, "Administrative Law Update -- 2008-2009", prepared for the Continuing Legal Education conference, </w:t>
      </w:r>
      <w:r>
        <w:rPr>
          <w:rFonts w:ascii="arial" w:eastAsia="arial" w:hAnsi="arial" w:cs="arial"/>
          <w:i/>
          <w:color w:val="000000"/>
          <w:sz w:val="20"/>
          <w:lang w:val="en-US" w:eastAsia="en-US" w:bidi="ar-SA"/>
        </w:rPr>
        <w:t>Administrative Law Conference -- 2009</w:t>
      </w:r>
      <w:r>
        <w:rPr>
          <w:rFonts w:ascii="arial" w:eastAsia="arial" w:hAnsi="arial" w:cs="arial"/>
          <w:color w:val="000000"/>
          <w:sz w:val="20"/>
          <w:lang w:val="en-US" w:eastAsia="en-US" w:bidi="ar-SA"/>
        </w:rPr>
        <w:t>, October 2009, at p. 1.1.22.)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[67] Judicial doctrine necessarily yields to a contrary statutory enactment. Accepting, as Professor Mullan puts it, at p. 1.1.22, that the rule against collateral attack may be "implicated in situations where someone, in asserting a civil claim for monetary or other relief, needs to attack a law or order that the defendant is advancing as justification for the actions on which the plaintiff's claim is based", the s. 17 statutory grant of concurrent jurisdiction again defeats the Attorney General's submission. This is because the claimant's "need to attack a law or order" is essential to its cause of action, and adjudication of that allegation (even if raised by way of reply) is a necessary step in disposing of the claim. Parliament has stated that provincial superior courts possess the concurrent necessary jurisdiction to dispose of the whole of such a claim, not just part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first issue is to consider whether the plaintiff's action for damages is an attempt to circumvent the decisions of the courts that have reviewed the BCVMA disciplinary processes and decisions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Veterinarians Act</w:t>
      </w:r>
      <w:r>
        <w:rPr>
          <w:rFonts w:ascii="arial" w:eastAsia="arial" w:hAnsi="arial" w:cs="arial"/>
          <w:color w:val="000000"/>
          <w:sz w:val="20"/>
          <w:lang w:val="en-US" w:eastAsia="en-US" w:bidi="ar-SA"/>
        </w:rPr>
        <w:t xml:space="preserve"> contained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(1) The council may, and </w:t>
      </w:r>
      <w:r>
        <w:rPr>
          <w:rFonts w:ascii="arial" w:eastAsia="arial" w:hAnsi="arial" w:cs="arial"/>
          <w:color w:val="000000"/>
          <w:sz w:val="20"/>
          <w:u w:val="single"/>
          <w:lang w:val="en-US" w:eastAsia="en-US" w:bidi="ar-SA"/>
        </w:rPr>
        <w:t>if it is requested in writing to do so by 3 members in good standing must,</w:t>
      </w:r>
      <w:r>
        <w:rPr>
          <w:rFonts w:ascii="arial" w:eastAsia="arial" w:hAnsi="arial" w:cs="arial"/>
          <w:color w:val="000000"/>
          <w:sz w:val="20"/>
          <w:lang w:val="en-US" w:eastAsia="en-US" w:bidi="ar-SA"/>
        </w:rPr>
        <w:t xml:space="preserve"> cause an inquiry to be made by an inquiry committee into a charge or complaint made against a member or into the conduct or mental condition or capability or fitness to practise of a member of the association.</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observe that the first inquiry committee and second inquiry committee were commissioned by the Council in response to written requests from more than three members of the BCVMA. As a result, the Council was obliged by the statute to cause an inquiry committee to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charges reported on by the second inquiry committee included complaints from 2004, 2005 and 2007. The plaintiff does not now challenge the order or findings of the either inquiry committee or the Council. His claims rest on the following:</w:t>
      </w:r>
      <w:r>
        <w:rPr>
          <w:rFonts w:ascii="arial" w:eastAsia="arial" w:hAnsi="arial" w:cs="arial"/>
          <w:sz w:val="20"/>
          <w:lang w:val="en-US" w:eastAsia="en-US" w:bidi="ar-SA"/>
        </w:rPr>
        <w:cr/>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decisions made to commence and continue the 2004, 2005 and 2007 complaints;</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decisions made to deny him the right to raise the issue of institutional bias; and</w:t>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decisions were made for an improper purpose, maliciously, in bad faith, and without reasonable and probable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Bajwa unsuccessfully challenged the decision of the Council to remit the charges from the first inquiry to a second inquiry committee. He unsuccessfully challenged the second inquiry committee's refusal to permit him to lead evidence of institutional bias at the hearing. He exhausted his right to judicial review and was denied leave to appeal to the Supreme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the circumstances of this case Dr. Bajwa was obliged to pursue judicial review if he wanted to avoid the consequences of those decisions. To achieve a successful outcome in this action would, in my view, require a court to reach a different conclusion than was reached by Slade J. and Hall J.A. in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Where a statutory appeal of a tribunal decision is provided for, an individual is not permitted to start proceedings which collaterally attack that decision. In </w:t>
      </w:r>
      <w:r>
        <w:rPr>
          <w:rFonts w:ascii="arial" w:eastAsia="arial" w:hAnsi="arial" w:cs="arial"/>
          <w:i/>
          <w:color w:val="000000"/>
          <w:sz w:val="20"/>
          <w:lang w:val="en-US" w:eastAsia="en-US" w:bidi="ar-SA"/>
        </w:rPr>
        <w:t>Stephen</w:t>
      </w:r>
      <w:r>
        <w:rPr>
          <w:rFonts w:ascii="arial" w:eastAsia="arial" w:hAnsi="arial" w:cs="arial"/>
          <w:color w:val="000000"/>
          <w:sz w:val="20"/>
          <w:lang w:val="en-US" w:eastAsia="en-US" w:bidi="ar-SA"/>
        </w:rPr>
        <w:t xml:space="preserve"> the Court stated at para. 51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In determining whether proceedings constitute an abuse of process, the court may consider whether there have been multiple or successive related proceedings that are likely to cause vexation or oppression. In particular, </w:t>
      </w:r>
      <w:r>
        <w:rPr>
          <w:rFonts w:ascii="arial" w:eastAsia="arial" w:hAnsi="arial" w:cs="arial"/>
          <w:color w:val="000000"/>
          <w:sz w:val="20"/>
          <w:u w:val="single"/>
          <w:lang w:val="en-US" w:eastAsia="en-US" w:bidi="ar-SA"/>
        </w:rPr>
        <w:t>it is an abuse of court process to use a civil action to collaterally challenge decisions of an administrative tribunal that are otherwise subject to a statutory right of appeal or review</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Borzoni</w:t>
      </w:r>
      <w:r>
        <w:rPr>
          <w:rFonts w:ascii="arial" w:eastAsia="arial" w:hAnsi="arial" w:cs="arial"/>
          <w:color w:val="000000"/>
          <w:sz w:val="20"/>
          <w:lang w:val="en-US" w:eastAsia="en-US" w:bidi="ar-SA"/>
        </w:rPr>
        <w:t xml:space="preserve"> at paras. 65-66; </w:t>
      </w:r>
      <w:r>
        <w:rPr>
          <w:rFonts w:ascii="arial" w:eastAsia="arial" w:hAnsi="arial" w:cs="arial"/>
          <w:i/>
          <w:color w:val="000000"/>
          <w:sz w:val="20"/>
          <w:lang w:val="en-US" w:eastAsia="en-US" w:bidi="ar-SA"/>
        </w:rPr>
        <w:t>Gemex Developments Corp. v. Coquitlam (City)</w:t>
      </w:r>
      <w:r>
        <w:rPr>
          <w:rFonts w:ascii="arial" w:eastAsia="arial" w:hAnsi="arial" w:cs="arial"/>
          <w:color w:val="000000"/>
          <w:sz w:val="20"/>
          <w:lang w:val="en-US" w:eastAsia="en-US" w:bidi="ar-SA"/>
        </w:rPr>
        <w:t xml:space="preserve">, </w:t>
      </w:r>
      <w:hyperlink r:id="rId544" w:history="1">
        <w:r>
          <w:rPr>
            <w:rFonts w:ascii="arial" w:eastAsia="arial" w:hAnsi="arial" w:cs="arial"/>
            <w:i/>
            <w:color w:val="0077CC"/>
            <w:sz w:val="20"/>
            <w:u w:val="single"/>
            <w:shd w:val="clear" w:color="auto" w:fill="FFFFFF"/>
            <w:lang w:val="en-US" w:eastAsia="en-US" w:bidi="ar-SA"/>
          </w:rPr>
          <w:t>2002 BCSC 412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Varzeliotis (c.o.b.) v. British Columbia</w:t>
      </w:r>
      <w:r>
        <w:rPr>
          <w:rFonts w:ascii="arial" w:eastAsia="arial" w:hAnsi="arial" w:cs="arial"/>
          <w:color w:val="000000"/>
          <w:sz w:val="20"/>
          <w:lang w:val="en-US" w:eastAsia="en-US" w:bidi="ar-SA"/>
        </w:rPr>
        <w:t xml:space="preserve">, </w:t>
      </w:r>
      <w:hyperlink r:id="rId545" w:history="1">
        <w:r>
          <w:rPr>
            <w:rFonts w:ascii="arial" w:eastAsia="arial" w:hAnsi="arial" w:cs="arial"/>
            <w:i/>
            <w:color w:val="0077CC"/>
            <w:sz w:val="20"/>
            <w:u w:val="single"/>
            <w:shd w:val="clear" w:color="auto" w:fill="FFFFFF"/>
            <w:lang w:val="en-US" w:eastAsia="en-US" w:bidi="ar-SA"/>
          </w:rPr>
          <w:t>2007 BCSC 620</w:t>
        </w:r>
      </w:hyperlink>
      <w:r>
        <w:rPr>
          <w:rFonts w:ascii="arial" w:eastAsia="arial" w:hAnsi="arial" w:cs="arial"/>
          <w:color w:val="000000"/>
          <w:sz w:val="20"/>
          <w:lang w:val="en-US" w:eastAsia="en-US" w:bidi="ar-SA"/>
        </w:rPr>
        <w:t>.</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This principle was also discussed in </w:t>
      </w:r>
      <w:r>
        <w:rPr>
          <w:rFonts w:ascii="arial" w:eastAsia="arial" w:hAnsi="arial" w:cs="arial"/>
          <w:i/>
          <w:color w:val="000000"/>
          <w:sz w:val="20"/>
          <w:lang w:val="en-US" w:eastAsia="en-US" w:bidi="ar-SA"/>
        </w:rPr>
        <w:t>Berscheid v. Ensign,</w:t>
      </w:r>
      <w:r>
        <w:rPr>
          <w:rFonts w:ascii="arial" w:eastAsia="arial" w:hAnsi="arial" w:cs="arial"/>
          <w:color w:val="000000"/>
          <w:sz w:val="20"/>
          <w:lang w:val="en-US" w:eastAsia="en-US" w:bidi="ar-SA"/>
        </w:rPr>
        <w:t xml:space="preserve"> </w:t>
      </w:r>
      <w:hyperlink r:id="rId546" w:history="1">
        <w:r>
          <w:rPr>
            <w:rFonts w:ascii="arial" w:eastAsia="arial" w:hAnsi="arial" w:cs="arial"/>
            <w:i/>
            <w:color w:val="0077CC"/>
            <w:sz w:val="20"/>
            <w:u w:val="single"/>
            <w:shd w:val="clear" w:color="auto" w:fill="FFFFFF"/>
            <w:lang w:val="en-US" w:eastAsia="en-US" w:bidi="ar-SA"/>
          </w:rPr>
          <w:t>[1999] B.C.J. No. 1172</w:t>
        </w:r>
      </w:hyperlink>
      <w:r>
        <w:rPr>
          <w:rFonts w:ascii="arial" w:eastAsia="arial" w:hAnsi="arial" w:cs="arial"/>
          <w:color w:val="000000"/>
          <w:sz w:val="20"/>
          <w:lang w:val="en-US" w:eastAsia="en-US" w:bidi="ar-SA"/>
        </w:rPr>
        <w:t xml:space="preserve"> (S.C.), where the Court said this at paras. 50 to 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It should be noted there is a valid important distinction between a judicial review and other types of proceedings which, for policy reasons, ought to be maintained: </w:t>
      </w:r>
      <w:r>
        <w:rPr>
          <w:rFonts w:ascii="arial" w:eastAsia="arial" w:hAnsi="arial" w:cs="arial"/>
          <w:i/>
          <w:color w:val="000000"/>
          <w:sz w:val="20"/>
          <w:lang w:val="en-US" w:eastAsia="en-US" w:bidi="ar-SA"/>
        </w:rPr>
        <w:t>O'Reilly et al v. Mackmin et al</w:t>
      </w:r>
      <w:r>
        <w:rPr>
          <w:rFonts w:ascii="arial" w:eastAsia="arial" w:hAnsi="arial" w:cs="arial"/>
          <w:color w:val="000000"/>
          <w:sz w:val="20"/>
          <w:lang w:val="en-US" w:eastAsia="en-US" w:bidi="ar-SA"/>
        </w:rPr>
        <w:t xml:space="preserve">, [1983] 2 A.C. 237 (H.L.). As our Court of Appeal has recognized, it would be a retrograde step to sublimate the process of judicial review with civil litigation: </w:t>
      </w:r>
      <w:r>
        <w:rPr>
          <w:rFonts w:ascii="arial" w:eastAsia="arial" w:hAnsi="arial" w:cs="arial"/>
          <w:i/>
          <w:color w:val="000000"/>
          <w:sz w:val="20"/>
          <w:lang w:val="en-US" w:eastAsia="en-US" w:bidi="ar-SA"/>
        </w:rPr>
        <w:t>Lawson v. British Columbia</w:t>
      </w:r>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(1992), 63 B.C.L.R. (2d) 334</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As a result of this distinction between judicial review and civil litigation, a party cannot seek a remedy statutorily provided for by judicial review through civil proceedings. Such an evasion of the judicial review process is known as a collateral attack and is prohibited. Where the legislature clearly intends to confer jurisdiction on an appeal tribunal to hear and determine certain matters, the court lacks the jurisdiction to do so: </w:t>
      </w:r>
      <w:r>
        <w:rPr>
          <w:rFonts w:ascii="arial" w:eastAsia="arial" w:hAnsi="arial" w:cs="arial"/>
          <w:i/>
          <w:color w:val="000000"/>
          <w:sz w:val="20"/>
          <w:lang w:val="en-US" w:eastAsia="en-US" w:bidi="ar-SA"/>
        </w:rPr>
        <w:t>R. v. Consolidated Maybrun Mines Ltd.</w:t>
      </w:r>
      <w:r>
        <w:rPr>
          <w:rFonts w:ascii="arial" w:eastAsia="arial" w:hAnsi="arial" w:cs="arial"/>
          <w:color w:val="000000"/>
          <w:sz w:val="20"/>
          <w:lang w:val="en-US" w:eastAsia="en-US" w:bidi="ar-SA"/>
        </w:rPr>
        <w:t xml:space="preserve">, </w:t>
      </w:r>
      <w:hyperlink r:id="rId548" w:history="1">
        <w:r>
          <w:rPr>
            <w:rFonts w:ascii="arial" w:eastAsia="arial" w:hAnsi="arial" w:cs="arial"/>
            <w:i/>
            <w:color w:val="0077CC"/>
            <w:sz w:val="20"/>
            <w:u w:val="single"/>
            <w:shd w:val="clear" w:color="auto" w:fill="FFFFFF"/>
            <w:lang w:val="en-US" w:eastAsia="en-US" w:bidi="ar-SA"/>
          </w:rPr>
          <w:t>[1998] 1 S.C.R. 706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Cimaco International Sales, Inc. v. British Columbia (Attorney General),</w:t>
      </w:r>
      <w:r>
        <w:rPr>
          <w:rFonts w:ascii="arial" w:eastAsia="arial" w:hAnsi="arial" w:cs="arial"/>
          <w:color w:val="000000"/>
          <w:sz w:val="20"/>
          <w:lang w:val="en-US" w:eastAsia="en-US" w:bidi="ar-SA"/>
        </w:rPr>
        <w:t xml:space="preserve"> </w:t>
      </w:r>
      <w:hyperlink r:id="rId549" w:history="1">
        <w:r>
          <w:rPr>
            <w:rFonts w:ascii="arial" w:eastAsia="arial" w:hAnsi="arial" w:cs="arial"/>
            <w:i/>
            <w:color w:val="0077CC"/>
            <w:sz w:val="20"/>
            <w:u w:val="single"/>
            <w:shd w:val="clear" w:color="auto" w:fill="FFFFFF"/>
            <w:lang w:val="en-US" w:eastAsia="en-US" w:bidi="ar-SA"/>
          </w:rPr>
          <w:t>2010 BCCA 342</w:t>
        </w:r>
      </w:hyperlink>
      <w:r>
        <w:rPr>
          <w:rFonts w:ascii="arial" w:eastAsia="arial" w:hAnsi="arial" w:cs="arial"/>
          <w:color w:val="000000"/>
          <w:sz w:val="20"/>
          <w:lang w:val="en-US" w:eastAsia="en-US" w:bidi="ar-SA"/>
        </w:rPr>
        <w:t xml:space="preserve">, leave to appeal ref'd </w:t>
      </w:r>
      <w:hyperlink r:id="rId550" w:history="1">
        <w:r>
          <w:rPr>
            <w:rFonts w:ascii="arial" w:eastAsia="arial" w:hAnsi="arial" w:cs="arial"/>
            <w:i/>
            <w:color w:val="0077CC"/>
            <w:sz w:val="20"/>
            <w:u w:val="single"/>
            <w:shd w:val="clear" w:color="auto" w:fill="FFFFFF"/>
            <w:lang w:val="en-US" w:eastAsia="en-US" w:bidi="ar-SA"/>
          </w:rPr>
          <w:t>[2010] S.C.C.A. No. 386</w:t>
        </w:r>
      </w:hyperlink>
      <w:r>
        <w:rPr>
          <w:rFonts w:ascii="arial" w:eastAsia="arial" w:hAnsi="arial" w:cs="arial"/>
          <w:color w:val="000000"/>
          <w:sz w:val="20"/>
          <w:lang w:val="en-US" w:eastAsia="en-US" w:bidi="ar-SA"/>
        </w:rPr>
        <w:t>, the Court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The third ground is clearly an impermissible collateral attack on the Authority's decision, and should properly have been raised in judicial review proceedings, not in civil litigation. The recent Supreme Court of Canada decision in </w:t>
      </w:r>
      <w:r>
        <w:rPr>
          <w:rFonts w:ascii="arial" w:eastAsia="arial" w:hAnsi="arial" w:cs="arial"/>
          <w:i/>
          <w:color w:val="000000"/>
          <w:sz w:val="20"/>
          <w:lang w:val="en-US" w:eastAsia="en-US" w:bidi="ar-SA"/>
        </w:rPr>
        <w:t>Holland v. Saskatchewan</w:t>
      </w:r>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2008 SCC 42</w:t>
        </w:r>
      </w:hyperlink>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[2008] 2 S.C.R. 551</w:t>
        </w:r>
      </w:hyperlink>
      <w:r>
        <w:rPr>
          <w:rFonts w:ascii="arial" w:eastAsia="arial" w:hAnsi="arial" w:cs="arial"/>
          <w:color w:val="000000"/>
          <w:sz w:val="20"/>
          <w:lang w:val="en-US" w:eastAsia="en-US" w:bidi="ar-SA"/>
        </w:rPr>
        <w:t>, establishes that "[t]he proper remedy for breach of statutory duty by a public authority, traditionally viewed, is judicial review for invalidity. ... No parallel action lies in tort." (para. 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However, I agree with the Province's submission that, in the context of this action, in which Cimaco's core allegation is that the Authority misinterpreted and misapplied its own statute and in which it continues to seek a declaration that the license suspension was unlawful, the proper course was to seek judicial review.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[62] For all of the above reasons, Cimaco's civil action against the Authority was fundamentally ill-advised, bound to fail, and constituted an impermissible collateral attack on the Authority's reconsideration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Cimaco</w:t>
      </w:r>
      <w:r>
        <w:rPr>
          <w:rFonts w:ascii="arial" w:eastAsia="arial" w:hAnsi="arial" w:cs="arial"/>
          <w:color w:val="000000"/>
          <w:sz w:val="20"/>
          <w:lang w:val="en-US" w:eastAsia="en-US" w:bidi="ar-SA"/>
        </w:rPr>
        <w:t xml:space="preserve"> a travel agency license was suspended for failing to post security as required by legislation. The Business Practices and Consumer Protection Authority suspended the plaintiff's licence due to its failure to meet new requirements that agents give security. The plaintiff was advised to, but failed to seek judicial review of the decision. Instead it commenced an action against the Authority for misfeasance in public office, acting with malice and with intention to deliberately injure the plaintiff. The plaintiff also alleged negligent administration of statutory functions, negligent misrepresentation, acting for an improper purpose, acting contrary to the duty of fairness, and defamation. It sought damages for,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the Authority's suspension of its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These claims were struck out. The court held that there was an element of abuse of process throughout the claims since the plaintiff's essential complaint concerned a revocation of its licence, which was properly the subject of judicial review and not a tort claim (para. 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pleadings in this proceeding are aimed at challenging the findings of Slade J. in reference to the reasonableness of the decision to send the charges back to a new inquiry committee. With respect to the second judicial review application Dr. Bajwa included allegations that the second inquiry committee erred in refusing to hear evidence or decide the issue of institutional bias. That issue was resolved by the Court of Appeal. Dr. Bajwa's remedy on the issues, characterized by the Court of Appeal as conduct "manifesting a discriminatory attitude to Dr. Bajwa and others because of racial origin and practice of alleged low cost veterinary service" is before the Human Rights Tribunal in a broadly framed inquiry. The concerns about abuse of process in the form of discrimination are extant in this action to the same degree as they were before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The defendants argue that the essential character of the plaintiff's claim is not changed when he couples the allegations with claims of misfeasance in public office,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abuse of process and discrimination. I agree, and would distinguish the present circumstances from those present in </w:t>
      </w:r>
      <w:r>
        <w:rPr>
          <w:rFonts w:ascii="arial" w:eastAsia="arial" w:hAnsi="arial" w:cs="arial"/>
          <w:i/>
          <w:color w:val="000000"/>
          <w:sz w:val="20"/>
          <w:lang w:val="en-US" w:eastAsia="en-US" w:bidi="ar-SA"/>
        </w:rPr>
        <w:t>Garland.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Garland</w:t>
      </w:r>
      <w:r>
        <w:rPr>
          <w:rFonts w:ascii="arial" w:eastAsia="arial" w:hAnsi="arial" w:cs="arial"/>
          <w:color w:val="000000"/>
          <w:sz w:val="20"/>
          <w:lang w:val="en-US" w:eastAsia="en-US" w:bidi="ar-SA"/>
        </w:rPr>
        <w:t xml:space="preserve"> the Supreme Court of Canada had ruled in a previous appeal that the Ontario Energy Board had charged interest in contravention of the criminal interest rate provisions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R.S.C. 1985, c. C-46. The matter was remitted back to the trial court. The trial court concluded that although the interest charges were illegal, the action was an impermissible collateral attack on the Board's orders which had not been challenged. The Supreme Court of Canada later decided the action was not an impermissible collateral attack on the Board's orders:</w:t>
      </w:r>
      <w:r>
        <w:rPr>
          <w:rFonts w:ascii="arial" w:eastAsia="arial" w:hAnsi="arial" w:cs="arial"/>
          <w:sz w:val="20"/>
          <w:lang w:val="en-US" w:eastAsia="en-US" w:bidi="ar-SA"/>
        </w:rPr>
        <w:cr/>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addition, McMurtry C.J.O. is correct in holding that this action does not constitute an impermissible collateral attack on the OEB's order. The doctrine of collateral attack prevents a party from undermining previous orders issued by a court or administrative tribunal (see </w:t>
      </w:r>
      <w:r>
        <w:rPr>
          <w:rFonts w:ascii="arial" w:eastAsia="arial" w:hAnsi="arial" w:cs="arial"/>
          <w:i/>
          <w:color w:val="000000"/>
          <w:sz w:val="20"/>
          <w:lang w:val="en-US" w:eastAsia="en-US" w:bidi="ar-SA"/>
        </w:rPr>
        <w:t>Toronto (City) v. C.U.P.E., Local 79</w:t>
      </w:r>
      <w:r>
        <w:rPr>
          <w:rFonts w:ascii="arial" w:eastAsia="arial" w:hAnsi="arial" w:cs="arial"/>
          <w:color w:val="000000"/>
          <w:sz w:val="20"/>
          <w:lang w:val="en-US" w:eastAsia="en-US" w:bidi="ar-SA"/>
        </w:rPr>
        <w:t xml:space="preserve">, </w:t>
      </w:r>
      <w:hyperlink r:id="rId552" w:history="1">
        <w:r>
          <w:rPr>
            <w:rFonts w:ascii="arial" w:eastAsia="arial" w:hAnsi="arial" w:cs="arial"/>
            <w:i/>
            <w:color w:val="0077CC"/>
            <w:sz w:val="20"/>
            <w:u w:val="single"/>
            <w:shd w:val="clear" w:color="auto" w:fill="FFFFFF"/>
            <w:lang w:val="en-US" w:eastAsia="en-US" w:bidi="ar-SA"/>
          </w:rPr>
          <w:t>[2003] 3 S.C.R. 77</w:t>
        </w:r>
      </w:hyperlink>
      <w:r>
        <w:rPr>
          <w:rFonts w:ascii="arial" w:eastAsia="arial" w:hAnsi="arial" w:cs="arial"/>
          <w:color w:val="000000"/>
          <w:sz w:val="20"/>
          <w:lang w:val="en-US" w:eastAsia="en-US" w:bidi="ar-SA"/>
        </w:rPr>
        <w:t xml:space="preserve">, </w:t>
      </w:r>
      <w:hyperlink r:id="rId552"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 xml:space="preserve">; D. J. Lange, </w:t>
      </w:r>
      <w:r>
        <w:rPr>
          <w:rFonts w:ascii="arial" w:eastAsia="arial" w:hAnsi="arial" w:cs="arial"/>
          <w:i/>
          <w:color w:val="000000"/>
          <w:sz w:val="20"/>
          <w:lang w:val="en-US" w:eastAsia="en-US" w:bidi="ar-SA"/>
        </w:rPr>
        <w:t>The Doctrine of Res Judicata in Canada</w:t>
      </w:r>
      <w:r>
        <w:rPr>
          <w:rFonts w:ascii="arial" w:eastAsia="arial" w:hAnsi="arial" w:cs="arial"/>
          <w:color w:val="000000"/>
          <w:sz w:val="20"/>
          <w:lang w:val="en-US" w:eastAsia="en-US" w:bidi="ar-SA"/>
        </w:rPr>
        <w:t xml:space="preserve"> (2000), at pp. 369-70). Generally, it is invoked where the party is attempting to challenge the validity of a binding order in the wrong forum, in the sense that the validity of the order comes into question in separate proceedings when that party has not used the direct attack procedures that were open to it (i.e., appeal or judicial review). In </w:t>
      </w:r>
      <w:r>
        <w:rPr>
          <w:rFonts w:ascii="arial" w:eastAsia="arial" w:hAnsi="arial" w:cs="arial"/>
          <w:i/>
          <w:color w:val="000000"/>
          <w:sz w:val="20"/>
          <w:lang w:val="en-US" w:eastAsia="en-US" w:bidi="ar-SA"/>
        </w:rPr>
        <w:t>Wilson v. The Queen</w:t>
      </w:r>
      <w:r>
        <w:rPr>
          <w:rFonts w:ascii="arial" w:eastAsia="arial" w:hAnsi="arial" w:cs="arial"/>
          <w:color w:val="000000"/>
          <w:sz w:val="20"/>
          <w:lang w:val="en-US" w:eastAsia="en-US" w:bidi="ar-SA"/>
        </w:rPr>
        <w:t xml:space="preserve">, </w:t>
      </w:r>
      <w:hyperlink r:id="rId541" w:history="1">
        <w:r>
          <w:rPr>
            <w:rFonts w:ascii="arial" w:eastAsia="arial" w:hAnsi="arial" w:cs="arial"/>
            <w:i/>
            <w:color w:val="0077CC"/>
            <w:sz w:val="20"/>
            <w:u w:val="single"/>
            <w:shd w:val="clear" w:color="auto" w:fill="FFFFFF"/>
            <w:lang w:val="en-US" w:eastAsia="en-US" w:bidi="ar-SA"/>
          </w:rPr>
          <w:t>[1983] 2 S.C.R. 594</w:t>
        </w:r>
      </w:hyperlink>
      <w:r>
        <w:rPr>
          <w:rFonts w:ascii="arial" w:eastAsia="arial" w:hAnsi="arial" w:cs="arial"/>
          <w:color w:val="000000"/>
          <w:sz w:val="20"/>
          <w:lang w:val="en-US" w:eastAsia="en-US" w:bidi="ar-SA"/>
        </w:rPr>
        <w:t>, at p. 599, this Court described the rule against collateral attack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has long been a fundamental rule that a court order, made by a court having jurisdiction to make it, stands and is binding and conclusive unless it is set aside on appeal or lawfully quashed. It is also well settled in the authorities that such an order may not be attacked collaterally -- and a collateral attack may be described as an attack made in proceedings other than those whose specific object is the reversal, variation, or nullification of the order or judgment.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Based on a plain reading of this rule, the doctrine of collateral attack does not apply in this case because here </w:t>
      </w:r>
      <w:r>
        <w:rPr>
          <w:rFonts w:ascii="arial" w:eastAsia="arial" w:hAnsi="arial" w:cs="arial"/>
          <w:color w:val="000000"/>
          <w:sz w:val="20"/>
          <w:u w:val="single"/>
          <w:lang w:val="en-US" w:eastAsia="en-US" w:bidi="ar-SA"/>
        </w:rPr>
        <w:t>the specific object of the appellant's action is not to invalidate or render inoperative the Board's orders, but rather to recover money that was illegally collected by the respondent as a result of Board orders.</w:t>
      </w:r>
      <w:r>
        <w:rPr>
          <w:rFonts w:ascii="arial" w:eastAsia="arial" w:hAnsi="arial" w:cs="arial"/>
          <w:color w:val="000000"/>
          <w:sz w:val="20"/>
          <w:lang w:val="en-US" w:eastAsia="en-US" w:bidi="ar-SA"/>
        </w:rPr>
        <w:t xml:space="preserve"> Consequently, the collateral attack doctrine does not apply.</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In contrast to the foregoing, Dr. Bajwa attacks the decisions of the court and of the BCVMA on the basis that the Council decision to prosecute the charges and remit the charges to a second inquiry committee were flawed. He asserts that the decision to refer the charges to a second inquiry committee was in error because of a misunderstanding or misinterpretation of the first inquiry committee findings. Unlike the circumstances in </w:t>
      </w:r>
      <w:r>
        <w:rPr>
          <w:rFonts w:ascii="arial" w:eastAsia="arial" w:hAnsi="arial" w:cs="arial"/>
          <w:i/>
          <w:color w:val="000000"/>
          <w:sz w:val="20"/>
          <w:lang w:val="en-US" w:eastAsia="en-US" w:bidi="ar-SA"/>
        </w:rPr>
        <w:t>Garland</w:t>
      </w:r>
      <w:r>
        <w:rPr>
          <w:rFonts w:ascii="arial" w:eastAsia="arial" w:hAnsi="arial" w:cs="arial"/>
          <w:color w:val="000000"/>
          <w:sz w:val="20"/>
          <w:lang w:val="en-US" w:eastAsia="en-US" w:bidi="ar-SA"/>
        </w:rPr>
        <w:t xml:space="preserve"> where the underlying order was illegal, here the BCVMA order and the judicial review proceedings have not been tainted with illegality. The orders stand as valid orders following Dr. Bajwa's unsuccessful challenge of both hearings on the basis that the decisions were in error; in this action he cannot succeed unless there was an error in the first judicial review findings on reasonableness. He is also limited by the Court of Appeal decision in the second judicial review.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plaintiff's attack is by way of a claim for damages stemming from the same errors made by previous decision makers. Dr. Bajwa argues that if the Council had declined the option of referring the old charges (but not the new charges) his client would have avoided the losses he now claims. I can accept that fact as true but this does not alter the conclusion that the decisions were reviewed by the court and no fault was found in reference to the propriety of the proceeding. He was properly found guilty of misconduct and received the appropriate penalty. If the BCVMA decisions were wrong, then his remedy was a judicial review of those decisions; if decided in his favor he would not have been found guilty of charges and would not have suffered the damages he alleges that flowed from the defendants' breaches of duty owed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Dr. Bajwa's involvement in the 2005 Bajwa actions which replicate some of the claims in this proceeding reveal an apparent attempt to circumvent the order of Davies J. and an intention to avoid unfavourable dispositions in those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my view this claim for damages is an attack on the correctness of the results of all of the decisions against him and, in the case of Slade J.'s decision, the clear finding that referring the charges back to a second hearing was "reasonable". In my view it is an abuse of the process of the court to sanction a continuing damages claim which depends on a challenge of the second inquiry decision, the first judicial review decision, the appeal of the second review decision and the yet to be determined outcome of the Human Rights Tribunal process. Dr. Bajwa is seeking to achieve a result in this damages action which attacks the outcome in each of those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Mr. Justice Binnie confirmed in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that only where a litigant was not seeking to avoid the consequences of the ministerial order, the doctrine of collateral attack did not apply. This cannot assist Dr. Bajwa as it appears he is seeking to avoid the results of the inquiries, after unsuccessfully exhausting his judicial review remedies. The judicial review processes engaged the proper forums to address the issues raised by Dr. Bajwa in this action. He was dissatisfied with those results and is now pressing a claim in damages based on decisions that cannot succeed unless those decisions are revisited. I am mindful of the comments of Binnie J. in </w:t>
      </w:r>
      <w:r>
        <w:rPr>
          <w:rFonts w:ascii="arial" w:eastAsia="arial" w:hAnsi="arial" w:cs="arial"/>
          <w:i/>
          <w:color w:val="000000"/>
          <w:sz w:val="20"/>
          <w:lang w:val="en-US" w:eastAsia="en-US" w:bidi="ar-SA"/>
        </w:rPr>
        <w:t xml:space="preserve">TeleZone: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[78] To this discussion, I would add a minor </w:t>
      </w:r>
      <w:r>
        <w:rPr>
          <w:rFonts w:ascii="arial" w:eastAsia="arial" w:hAnsi="arial" w:cs="arial"/>
          <w:i/>
          <w:color w:val="000000"/>
          <w:sz w:val="20"/>
          <w:lang w:val="en-US" w:eastAsia="en-US" w:bidi="ar-SA"/>
        </w:rPr>
        <w:t>caveat</w:t>
      </w:r>
      <w:r>
        <w:rPr>
          <w:rFonts w:ascii="arial" w:eastAsia="arial" w:hAnsi="arial" w:cs="arial"/>
          <w:color w:val="000000"/>
          <w:sz w:val="20"/>
          <w:lang w:val="en-US" w:eastAsia="en-US" w:bidi="ar-SA"/>
        </w:rPr>
        <w:t>. There is always a residual discretion in the inherent jurisdiction of the provincial superior court (as well as in the Federal Court under s. 50(1) of its Act), to stay the damages claim because in its essential character, it is a claim for judicial review with only a thin pretence to a private wrong. Generally speaking the fundamental issue will always be whether the claimant has pleaded a reasonable private cause of action for damages. If so, he or she should generally be allowed to get on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Dr. Bajwa attacks the decisions made by the Council to refer his conduct back to a second inquiry because they were motivated by a discriminatory attitude. He seems to distinguish the decisions made to commence the inquiry from the inquiry outcomes. He argues that his personal injury damages and financial losses occurred as a result the BCVMA decision to embark on a second inquiry and that this decision was motivated by their desire to discriminate against Dr. Bajwa and other Indo-Canadian veterinarians. He did not plead or argue that the Council decisions were unfounded; he challenges the motives and underlying intentions of the members of the Council in making the decision to prosecute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It must be remembered that the BCVMA had a statutory obligation to deal with the complaints against Dr. Bajwa by way of commissioning an inquiry panel. To succeed in this proceeding he must still attack the judicial review results which the BCVMA advances as an answer to the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Moutlon Contracting Ltd. v. Behn,</w:t>
      </w:r>
      <w:r>
        <w:rPr>
          <w:rFonts w:ascii="arial" w:eastAsia="arial" w:hAnsi="arial" w:cs="arial"/>
          <w:color w:val="000000"/>
          <w:sz w:val="20"/>
          <w:lang w:val="en-US" w:eastAsia="en-US" w:bidi="ar-SA"/>
        </w:rPr>
        <w:t xml:space="preserve"> </w:t>
      </w:r>
      <w:hyperlink r:id="rId553" w:history="1">
        <w:r>
          <w:rPr>
            <w:rFonts w:ascii="arial" w:eastAsia="arial" w:hAnsi="arial" w:cs="arial"/>
            <w:i/>
            <w:color w:val="0077CC"/>
            <w:sz w:val="20"/>
            <w:u w:val="single"/>
            <w:shd w:val="clear" w:color="auto" w:fill="FFFFFF"/>
            <w:lang w:val="en-US" w:eastAsia="en-US" w:bidi="ar-SA"/>
          </w:rPr>
          <w:t>2011 BCCA 311</w:t>
        </w:r>
      </w:hyperlink>
      <w:r>
        <w:rPr>
          <w:rFonts w:ascii="arial" w:eastAsia="arial" w:hAnsi="arial" w:cs="arial"/>
          <w:color w:val="000000"/>
          <w:sz w:val="20"/>
          <w:lang w:val="en-US" w:eastAsia="en-US" w:bidi="ar-SA"/>
        </w:rPr>
        <w:t>, the Court of Appeal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[58] Allowing that there will be instances in which a party may be allowed to attack the substance of a decision en route to determining a claim in damages, in my view this is not a case for that approach. </w:t>
      </w:r>
      <w:r>
        <w:rPr>
          <w:rFonts w:ascii="arial" w:eastAsia="arial" w:hAnsi="arial" w:cs="arial"/>
          <w:i/>
          <w:color w:val="000000"/>
          <w:sz w:val="20"/>
          <w:lang w:val="en-US" w:eastAsia="en-US" w:bidi="ar-SA"/>
        </w:rPr>
        <w:t>Garland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MacArthur, </w:t>
      </w:r>
      <w:hyperlink r:id="rId554" w:history="1">
        <w:r>
          <w:rPr>
            <w:rFonts w:ascii="arial" w:eastAsia="arial" w:hAnsi="arial" w:cs="arial"/>
            <w:i/>
            <w:color w:val="0077CC"/>
            <w:sz w:val="20"/>
            <w:u w:val="single"/>
            <w:shd w:val="clear" w:color="auto" w:fill="FFFFFF"/>
            <w:lang w:val="en-US" w:eastAsia="en-US" w:bidi="ar-SA"/>
          </w:rPr>
          <w:t>[2010] 3 S.C.R. 626</w:t>
        </w:r>
      </w:hyperlink>
      <w:r>
        <w:rPr>
          <w:rFonts w:ascii="arial" w:eastAsia="arial" w:hAnsi="arial" w:cs="arial"/>
          <w:i/>
          <w:color w:val="000000"/>
          <w:sz w:val="20"/>
          <w:lang w:val="en-US" w:eastAsia="en-US" w:bidi="ar-SA"/>
        </w:rPr>
        <w:t>, Canadian Food Inspection Agency</w:t>
      </w:r>
      <w:r>
        <w:rPr>
          <w:rFonts w:ascii="arial" w:eastAsia="arial" w:hAnsi="arial" w:cs="arial"/>
          <w:color w:val="000000"/>
          <w:sz w:val="20"/>
          <w:lang w:val="en-US" w:eastAsia="en-US" w:bidi="ar-SA"/>
        </w:rPr>
        <w:t xml:space="preserve">, </w:t>
      </w:r>
      <w:hyperlink r:id="rId555" w:history="1">
        <w:r>
          <w:rPr>
            <w:rFonts w:ascii="arial" w:eastAsia="arial" w:hAnsi="arial" w:cs="arial"/>
            <w:i/>
            <w:color w:val="0077CC"/>
            <w:sz w:val="20"/>
            <w:u w:val="single"/>
            <w:shd w:val="clear" w:color="auto" w:fill="FFFFFF"/>
            <w:lang w:val="en-US" w:eastAsia="en-US" w:bidi="ar-SA"/>
          </w:rPr>
          <w:t>[2010] 3 S.C.R. 657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all were cases in which the validity of the government orders or decisions was immaterial to the claims for damages. That is not the case here, </w:t>
      </w:r>
      <w:r>
        <w:rPr>
          <w:rFonts w:ascii="arial" w:eastAsia="arial" w:hAnsi="arial" w:cs="arial"/>
          <w:color w:val="000000"/>
          <w:sz w:val="20"/>
          <w:u w:val="single"/>
          <w:lang w:val="en-US" w:eastAsia="en-US" w:bidi="ar-SA"/>
        </w:rPr>
        <w:t>where the essence of the impugned pleading is that the government instruments are invalid. I agree with the judge that such a pleading is an abuse of process.</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In this case Dr. Bajwa's claims depend on a conclusion that the orders of Slade J. and Hall J.A. are flawed. Dr. Bajwa attacks the Slade J. decision because it determined that the referral of charges to a second inquiry was reasonable; this finding engages the </w:t>
      </w:r>
      <w:r>
        <w:rPr>
          <w:rFonts w:ascii="arial" w:eastAsia="arial" w:hAnsi="arial" w:cs="arial"/>
          <w:i/>
          <w:color w:val="000000"/>
          <w:sz w:val="20"/>
          <w:lang w:val="en-US" w:eastAsia="en-US" w:bidi="ar-SA"/>
        </w:rPr>
        <w:t>DAPA</w:t>
      </w:r>
      <w:r>
        <w:rPr>
          <w:rFonts w:ascii="arial" w:eastAsia="arial" w:hAnsi="arial" w:cs="arial"/>
          <w:color w:val="000000"/>
          <w:sz w:val="20"/>
          <w:lang w:val="en-US" w:eastAsia="en-US" w:bidi="ar-SA"/>
        </w:rPr>
        <w:t xml:space="preserve"> and his pleading that the decision to refer charges to an inquiry was without reasonable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Dr. Bajwa was obliged to pursue a judicial review of the first inquiry result. He did not appeal the Slade J. order and, in my view cannot challenge that finding in this damages action. This is clearly a collateral attack and is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He challenged the outcome of the second inquiry by way of judicial review, as he was required to do; Allan J.'s decision was reversed and his judicial review application was dismissed. This action is also a collateral attack on the finding that his issues of bias and discrimination must be resolved by the Human Rights Tribunal. To pursue damages in this action is an abuse of the court's process because the issues of institutional bias pleaded in this claim are properly before the Tribunal. Dr. Bajwa chose that forum to resolve these issues before commencing this proceeding and cannot pursue parallel claims without putting the integrity of the process at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my view, Dr. Bajwa's claims are in the nature of a collateral attack on the decision which has required him to pursue his complaints in the Human Rights forum and dismissing his application for judicial review. They are also a collateral attack on the findings of the BCVMA and the Slade J. judgment. In the result, this proceeding is an abuse of process and the claims in the notice of claim should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Disciplinary Authority Protection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The defendants rely on the protections created under the </w:t>
      </w:r>
      <w:r>
        <w:rPr>
          <w:rFonts w:ascii="arial" w:eastAsia="arial" w:hAnsi="arial" w:cs="arial"/>
          <w:i/>
          <w:color w:val="000000"/>
          <w:sz w:val="20"/>
          <w:lang w:val="en-US" w:eastAsia="en-US" w:bidi="ar-SA"/>
        </w:rPr>
        <w:t>DAPA</w:t>
      </w:r>
      <w:r>
        <w:rPr>
          <w:rFonts w:ascii="arial" w:eastAsia="arial" w:hAnsi="arial" w:cs="arial"/>
          <w:color w:val="000000"/>
          <w:sz w:val="20"/>
          <w:lang w:val="en-US" w:eastAsia="en-US" w:bidi="ar-SA"/>
        </w:rPr>
        <w:t xml:space="preserve"> in support of this application. They argue that Dr. Bajwa has not pleaded facts to support their allegations of malice, bad faith in the making of decisions without reasonable and probable cause. They say that the </w:t>
      </w:r>
      <w:r>
        <w:rPr>
          <w:rFonts w:ascii="arial" w:eastAsia="arial" w:hAnsi="arial" w:cs="arial"/>
          <w:i/>
          <w:color w:val="000000"/>
          <w:sz w:val="20"/>
          <w:lang w:val="en-US" w:eastAsia="en-US" w:bidi="ar-SA"/>
        </w:rPr>
        <w:t>DAPA</w:t>
      </w:r>
      <w:r>
        <w:rPr>
          <w:rFonts w:ascii="arial" w:eastAsia="arial" w:hAnsi="arial" w:cs="arial"/>
          <w:color w:val="000000"/>
          <w:sz w:val="20"/>
          <w:lang w:val="en-US" w:eastAsia="en-US" w:bidi="ar-SA"/>
        </w:rPr>
        <w:t xml:space="preserve"> and section 23 of the </w:t>
      </w:r>
      <w:r>
        <w:rPr>
          <w:rFonts w:ascii="arial" w:eastAsia="arial" w:hAnsi="arial" w:cs="arial"/>
          <w:i/>
          <w:color w:val="000000"/>
          <w:sz w:val="20"/>
          <w:lang w:val="en-US" w:eastAsia="en-US" w:bidi="ar-SA"/>
        </w:rPr>
        <w:t>Veterinarians Act</w:t>
      </w:r>
      <w:r>
        <w:rPr>
          <w:rFonts w:ascii="arial" w:eastAsia="arial" w:hAnsi="arial" w:cs="arial"/>
          <w:color w:val="000000"/>
          <w:sz w:val="20"/>
          <w:lang w:val="en-US" w:eastAsia="en-US" w:bidi="ar-SA"/>
        </w:rPr>
        <w:t>, are a full and complete defence to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The defendants argue that I am not obliged to assume that the plaintiff's completely unsubstantiated allegations are true, in order to resolve this application. They rely on the decision of Silverman J. in </w:t>
      </w:r>
      <w:r>
        <w:rPr>
          <w:rFonts w:ascii="arial" w:eastAsia="arial" w:hAnsi="arial" w:cs="arial"/>
          <w:i/>
          <w:color w:val="000000"/>
          <w:sz w:val="20"/>
          <w:lang w:val="en-US" w:eastAsia="en-US" w:bidi="ar-SA"/>
        </w:rPr>
        <w:t>Trociuk v. HMTQ,</w:t>
      </w:r>
      <w:r>
        <w:rPr>
          <w:rFonts w:ascii="arial" w:eastAsia="arial" w:hAnsi="arial" w:cs="arial"/>
          <w:color w:val="000000"/>
          <w:sz w:val="20"/>
          <w:lang w:val="en-US" w:eastAsia="en-US" w:bidi="ar-SA"/>
        </w:rPr>
        <w:t xml:space="preserve"> </w:t>
      </w:r>
      <w:hyperlink r:id="rId556" w:history="1">
        <w:r>
          <w:rPr>
            <w:rFonts w:ascii="arial" w:eastAsia="arial" w:hAnsi="arial" w:cs="arial"/>
            <w:i/>
            <w:color w:val="0077CC"/>
            <w:sz w:val="20"/>
            <w:u w:val="single"/>
            <w:shd w:val="clear" w:color="auto" w:fill="FFFFFF"/>
            <w:lang w:val="en-US" w:eastAsia="en-US" w:bidi="ar-SA"/>
          </w:rPr>
          <w:t>2008 BCSC 1597</w:t>
        </w:r>
      </w:hyperlink>
      <w:r>
        <w:rPr>
          <w:rFonts w:ascii="arial" w:eastAsia="arial" w:hAnsi="arial" w:cs="arial"/>
          <w:color w:val="000000"/>
          <w:sz w:val="20"/>
          <w:lang w:val="en-US" w:eastAsia="en-US" w:bidi="ar-SA"/>
        </w:rPr>
        <w:t xml:space="preserve"> for the principle that an application to dismiss may be granted where Dr. Bajwa's pleadings do not meet a minimal threshold level raise to raise his claim to something more than a theory.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my view Dr. Bajwa's pleadings rise to something more than a simple theory; the notice of civil claim outlines a picture of discriminatory activity aimed at Indo Canadian veterinarians.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However, the immunity clause in the </w:t>
      </w:r>
      <w:r>
        <w:rPr>
          <w:rFonts w:ascii="arial" w:eastAsia="arial" w:hAnsi="arial" w:cs="arial"/>
          <w:i/>
          <w:color w:val="000000"/>
          <w:sz w:val="20"/>
          <w:lang w:val="en-US" w:eastAsia="en-US" w:bidi="ar-SA"/>
        </w:rPr>
        <w:t>DAPA</w:t>
      </w:r>
      <w:r>
        <w:rPr>
          <w:rFonts w:ascii="arial" w:eastAsia="arial" w:hAnsi="arial" w:cs="arial"/>
          <w:color w:val="000000"/>
          <w:sz w:val="20"/>
          <w:lang w:val="en-US" w:eastAsia="en-US" w:bidi="ar-SA"/>
        </w:rPr>
        <w:t xml:space="preserve"> in combination with Slade J.'s finding that the decision to remit the charges to a new inquiry committee was reasonable, decisively resolve the issue. If the plaintiff cannot attack those reasons, the plaintiff's claim cannot survive the </w:t>
      </w:r>
      <w:r>
        <w:rPr>
          <w:rFonts w:ascii="arial" w:eastAsia="arial" w:hAnsi="arial" w:cs="arial"/>
          <w:i/>
          <w:color w:val="000000"/>
          <w:sz w:val="20"/>
          <w:lang w:val="en-US" w:eastAsia="en-US" w:bidi="ar-SA"/>
        </w:rPr>
        <w:t>DAPA</w:t>
      </w:r>
      <w:r>
        <w:rPr>
          <w:rFonts w:ascii="arial" w:eastAsia="arial" w:hAnsi="arial" w:cs="arial"/>
          <w:color w:val="000000"/>
          <w:sz w:val="20"/>
          <w:lang w:val="en-US" w:eastAsia="en-US" w:bidi="ar-SA"/>
        </w:rPr>
        <w:t xml:space="preserve">. Madam Justice Saunders illustrated the question that must be answered in </w:t>
      </w:r>
      <w:r>
        <w:rPr>
          <w:rFonts w:ascii="arial" w:eastAsia="arial" w:hAnsi="arial" w:cs="arial"/>
          <w:i/>
          <w:color w:val="000000"/>
          <w:sz w:val="20"/>
          <w:lang w:val="en-US" w:eastAsia="en-US" w:bidi="ar-SA"/>
        </w:rPr>
        <w:t>Moutlon Contracting Ltd.</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Notwithstanding the forceful submissions of the Behns, in my view the defences pleaded represent an impermissible collateral attack upon the instruments granted to Moulton by the Crown. I agree this is an unusual case; normally it </w:t>
      </w:r>
      <w:r>
        <w:rPr>
          <w:rFonts w:ascii="arial" w:eastAsia="arial" w:hAnsi="arial" w:cs="arial"/>
          <w:color w:val="000000"/>
          <w:sz w:val="20"/>
          <w:u w:val="single"/>
          <w:lang w:val="en-US" w:eastAsia="en-US" w:bidi="ar-SA"/>
        </w:rPr>
        <w:t>is</w:t>
      </w:r>
      <w:r>
        <w:rPr>
          <w:rFonts w:ascii="arial" w:eastAsia="arial" w:hAnsi="arial" w:cs="arial"/>
          <w:color w:val="000000"/>
          <w:sz w:val="20"/>
          <w:lang w:val="en-US" w:eastAsia="en-US" w:bidi="ar-SA"/>
        </w:rPr>
        <w:t xml:space="preserve"> the party against whom the order is made that is said to be engaging in a collateral attack. Such was the case in </w:t>
      </w:r>
      <w:r>
        <w:rPr>
          <w:rFonts w:ascii="arial" w:eastAsia="arial" w:hAnsi="arial" w:cs="arial"/>
          <w:i/>
          <w:color w:val="000000"/>
          <w:sz w:val="20"/>
          <w:lang w:val="en-US" w:eastAsia="en-US" w:bidi="ar-SA"/>
        </w:rPr>
        <w:t>Litchfield, Garland</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Those cases, therefore, did not address an attack upon a decision by a member of a collective, whose collective could have challenged the decision, but did not. </w:t>
      </w:r>
      <w:r>
        <w:rPr>
          <w:rFonts w:ascii="arial" w:eastAsia="arial" w:hAnsi="arial" w:cs="arial"/>
          <w:color w:val="000000"/>
          <w:sz w:val="20"/>
          <w:u w:val="single"/>
          <w:lang w:val="en-US" w:eastAsia="en-US" w:bidi="ar-SA"/>
        </w:rPr>
        <w:t xml:space="preserve">In these unusual circumstances, it seems to me one must look further for the answer and determine whether, in the words of </w:t>
      </w:r>
      <w:r>
        <w:rPr>
          <w:rFonts w:ascii="arial" w:eastAsia="arial" w:hAnsi="arial" w:cs="arial"/>
          <w:i/>
          <w:color w:val="000000"/>
          <w:sz w:val="20"/>
          <w:u w:val="single"/>
          <w:lang w:val="en-US" w:eastAsia="en-US" w:bidi="ar-SA"/>
        </w:rPr>
        <w:t>Wilson v. The Queen,</w:t>
      </w:r>
      <w:r>
        <w:rPr>
          <w:rFonts w:ascii="arial" w:eastAsia="arial" w:hAnsi="arial" w:cs="arial"/>
          <w:color w:val="000000"/>
          <w:sz w:val="20"/>
          <w:u w:val="single"/>
          <w:lang w:val="en-US" w:eastAsia="en-US" w:bidi="ar-SA"/>
        </w:rPr>
        <w:t xml:space="preserve"> this is an attack "whose specific object is the ... nullification of the order or judgment", or in the words of Justice Arbour in </w:t>
      </w:r>
      <w:r>
        <w:rPr>
          <w:rFonts w:ascii="arial" w:eastAsia="arial" w:hAnsi="arial" w:cs="arial"/>
          <w:i/>
          <w:color w:val="000000"/>
          <w:sz w:val="20"/>
          <w:u w:val="single"/>
          <w:lang w:val="en-US" w:eastAsia="en-US" w:bidi="ar-SA"/>
        </w:rPr>
        <w:t>Toronto (City)</w:t>
      </w:r>
      <w:r>
        <w:rPr>
          <w:rFonts w:ascii="arial" w:eastAsia="arial" w:hAnsi="arial" w:cs="arial"/>
          <w:color w:val="000000"/>
          <w:sz w:val="20"/>
          <w:u w:val="single"/>
          <w:lang w:val="en-US" w:eastAsia="en-US" w:bidi="ar-SA"/>
        </w:rPr>
        <w:t xml:space="preserve"> at para. 34 this is a "... contest about whether that decision has legal force."</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It is my view that the issues described in the pleadings were (or ought to have been) raised in the judicial review proceedings brought by the plaintiff. The issue of institutional bias mentioned in the notice of civil claim was dealt with by the Court of Appeal which concluded that the discrimination issue should be resolved by the Human Rights Tribunal.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The issue of the reasonableness decision ordering of the second inquiry committee was resolved by Slade J. and the conclusions engage the immunity provisions in the </w:t>
      </w:r>
      <w:r>
        <w:rPr>
          <w:rFonts w:ascii="arial" w:eastAsia="arial" w:hAnsi="arial" w:cs="arial"/>
          <w:i/>
          <w:color w:val="000000"/>
          <w:sz w:val="20"/>
          <w:lang w:val="en-US" w:eastAsia="en-US" w:bidi="ar-SA"/>
        </w:rPr>
        <w:t>DAPA.</w:t>
      </w:r>
      <w:r>
        <w:rPr>
          <w:rFonts w:ascii="arial" w:eastAsia="arial" w:hAnsi="arial" w:cs="arial"/>
          <w:color w:val="000000"/>
          <w:sz w:val="20"/>
          <w:lang w:val="en-US" w:eastAsia="en-US" w:bidi="ar-SA"/>
        </w:rPr>
        <w:t xml:space="preserve"> In order to succeed the plaintiff must be able to prove that the decisions made by the BCVMA in convening a second inquiry committee were unreasonable; that issue is resolved and the plaintiffs claim, insofar as the </w:t>
      </w:r>
      <w:r>
        <w:rPr>
          <w:rFonts w:ascii="arial" w:eastAsia="arial" w:hAnsi="arial" w:cs="arial"/>
          <w:i/>
          <w:color w:val="000000"/>
          <w:sz w:val="20"/>
          <w:lang w:val="en-US" w:eastAsia="en-US" w:bidi="ar-SA"/>
        </w:rPr>
        <w:t>DAPA</w:t>
      </w:r>
      <w:r>
        <w:rPr>
          <w:rFonts w:ascii="arial" w:eastAsia="arial" w:hAnsi="arial" w:cs="arial"/>
          <w:color w:val="000000"/>
          <w:sz w:val="20"/>
          <w:lang w:val="en-US" w:eastAsia="en-US" w:bidi="ar-SA"/>
        </w:rPr>
        <w:t xml:space="preserve"> applies,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plaintiff cannot bring new claims for damages based on other errors made by the defendants for decisions that were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Rights Protection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Section 1 of the </w:t>
      </w:r>
      <w:r>
        <w:rPr>
          <w:rFonts w:ascii="arial" w:eastAsia="arial" w:hAnsi="arial" w:cs="arial"/>
          <w:i/>
          <w:color w:val="000000"/>
          <w:sz w:val="20"/>
          <w:lang w:val="en-US" w:eastAsia="en-US" w:bidi="ar-SA"/>
        </w:rPr>
        <w:t>CRPA</w:t>
      </w:r>
      <w:r>
        <w:rPr>
          <w:rFonts w:ascii="arial" w:eastAsia="arial" w:hAnsi="arial" w:cs="arial"/>
          <w:color w:val="000000"/>
          <w:sz w:val="20"/>
          <w:lang w:val="en-US" w:eastAsia="en-US" w:bidi="ar-SA"/>
        </w:rPr>
        <w:t xml:space="preserve"> states as follows:</w:t>
      </w:r>
      <w:r>
        <w:rPr>
          <w:rFonts w:ascii="arial" w:eastAsia="arial" w:hAnsi="arial" w:cs="arial"/>
          <w:sz w:val="20"/>
          <w:lang w:val="en-US" w:eastAsia="en-US" w:bidi="ar-SA"/>
        </w:rPr>
        <w:cr/>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Act, "prohibited act" means any conduct or communication by a person that has as its purpose interference with the civil rights of a person or class of persons by promoting</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hatred or contempt of a person or class of persons, or</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superiority or inferiority of a person or class of persons in comparison with another or others,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basis of colour, race, religion, ethnic origin or place of origin.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CRPA</w:t>
      </w:r>
      <w:r>
        <w:rPr>
          <w:rFonts w:ascii="arial" w:eastAsia="arial" w:hAnsi="arial" w:cs="arial"/>
          <w:color w:val="000000"/>
          <w:sz w:val="20"/>
          <w:lang w:val="en-US" w:eastAsia="en-US" w:bidi="ar-SA"/>
        </w:rPr>
        <w:t xml:space="preserve"> was examined by Mr. Justice Cullen, as he then was, at some length in </w:t>
      </w:r>
      <w:r>
        <w:rPr>
          <w:rFonts w:ascii="arial" w:eastAsia="arial" w:hAnsi="arial" w:cs="arial"/>
          <w:i/>
          <w:color w:val="000000"/>
          <w:sz w:val="20"/>
          <w:lang w:val="en-US" w:eastAsia="en-US" w:bidi="ar-SA"/>
        </w:rPr>
        <w:t>Maughan v. UBC,</w:t>
      </w:r>
      <w:r>
        <w:rPr>
          <w:rFonts w:ascii="arial" w:eastAsia="arial" w:hAnsi="arial" w:cs="arial"/>
          <w:color w:val="000000"/>
          <w:sz w:val="20"/>
          <w:lang w:val="en-US" w:eastAsia="en-US" w:bidi="ar-SA"/>
        </w:rPr>
        <w:t xml:space="preserve"> </w:t>
      </w:r>
      <w:hyperlink r:id="rId557" w:history="1">
        <w:r>
          <w:rPr>
            <w:rFonts w:ascii="arial" w:eastAsia="arial" w:hAnsi="arial" w:cs="arial"/>
            <w:i/>
            <w:color w:val="0077CC"/>
            <w:sz w:val="20"/>
            <w:u w:val="single"/>
            <w:shd w:val="clear" w:color="auto" w:fill="FFFFFF"/>
            <w:lang w:val="en-US" w:eastAsia="en-US" w:bidi="ar-SA"/>
          </w:rPr>
          <w:t>2008 BCSC 14</w:t>
        </w:r>
      </w:hyperlink>
      <w:r>
        <w:rPr>
          <w:rFonts w:ascii="arial" w:eastAsia="arial" w:hAnsi="arial" w:cs="arial"/>
          <w:color w:val="000000"/>
          <w:sz w:val="20"/>
          <w:lang w:val="en-US" w:eastAsia="en-US" w:bidi="ar-SA"/>
        </w:rPr>
        <w:t xml:space="preserve">, aff'd </w:t>
      </w:r>
      <w:hyperlink r:id="rId558" w:history="1">
        <w:r>
          <w:rPr>
            <w:rFonts w:ascii="arial" w:eastAsia="arial" w:hAnsi="arial" w:cs="arial"/>
            <w:i/>
            <w:color w:val="0077CC"/>
            <w:sz w:val="20"/>
            <w:u w:val="single"/>
            <w:shd w:val="clear" w:color="auto" w:fill="FFFFFF"/>
            <w:lang w:val="en-US" w:eastAsia="en-US" w:bidi="ar-SA"/>
          </w:rPr>
          <w:t>2009 BCCA 447</w:t>
        </w:r>
      </w:hyperlink>
      <w:r>
        <w:rPr>
          <w:rFonts w:ascii="arial" w:eastAsia="arial" w:hAnsi="arial" w:cs="arial"/>
          <w:color w:val="000000"/>
          <w:sz w:val="20"/>
          <w:lang w:val="en-US" w:eastAsia="en-US" w:bidi="ar-SA"/>
        </w:rPr>
        <w:t xml:space="preserve">, leave to appeal ref'd </w:t>
      </w:r>
      <w:hyperlink r:id="rId559" w:history="1">
        <w:r>
          <w:rPr>
            <w:rFonts w:ascii="arial" w:eastAsia="arial" w:hAnsi="arial" w:cs="arial"/>
            <w:i/>
            <w:color w:val="0077CC"/>
            <w:sz w:val="20"/>
            <w:u w:val="single"/>
            <w:shd w:val="clear" w:color="auto" w:fill="FFFFFF"/>
            <w:lang w:val="en-US" w:eastAsia="en-US" w:bidi="ar-SA"/>
          </w:rPr>
          <w:t>[2009] S.C.C.A. No. 526</w:t>
        </w:r>
      </w:hyperlink>
      <w:r>
        <w:rPr>
          <w:rFonts w:ascii="arial" w:eastAsia="arial" w:hAnsi="arial" w:cs="arial"/>
          <w:color w:val="000000"/>
          <w:sz w:val="20"/>
          <w:lang w:val="en-US" w:eastAsia="en-US" w:bidi="ar-SA"/>
        </w:rPr>
        <w:t>. He states the following at para. 333: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 accept the submissions of the defendants that the </w:t>
      </w:r>
      <w:r>
        <w:rPr>
          <w:rFonts w:ascii="arial" w:eastAsia="arial" w:hAnsi="arial" w:cs="arial"/>
          <w:i/>
          <w:color w:val="000000"/>
          <w:sz w:val="20"/>
          <w:lang w:val="en-US" w:eastAsia="en-US" w:bidi="ar-SA"/>
        </w:rPr>
        <w:t>CRPA</w:t>
      </w:r>
      <w:r>
        <w:rPr>
          <w:rFonts w:ascii="arial" w:eastAsia="arial" w:hAnsi="arial" w:cs="arial"/>
          <w:color w:val="000000"/>
          <w:sz w:val="20"/>
          <w:lang w:val="en-US" w:eastAsia="en-US" w:bidi="ar-SA"/>
        </w:rPr>
        <w:t xml:space="preserve"> was enacted following and in response to a report authored by John D. MacAlpine titled "Report Arising out of the Activities of the Koo Klux Klan in British Columbia". Mr. MacAlpine's report was concerned with the threat posed by activities of the KKK in British Columbia involving the publication of hate speech against racial minorities. Mr. MacAlpine recommended an amendment to the </w:t>
      </w:r>
      <w:r>
        <w:rPr>
          <w:rFonts w:ascii="arial" w:eastAsia="arial" w:hAnsi="arial" w:cs="arial"/>
          <w:i/>
          <w:color w:val="000000"/>
          <w:sz w:val="20"/>
          <w:lang w:val="en-US" w:eastAsia="en-US" w:bidi="ar-SA"/>
        </w:rPr>
        <w:t>Human Rights Code</w:t>
      </w:r>
      <w:r>
        <w:rPr>
          <w:rFonts w:ascii="arial" w:eastAsia="arial" w:hAnsi="arial" w:cs="arial"/>
          <w:color w:val="000000"/>
          <w:sz w:val="20"/>
          <w:lang w:val="en-US" w:eastAsia="en-US" w:bidi="ar-SA"/>
        </w:rPr>
        <w:t>, R.S.B.C. 1979, c. 186 to address the need to create "an environment in which messages of racial supremacy and hatred on the ground of race, religion and ethnic origin will not find a receptive audience."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The Court was careful to distinguish breaches of the </w:t>
      </w:r>
      <w:r>
        <w:rPr>
          <w:rFonts w:ascii="arial" w:eastAsia="arial" w:hAnsi="arial" w:cs="arial"/>
          <w:i/>
          <w:color w:val="000000"/>
          <w:sz w:val="20"/>
          <w:lang w:val="en-US" w:eastAsia="en-US" w:bidi="ar-SA"/>
        </w:rPr>
        <w:t>CRPA</w:t>
      </w:r>
      <w:r>
        <w:rPr>
          <w:rFonts w:ascii="arial" w:eastAsia="arial" w:hAnsi="arial" w:cs="arial"/>
          <w:color w:val="000000"/>
          <w:sz w:val="20"/>
          <w:lang w:val="en-US" w:eastAsia="en-US" w:bidi="ar-SA"/>
        </w:rPr>
        <w:t xml:space="preserve"> from breaches of </w:t>
      </w:r>
      <w:r>
        <w:rPr>
          <w:rFonts w:ascii="arial" w:eastAsia="arial" w:hAnsi="arial" w:cs="arial"/>
          <w:i/>
          <w:color w:val="000000"/>
          <w:sz w:val="20"/>
          <w:lang w:val="en-US" w:eastAsia="en-US" w:bidi="ar-SA"/>
        </w:rPr>
        <w:t>Human Rights Code,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210</w:t>
      </w:r>
      <w:r>
        <w:rPr>
          <w:rFonts w:ascii="arial" w:eastAsia="arial" w:hAnsi="arial" w:cs="arial"/>
          <w:color w:val="000000"/>
          <w:sz w:val="20"/>
          <w:lang w:val="en-US" w:eastAsia="en-US" w:bidi="ar-SA"/>
        </w:rPr>
        <w:t xml:space="preserve"> at paras. 333-337 as being qualitatively different. The Court concluded that the offences contained within the </w:t>
      </w:r>
      <w:r>
        <w:rPr>
          <w:rFonts w:ascii="arial" w:eastAsia="arial" w:hAnsi="arial" w:cs="arial"/>
          <w:i/>
          <w:color w:val="000000"/>
          <w:sz w:val="20"/>
          <w:lang w:val="en-US" w:eastAsia="en-US" w:bidi="ar-SA"/>
        </w:rPr>
        <w:t>CRPA</w:t>
      </w:r>
      <w:r>
        <w:rPr>
          <w:rFonts w:ascii="arial" w:eastAsia="arial" w:hAnsi="arial" w:cs="arial"/>
          <w:color w:val="000000"/>
          <w:sz w:val="20"/>
          <w:lang w:val="en-US" w:eastAsia="en-US" w:bidi="ar-SA"/>
        </w:rPr>
        <w:t xml:space="preserve"> are </w:t>
      </w:r>
      <w:r>
        <w:rPr>
          <w:rFonts w:ascii="arial" w:eastAsia="arial" w:hAnsi="arial" w:cs="arial"/>
          <w:i/>
          <w:color w:val="000000"/>
          <w:sz w:val="20"/>
          <w:lang w:val="en-US" w:eastAsia="en-US" w:bidi="ar-SA"/>
        </w:rPr>
        <w:t>quasi</w:t>
      </w:r>
      <w:r>
        <w:rPr>
          <w:rFonts w:ascii="arial" w:eastAsia="arial" w:hAnsi="arial" w:cs="arial"/>
          <w:color w:val="000000"/>
          <w:sz w:val="20"/>
          <w:lang w:val="en-US" w:eastAsia="en-US" w:bidi="ar-SA"/>
        </w:rPr>
        <w:t xml:space="preserve"> criminal in nature (at various places, including para. 385) and states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[346] I conclude that the meaning attributed to the words "hatred" and "contempt", in similar statutory contexts, as provoking strong and deeply held emotions apply to the </w:t>
      </w:r>
      <w:r>
        <w:rPr>
          <w:rFonts w:ascii="arial" w:eastAsia="arial" w:hAnsi="arial" w:cs="arial"/>
          <w:i/>
          <w:color w:val="000000"/>
          <w:sz w:val="20"/>
          <w:lang w:val="en-US" w:eastAsia="en-US" w:bidi="ar-SA"/>
        </w:rPr>
        <w:t>CRPA</w:t>
      </w:r>
      <w:r>
        <w:rPr>
          <w:rFonts w:ascii="arial" w:eastAsia="arial" w:hAnsi="arial" w:cs="arial"/>
          <w:color w:val="000000"/>
          <w:sz w:val="20"/>
          <w:lang w:val="en-US" w:eastAsia="en-US" w:bidi="ar-SA"/>
        </w:rPr>
        <w:t xml:space="preserve">. Further, I conclude the meaning attaching to the words "superiority" and "inferiority" in the </w:t>
      </w:r>
      <w:r>
        <w:rPr>
          <w:rFonts w:ascii="arial" w:eastAsia="arial" w:hAnsi="arial" w:cs="arial"/>
          <w:i/>
          <w:color w:val="000000"/>
          <w:sz w:val="20"/>
          <w:lang w:val="en-US" w:eastAsia="en-US" w:bidi="ar-SA"/>
        </w:rPr>
        <w:t>CRPA</w:t>
      </w:r>
      <w:r>
        <w:rPr>
          <w:rFonts w:ascii="arial" w:eastAsia="arial" w:hAnsi="arial" w:cs="arial"/>
          <w:color w:val="000000"/>
          <w:sz w:val="20"/>
          <w:lang w:val="en-US" w:eastAsia="en-US" w:bidi="ar-SA"/>
        </w:rPr>
        <w:t xml:space="preserve"> imports an equally strong connotation of </w:t>
      </w:r>
      <w:r>
        <w:rPr>
          <w:rFonts w:ascii="arial" w:eastAsia="arial" w:hAnsi="arial" w:cs="arial"/>
          <w:color w:val="000000"/>
          <w:sz w:val="20"/>
          <w:u w:val="single"/>
          <w:lang w:val="en-US" w:eastAsia="en-US" w:bidi="ar-SA"/>
        </w:rPr>
        <w:t>promoting profound emotional antipathy based on notions of physical moral or intellectual inferiority or superiority</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[347] I also conclude that there must be evidence under the </w:t>
      </w:r>
      <w:r>
        <w:rPr>
          <w:rFonts w:ascii="arial" w:eastAsia="arial" w:hAnsi="arial" w:cs="arial"/>
          <w:i/>
          <w:color w:val="000000"/>
          <w:sz w:val="20"/>
          <w:lang w:val="en-US" w:eastAsia="en-US" w:bidi="ar-SA"/>
        </w:rPr>
        <w:t>CRPA</w:t>
      </w:r>
      <w:r>
        <w:rPr>
          <w:rFonts w:ascii="arial" w:eastAsia="arial" w:hAnsi="arial" w:cs="arial"/>
          <w:color w:val="000000"/>
          <w:sz w:val="20"/>
          <w:lang w:val="en-US" w:eastAsia="en-US" w:bidi="ar-SA"/>
        </w:rPr>
        <w:t xml:space="preserve"> that the person whose communication or conduct is impugned, must intend to create the consequence prohibited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 other words, there must be evidence that the person accused of infringing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intended to promote hatred, contempt, inferiority or superiority on a prohibited ground and intended to interfere thereby with the civil rights of the person or class of persons against whom the promotion of hatred, contempt or inferiority was directed.</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In light of the foregoing, the facts pleaded against the defendants in this proceeding are insufficient to support a breach of the </w:t>
      </w:r>
      <w:r>
        <w:rPr>
          <w:rFonts w:ascii="arial" w:eastAsia="arial" w:hAnsi="arial" w:cs="arial"/>
          <w:i/>
          <w:color w:val="000000"/>
          <w:sz w:val="20"/>
          <w:lang w:val="en-US" w:eastAsia="en-US" w:bidi="ar-SA"/>
        </w:rPr>
        <w:t>CRPA.</w:t>
      </w:r>
      <w:r>
        <w:rPr>
          <w:rFonts w:ascii="arial" w:eastAsia="arial" w:hAnsi="arial" w:cs="arial"/>
          <w:color w:val="000000"/>
          <w:sz w:val="20"/>
          <w:lang w:val="en-US" w:eastAsia="en-US" w:bidi="ar-SA"/>
        </w:rPr>
        <w:t xml:space="preserve"> Dr. Bajwa was required to plead that the defendants intended to promote hatred, contempt, inferiority or superiority on a prohibited ground and intended to interfere with his civil rights as a person or class of persons against whom the promotion of hatred, contempt or inferiority was directed.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The current allegations are directed at Dr. Ashburner and Ms. Baird, neither of whom are parties to this proceeding. Further, the allegations amount to bald unsupported assertions and do not address how profound emotional antipathy is being </w:t>
      </w:r>
      <w:r>
        <w:rPr>
          <w:rFonts w:ascii="arial" w:eastAsia="arial" w:hAnsi="arial" w:cs="arial"/>
          <w:color w:val="000000"/>
          <w:sz w:val="20"/>
          <w:u w:val="single"/>
          <w:lang w:val="en-US" w:eastAsia="en-US" w:bidi="ar-SA"/>
        </w:rPr>
        <w:t>promoted</w:t>
      </w:r>
      <w:r>
        <w:rPr>
          <w:rFonts w:ascii="arial" w:eastAsia="arial" w:hAnsi="arial" w:cs="arial"/>
          <w:color w:val="000000"/>
          <w:sz w:val="20"/>
          <w:lang w:val="en-US" w:eastAsia="en-US" w:bidi="ar-SA"/>
        </w:rPr>
        <w:t>, if at all. The plaintiff has failed to plead sufficient facts to support this cause of action and his claims are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Bad Faith/Vexatious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plaintiff charges that the individual defendants Drs. Kirby, O'Grady, Hollingshead, Lang and McKelvey held a common law duty of good faith with respect to the plaintiff's right to receive a hearing free from discriminatory conduct, bad faith, prejudice or bias. It appears to me that the factual foundation for this claim is set out in para. 52 and is directed at their decision to refer the plaintiff's hearing back for a second hearing after the majority of the first inquiry committee had found the charges were not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At para. 55 the plaintiff particularizes the malicious and bad faith conduct that included a refusal to provide fair hearings in accordance with natural justice, coercion or undue influence of the investigator of the charges, condoning discriminating and actively discriminating against Indo-Canadian veterinarians, pursuing two disciplinary hearings, denying the plaintiff the right to present evidence of institutional bias, and wrongfully interfering with his ability to practise as a veterinarian.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Dr. Bajwa argued that the defendants' bad faith was demonstrated by their decision to put him through a second hearing in the face of the conclusions of the first inquiry committee. He also argued that the defendants should have concluded that they had authority to consider institutional bias at the time of the second inquiry committee.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Whether a tort of bad faith exists was examined in </w:t>
      </w:r>
      <w:r>
        <w:rPr>
          <w:rFonts w:ascii="arial" w:eastAsia="arial" w:hAnsi="arial" w:cs="arial"/>
          <w:i/>
          <w:color w:val="000000"/>
          <w:sz w:val="20"/>
          <w:lang w:val="en-US" w:eastAsia="en-US" w:bidi="ar-SA"/>
        </w:rPr>
        <w:t>Berscheid, supra,</w:t>
      </w:r>
      <w:r>
        <w:rPr>
          <w:rFonts w:ascii="arial" w:eastAsia="arial" w:hAnsi="arial" w:cs="arial"/>
          <w:color w:val="000000"/>
          <w:sz w:val="20"/>
          <w:lang w:val="en-US" w:eastAsia="en-US" w:bidi="ar-SA"/>
        </w:rPr>
        <w:t xml:space="preserve"> at paras. 78-79: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[78] The plaintiff has also attempted to plead a tort of bad faith. The plaintiff alleges that the defendant Environment's conduct, either alone or vicariously through its servants, constitutes a tort creating liability for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[79] In my view, there is no such tort. While bad faith on behalf of public officers may be evidence of the tort of misfeasance of public office, bad faith alone is insufficient to create Crown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Wallace v. United Grain Growers Ltd.,</w:t>
      </w:r>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[1997] 3 S.C.R. 701</w:t>
        </w:r>
      </w:hyperlink>
      <w:r>
        <w:rPr>
          <w:rFonts w:ascii="arial" w:eastAsia="arial" w:hAnsi="arial" w:cs="arial"/>
          <w:color w:val="000000"/>
          <w:sz w:val="20"/>
          <w:lang w:val="en-US" w:eastAsia="en-US" w:bidi="ar-SA"/>
        </w:rPr>
        <w:t xml:space="preserve"> the existence of such a tort was examined in the context of employment law, and rejected: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77 I must also reject the appellant's claim that he can sue in tort for breach of a good faith and fair dealing obligation with regard to dismissals. </w:t>
      </w:r>
      <w:r>
        <w:rPr>
          <w:rFonts w:ascii="arial" w:eastAsia="arial" w:hAnsi="arial" w:cs="arial"/>
          <w:color w:val="000000"/>
          <w:sz w:val="20"/>
          <w:u w:val="single"/>
          <w:lang w:val="en-US" w:eastAsia="en-US" w:bidi="ar-SA"/>
        </w:rPr>
        <w:t>The Court of Appeal noted the absence of persuasive authority on this point and concluded that such a tort has not yet been recognized by Canadian courts. I agree with these findings</w:t>
      </w:r>
      <w:r>
        <w:rPr>
          <w:rFonts w:ascii="arial" w:eastAsia="arial" w:hAnsi="arial" w:cs="arial"/>
          <w:color w:val="000000"/>
          <w:sz w:val="20"/>
          <w:lang w:val="en-US" w:eastAsia="en-US" w:bidi="ar-SA"/>
        </w:rPr>
        <w:t>. To create such a tort in this case would therefore constitute a radical shift in the law, again a step better left to be taken by the legislatures.</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The New Brunswick Court of Appeal concluded that such a tort exists in the context of an insurance contract where good faith and fair dealing arise (see </w:t>
      </w:r>
      <w:r>
        <w:rPr>
          <w:rFonts w:ascii="arial" w:eastAsia="arial" w:hAnsi="arial" w:cs="arial"/>
          <w:i/>
          <w:color w:val="000000"/>
          <w:sz w:val="20"/>
          <w:lang w:val="en-US" w:eastAsia="en-US" w:bidi="ar-SA"/>
        </w:rPr>
        <w:t>Walsh v. Nicholls and CGU Insurance Company of Canada</w:t>
      </w:r>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2004 NBCA 59</w:t>
        </w:r>
      </w:hyperlink>
      <w:r>
        <w:rPr>
          <w:rFonts w:ascii="arial" w:eastAsia="arial" w:hAnsi="arial" w:cs="arial"/>
          <w:color w:val="000000"/>
          <w:sz w:val="20"/>
          <w:lang w:val="en-US" w:eastAsia="en-US" w:bidi="ar-SA"/>
        </w:rPr>
        <w:t xml:space="preserve"> at para. 2). I find that case distinguishable given the contractual relationship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conclusion, I find such a cause of action is not available to the plaintiff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Discriminatory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The plaintiff has pleaded discrimination as an independent, actionable tort at common law. In </w:t>
      </w:r>
      <w:r>
        <w:rPr>
          <w:rFonts w:ascii="arial" w:eastAsia="arial" w:hAnsi="arial" w:cs="arial"/>
          <w:i/>
          <w:color w:val="000000"/>
          <w:sz w:val="20"/>
          <w:lang w:val="en-US" w:eastAsia="en-US" w:bidi="ar-SA"/>
        </w:rPr>
        <w:t>Honda Canada Inc., supra</w:t>
      </w:r>
      <w:r>
        <w:rPr>
          <w:rFonts w:ascii="arial" w:eastAsia="arial" w:hAnsi="arial" w:cs="arial"/>
          <w:color w:val="000000"/>
          <w:sz w:val="20"/>
          <w:lang w:val="en-US" w:eastAsia="en-US" w:bidi="ar-SA"/>
        </w:rPr>
        <w:t>, the Supreme Court of Canada examined this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[63] In this case, the trial judge awarded punitive damages on the basis of discriminatory conduct by Honda. Honda argues that discrimination is precluded as an independent cause of action under </w:t>
      </w:r>
      <w:r>
        <w:rPr>
          <w:rFonts w:ascii="arial" w:eastAsia="arial" w:hAnsi="arial" w:cs="arial"/>
          <w:i/>
          <w:color w:val="000000"/>
          <w:sz w:val="20"/>
          <w:lang w:val="en-US" w:eastAsia="en-US" w:bidi="ar-SA"/>
        </w:rPr>
        <w:t>Seneca College of Applied Arts and Technology v. Bhadauria</w:t>
      </w:r>
      <w:r>
        <w:rPr>
          <w:rFonts w:ascii="arial" w:eastAsia="arial" w:hAnsi="arial" w:cs="arial"/>
          <w:color w:val="000000"/>
          <w:sz w:val="20"/>
          <w:lang w:val="en-US" w:eastAsia="en-US" w:bidi="ar-SA"/>
        </w:rPr>
        <w:t xml:space="preserve">, </w:t>
      </w:r>
      <w:hyperlink r:id="rId538" w:history="1">
        <w:r>
          <w:rPr>
            <w:rFonts w:ascii="arial" w:eastAsia="arial" w:hAnsi="arial" w:cs="arial"/>
            <w:i/>
            <w:color w:val="0077CC"/>
            <w:sz w:val="20"/>
            <w:u w:val="single"/>
            <w:shd w:val="clear" w:color="auto" w:fill="FFFFFF"/>
            <w:lang w:val="en-US" w:eastAsia="en-US" w:bidi="ar-SA"/>
          </w:rPr>
          <w:t>[1981] 2 S.C.R. 181</w:t>
        </w:r>
      </w:hyperlink>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In that case, this Court clearly articulated that a plaintiff is precluded from pursuing a common law remedy when human rights legislation contains a comprehensive enforcement scheme for violations of its substantive terms</w:t>
      </w:r>
      <w:r>
        <w:rPr>
          <w:rFonts w:ascii="arial" w:eastAsia="arial" w:hAnsi="arial" w:cs="arial"/>
          <w:color w:val="000000"/>
          <w:sz w:val="20"/>
          <w:lang w:val="en-US" w:eastAsia="en-US" w:bidi="ar-SA"/>
        </w:rPr>
        <w:t xml:space="preserve">. The reasoning behind this conclusion is that the purpose of the Ontario </w:t>
      </w:r>
      <w:r>
        <w:rPr>
          <w:rFonts w:ascii="arial" w:eastAsia="arial" w:hAnsi="arial" w:cs="arial"/>
          <w:i/>
          <w:color w:val="000000"/>
          <w:sz w:val="20"/>
          <w:lang w:val="en-US" w:eastAsia="en-US" w:bidi="ar-SA"/>
        </w:rPr>
        <w:t>Human Rights Code</w:t>
      </w:r>
      <w:r>
        <w:rPr>
          <w:rFonts w:ascii="arial" w:eastAsia="arial" w:hAnsi="arial" w:cs="arial"/>
          <w:color w:val="000000"/>
          <w:sz w:val="20"/>
          <w:lang w:val="en-US" w:eastAsia="en-US" w:bidi="ar-SA"/>
        </w:rPr>
        <w:t xml:space="preserve"> is to remedy the effects of discrimination; if breaches to the Code were actionable in common law courts, it would encourage litigants to use the Code for a purpose the legislature did not intend -- namely, to punish employers who discriminate against their employees. Thus, a person who alleges a breach of the provisions of the Code must seek a remedy within the statutory scheme set out in the Code itself.</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Seneca College of Applied Arts, supra,</w:t>
      </w:r>
      <w:r>
        <w:rPr>
          <w:rFonts w:ascii="arial" w:eastAsia="arial" w:hAnsi="arial" w:cs="arial"/>
          <w:color w:val="000000"/>
          <w:sz w:val="20"/>
          <w:lang w:val="en-US" w:eastAsia="en-US" w:bidi="ar-SA"/>
        </w:rPr>
        <w:t xml:space="preserve"> the Supreme Court of Canada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the foregoing reasons, I would hold that not only does the Code foreclose any civil action based directly upon a breach thereof but </w:t>
      </w:r>
      <w:r>
        <w:rPr>
          <w:rFonts w:ascii="arial" w:eastAsia="arial" w:hAnsi="arial" w:cs="arial"/>
          <w:color w:val="000000"/>
          <w:sz w:val="20"/>
          <w:u w:val="single"/>
          <w:lang w:val="en-US" w:eastAsia="en-US" w:bidi="ar-SA"/>
        </w:rPr>
        <w:t>it also excludes any common law action based on an invocation of the public policy expressed in the Code</w:t>
      </w:r>
      <w:r>
        <w:rPr>
          <w:rFonts w:ascii="arial" w:eastAsia="arial" w:hAnsi="arial" w:cs="arial"/>
          <w:color w:val="000000"/>
          <w:sz w:val="20"/>
          <w:lang w:val="en-US" w:eastAsia="en-US" w:bidi="ar-SA"/>
        </w:rPr>
        <w:t>. The Code itself has laid out the procedures for vindication of that public policy, procedures which the plaintiff respondent did not see fit to use.</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In British Columbia the </w:t>
      </w:r>
      <w:r>
        <w:rPr>
          <w:rFonts w:ascii="arial" w:eastAsia="arial" w:hAnsi="arial" w:cs="arial"/>
          <w:i/>
          <w:color w:val="000000"/>
          <w:sz w:val="20"/>
          <w:lang w:val="en-US" w:eastAsia="en-US" w:bidi="ar-SA"/>
        </w:rPr>
        <w:t>Human Rights Code,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210</w:t>
      </w:r>
      <w:r>
        <w:rPr>
          <w:rFonts w:ascii="arial" w:eastAsia="arial" w:hAnsi="arial" w:cs="arial"/>
          <w:color w:val="000000"/>
          <w:sz w:val="20"/>
          <w:lang w:val="en-US" w:eastAsia="en-US" w:bidi="ar-SA"/>
        </w:rPr>
        <w:t xml:space="preserve"> provides a statutory scheme that forecloses the possibility of a common law remedy for discrimination. I find that for the purposes of this action, a common law tort of discrimination is not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Breach of Trust/Misfeasance in Public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The plaintiff claims that the Council intentionally, maliciously and in bad faith singled him out in referring charges back to the second committee hearing before a different panel. He says they acted with malice and without reasonable and probable cause or for a primary purpose other than that of carrying out the law. He cited </w:t>
      </w:r>
      <w:r>
        <w:rPr>
          <w:rFonts w:ascii="arial" w:eastAsia="arial" w:hAnsi="arial" w:cs="arial"/>
          <w:i/>
          <w:color w:val="000000"/>
          <w:sz w:val="20"/>
          <w:lang w:val="en-US" w:eastAsia="en-US" w:bidi="ar-SA"/>
        </w:rPr>
        <w:t>Roncarelli v. Duplessis,</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[1959] S.C.R. 121</w:t>
        </w:r>
      </w:hyperlink>
      <w:r>
        <w:rPr>
          <w:rFonts w:ascii="arial" w:eastAsia="arial" w:hAnsi="arial" w:cs="arial"/>
          <w:color w:val="000000"/>
          <w:sz w:val="20"/>
          <w:lang w:val="en-US" w:eastAsia="en-US" w:bidi="ar-SA"/>
        </w:rPr>
        <w:t xml:space="preserve"> as authority for the proposition that the tort of misfeasance in public office supports his claim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The plaintiff argues that his claim of misfeasance in public office, and in particular malice, will deprive the defendants of the statutory protection afforded under the section 1 of the </w:t>
      </w:r>
      <w:r>
        <w:rPr>
          <w:rFonts w:ascii="arial" w:eastAsia="arial" w:hAnsi="arial" w:cs="arial"/>
          <w:i/>
          <w:color w:val="000000"/>
          <w:sz w:val="20"/>
          <w:lang w:val="en-US" w:eastAsia="en-US" w:bidi="ar-SA"/>
        </w:rPr>
        <w:t>DAPA</w:t>
      </w:r>
      <w:r>
        <w:rPr>
          <w:rFonts w:ascii="arial" w:eastAsia="arial" w:hAnsi="arial" w:cs="arial"/>
          <w:color w:val="000000"/>
          <w:sz w:val="20"/>
          <w:lang w:val="en-US" w:eastAsia="en-US" w:bidi="ar-SA"/>
        </w:rPr>
        <w:t xml:space="preserve">. It should be noted that the </w:t>
      </w:r>
      <w:r>
        <w:rPr>
          <w:rFonts w:ascii="arial" w:eastAsia="arial" w:hAnsi="arial" w:cs="arial"/>
          <w:i/>
          <w:color w:val="000000"/>
          <w:sz w:val="20"/>
          <w:lang w:val="en-US" w:eastAsia="en-US" w:bidi="ar-SA"/>
        </w:rPr>
        <w:t>DAPA</w:t>
      </w:r>
      <w:r>
        <w:rPr>
          <w:rFonts w:ascii="arial" w:eastAsia="arial" w:hAnsi="arial" w:cs="arial"/>
          <w:color w:val="000000"/>
          <w:sz w:val="20"/>
          <w:lang w:val="en-US" w:eastAsia="en-US" w:bidi="ar-SA"/>
        </w:rPr>
        <w:t xml:space="preserve"> operates to protect public officials unless "the act or thing is done maliciously </w:t>
      </w:r>
      <w:r>
        <w:rPr>
          <w:rFonts w:ascii="arial" w:eastAsia="arial" w:hAnsi="arial" w:cs="arial"/>
          <w:color w:val="000000"/>
          <w:sz w:val="20"/>
          <w:u w:val="single"/>
          <w:lang w:val="en-US" w:eastAsia="en-US" w:bidi="ar-SA"/>
        </w:rPr>
        <w:t>and</w:t>
      </w:r>
      <w:r>
        <w:rPr>
          <w:rFonts w:ascii="arial" w:eastAsia="arial" w:hAnsi="arial" w:cs="arial"/>
          <w:color w:val="000000"/>
          <w:sz w:val="20"/>
          <w:lang w:val="en-US" w:eastAsia="en-US" w:bidi="ar-SA"/>
        </w:rPr>
        <w:t xml:space="preserve"> without reasonable </w:t>
      </w:r>
      <w:r>
        <w:rPr>
          <w:rFonts w:ascii="arial" w:eastAsia="arial" w:hAnsi="arial" w:cs="arial"/>
          <w:color w:val="000000"/>
          <w:sz w:val="20"/>
          <w:u w:val="single"/>
          <w:lang w:val="en-US" w:eastAsia="en-US" w:bidi="ar-SA"/>
        </w:rPr>
        <w:t>and</w:t>
      </w:r>
      <w:r>
        <w:rPr>
          <w:rFonts w:ascii="arial" w:eastAsia="arial" w:hAnsi="arial" w:cs="arial"/>
          <w:color w:val="000000"/>
          <w:sz w:val="20"/>
          <w:lang w:val="en-US" w:eastAsia="en-US" w:bidi="ar-SA"/>
        </w:rPr>
        <w:t xml:space="preserve"> probable cause"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The tort of misfeasance in a public office was discussed in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The tort has two elements, in addition to the other requirements common to all torts (paras. 23 and 32):</w:t>
      </w:r>
      <w:r>
        <w:rPr>
          <w:rFonts w:ascii="arial" w:eastAsia="arial" w:hAnsi="arial" w:cs="arial"/>
          <w:sz w:val="20"/>
          <w:lang w:val="en-US" w:eastAsia="en-US" w:bidi="ar-SA"/>
        </w:rPr>
        <w:cr/>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public officer must have engaged in deliberate and unlawful conduct in his or her capacity as a public officer.</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public officer must have been aware both that his or her conduct was unlawful and that it was likely to harm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There exist two categories of the tort. For the first category, "Category A involves conduct that is specifically intended to injure a person or class of persons ... the fact that the public officer has acted for the express purpose of harming the plaintiff is sufficient to satisfy each ingredient of the tort, owing to the fact that a public officer does not have the authority to exercise his or her powers for an improper purpose, such as deliberately harming a member of the public". For the second category, "Category B involves a public officer who acts with knowledge both that she or he has no power to do the act complained of and that the act is likely to injure the plaintiff ... In Category B, the plaintiff must prove the two ingredients of the tort independently of one another" (paras. 22-23).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On this application I must be satisfied that Dr. Bajwa has pleaded all of the constituent elements of the tort: </w:t>
      </w:r>
      <w:r>
        <w:rPr>
          <w:rFonts w:ascii="arial" w:eastAsia="arial" w:hAnsi="arial" w:cs="arial"/>
          <w:i/>
          <w:color w:val="000000"/>
          <w:sz w:val="20"/>
          <w:lang w:val="en-US" w:eastAsia="en-US" w:bidi="ar-SA"/>
        </w:rPr>
        <w:t>Odhavji Estate</w:t>
      </w:r>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563"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Chief Justice McLachlin made the following comments: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 A claim will only be struck if it is plain and obvious, assuming the facts pleaded to be true, that the pleading discloses no reasonable cause of action: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[2003] 3 S.C.R. 263</w:t>
        </w:r>
      </w:hyperlink>
      <w:r>
        <w:rPr>
          <w:rFonts w:ascii="arial" w:eastAsia="arial" w:hAnsi="arial" w:cs="arial"/>
          <w:color w:val="000000"/>
          <w:sz w:val="20"/>
          <w:lang w:val="en-US" w:eastAsia="en-US" w:bidi="ar-SA"/>
        </w:rPr>
        <w:t xml:space="preserve">, at para. 15, </w:t>
      </w:r>
      <w:hyperlink r:id="rId562" w:history="1">
        <w:r>
          <w:rPr>
            <w:rFonts w:ascii="arial" w:eastAsia="arial" w:hAnsi="arial" w:cs="arial"/>
            <w:i/>
            <w:color w:val="0077CC"/>
            <w:sz w:val="20"/>
            <w:u w:val="single"/>
            <w:shd w:val="clear" w:color="auto" w:fill="FFFFFF"/>
            <w:lang w:val="en-US" w:eastAsia="en-US" w:bidi="ar-SA"/>
          </w:rPr>
          <w:t>233 D.L.R. (4th) 193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p. 980, </w:t>
      </w:r>
      <w:r>
        <w:rPr>
          <w:rFonts w:ascii="arial" w:eastAsia="arial" w:hAnsi="arial" w:cs="arial"/>
          <w:i/>
          <w:color w:val="000000"/>
          <w:sz w:val="20"/>
          <w:lang w:val="en-US" w:eastAsia="en-US" w:bidi="ar-SA"/>
        </w:rPr>
        <w:t>74 D.L.R. (4th) 321</w:t>
      </w:r>
      <w:r>
        <w:rPr>
          <w:rFonts w:ascii="arial" w:eastAsia="arial" w:hAnsi="arial" w:cs="arial"/>
          <w:color w:val="000000"/>
          <w:sz w:val="20"/>
          <w:lang w:val="en-US" w:eastAsia="en-US" w:bidi="ar-SA"/>
        </w:rPr>
        <w:t>. Another way of putting the test is that the claim has no reasonable prospect of success.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Valuable as it is, the motion to strike is a tool that must be used with care. The law is not static and unchanging ... Therefore, on a motion to strike, it is not determinative that the law has not yet recognized the particular claim. The court must rather ask whether, assuming the facts pleaded are true, there is a reasonable prospect that the claim will succeed. The approach must be generous and err on the side of permitting a novel but arguable claim to proceed to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A motion to strike for failure to disclose a reasonable cause of action proceeds on the basis that the facts pleaded are true, unless they are manifestly incapable of being proven: </w:t>
      </w:r>
      <w:r>
        <w:rPr>
          <w:rFonts w:ascii="arial" w:eastAsia="arial" w:hAnsi="arial" w:cs="arial"/>
          <w:i/>
          <w:color w:val="000000"/>
          <w:sz w:val="20"/>
          <w:lang w:val="en-US" w:eastAsia="en-US" w:bidi="ar-SA"/>
        </w:rPr>
        <w:t>Operation Dismantle Inc. v. The Queen</w:t>
      </w:r>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[1985] 1 S.C.R. 441</w:t>
        </w:r>
      </w:hyperlink>
      <w:r>
        <w:rPr>
          <w:rFonts w:ascii="arial" w:eastAsia="arial" w:hAnsi="arial" w:cs="arial"/>
          <w:color w:val="000000"/>
          <w:sz w:val="20"/>
          <w:lang w:val="en-US" w:eastAsia="en-US" w:bidi="ar-SA"/>
        </w:rPr>
        <w:t xml:space="preserve">, at p. 455, </w:t>
      </w:r>
      <w:hyperlink r:id="rId186" w:history="1">
        <w:r>
          <w:rPr>
            <w:rFonts w:ascii="arial" w:eastAsia="arial" w:hAnsi="arial" w:cs="arial"/>
            <w:i/>
            <w:color w:val="0077CC"/>
            <w:sz w:val="20"/>
            <w:u w:val="single"/>
            <w:shd w:val="clear" w:color="auto" w:fill="FFFFFF"/>
            <w:lang w:val="en-US" w:eastAsia="en-US" w:bidi="ar-SA"/>
          </w:rPr>
          <w:t>18 D.L.R. (4th) 481</w:t>
        </w:r>
      </w:hyperlink>
      <w:r>
        <w:rPr>
          <w:rFonts w:ascii="arial" w:eastAsia="arial" w:hAnsi="arial" w:cs="arial"/>
          <w:color w:val="000000"/>
          <w:sz w:val="20"/>
          <w:lang w:val="en-US" w:eastAsia="en-US" w:bidi="ar-SA"/>
        </w:rPr>
        <w:t>. No evidence is admissible on such a motion: r. 19(27) of the Supreme Court Rules (now r. 9-5(2) of the Supreme Court 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More recently in </w:t>
      </w:r>
      <w:r>
        <w:rPr>
          <w:rFonts w:ascii="arial" w:eastAsia="arial" w:hAnsi="arial" w:cs="arial"/>
          <w:i/>
          <w:color w:val="000000"/>
          <w:sz w:val="20"/>
          <w:lang w:val="en-US" w:eastAsia="en-US" w:bidi="ar-SA"/>
        </w:rPr>
        <w:t>Leroux v. Canada Revenue Agency</w:t>
      </w:r>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2012 BCCA 63</w:t>
        </w:r>
      </w:hyperlink>
      <w:r>
        <w:rPr>
          <w:rFonts w:ascii="arial" w:eastAsia="arial" w:hAnsi="arial" w:cs="arial"/>
          <w:color w:val="000000"/>
          <w:sz w:val="20"/>
          <w:lang w:val="en-US" w:eastAsia="en-US" w:bidi="ar-SA"/>
        </w:rPr>
        <w:t>, Madam Justice Huddart commented at para. 33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To establish the intentional tort of misfeasance in a public office, Mr. Leroux must prove: (i) deliberate unlawful conduct in the exercise of public functions; (ii) awareness that the conduct is unlawful and likely to injure the plaintiff; (iii) the tortious conduct was the legal cause of injury to him; and (iv) the injury is compensable in tort law (</w:t>
      </w:r>
      <w:r>
        <w:rPr>
          <w:rFonts w:ascii="arial" w:eastAsia="arial" w:hAnsi="arial" w:cs="arial"/>
          <w:i/>
          <w:color w:val="000000"/>
          <w:sz w:val="20"/>
          <w:lang w:val="en-US" w:eastAsia="en-US" w:bidi="ar-SA"/>
        </w:rPr>
        <w:t>Odhavji</w:t>
      </w:r>
      <w:r>
        <w:rPr>
          <w:rFonts w:ascii="arial" w:eastAsia="arial" w:hAnsi="arial" w:cs="arial"/>
          <w:color w:val="000000"/>
          <w:sz w:val="20"/>
          <w:lang w:val="en-US" w:eastAsia="en-US" w:bidi="ar-SA"/>
        </w:rPr>
        <w:t>, para. 32). To disclose a reasonable cause of action, the statement of claim must disclose material facts supporting each of those constituent elements.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Dr. Bajwa is required to plead that the public officer engaged in deliberate and unlawful conduct in his or her capacity as a public officer. He must also plead and prove that the public officer was aware that the conduct was unlawful, that it was likely to harm the plaintiff and did cause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I accept that the facts pleaded are true for the purposes of this aspect of the application. It seems to me that the pleadings are not sufficient to meet the test outlined in </w:t>
      </w:r>
      <w:r>
        <w:rPr>
          <w:rFonts w:ascii="arial" w:eastAsia="arial" w:hAnsi="arial" w:cs="arial"/>
          <w:i/>
          <w:color w:val="000000"/>
          <w:sz w:val="20"/>
          <w:lang w:val="en-US" w:eastAsia="en-US" w:bidi="ar-SA"/>
        </w:rPr>
        <w:t>Odhavji Estate.</w:t>
      </w:r>
      <w:r>
        <w:rPr>
          <w:rFonts w:ascii="arial" w:eastAsia="arial" w:hAnsi="arial" w:cs="arial"/>
          <w:color w:val="000000"/>
          <w:sz w:val="20"/>
          <w:lang w:val="en-US" w:eastAsia="en-US" w:bidi="ar-SA"/>
        </w:rPr>
        <w:t xml:space="preserve"> First, Dr. Bajwa has not expressly pleaded that the defendants were guilty of deliberate and unlawful conduct. Although that may be inferred from the broad allegations in the notice of claim, he does not plead that in referring the matter of charges to a second inquiry committee the defendants committed an unlawful act in the exercise of their public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pleadings suggest that the decision to refer the charges for a second hearing was made maliciously and without reasonable and probable cause, the charges were frivolous and vexatious, done with an ulterior motive, without cause and in bad faith. However, Slade J. concluded that it was reasonable for the Council to direct a new hearing to correct the committee's error. The reasonableness of the decision to hold a second inquiry is established on the plaintiff's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The second inquiry committee dealt with the original charges and two new charges of misconduct. The plaintiff does not allege that the Council acted unlawfully in considering the new charges but that its decision to refer the charges to a second hearing was motivated by malice and bad faith. However, the Council was required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to consider those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Second, under both Category A and B of the tort of misfeasance in public office (as the term "Category" is used by the Supreme Court of Canada) there is an examination of the intent and knowledge of the public officer. This examination duplicates the work of the Human Rights Tribunal to the extent that allegations of discrimination are explored. The Court of Appeal has already ruled that the Tribunal must exclusively make that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Further, the defendants argue that the claim of misfeasance in public office in this case is simply a collateral attack on the results of the judicial review proceedings. I observe that at para. 55(h) in the notice of civil claim the plaintiff particularized the defendants' bad faith and malicious conduct as having prevented him from tendering evidence of institutional bias in the second conduct review. As previously noted in these reasons, that issue was taken up in the judicial review proceedings before Allan J. which was dismissed by the Court of Appeal. Those issues should be dealt with by the Human Rights Tribunal as part of its ongoing process. Similarly, 55(c), (d), and (e) are matters being dealt with by the Human Rights Tribunal.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The further comments of McLachlan C.J.C. in </w:t>
      </w:r>
      <w:r>
        <w:rPr>
          <w:rFonts w:ascii="arial" w:eastAsia="arial" w:hAnsi="arial" w:cs="arial"/>
          <w:i/>
          <w:color w:val="000000"/>
          <w:sz w:val="20"/>
          <w:lang w:val="en-US" w:eastAsia="en-US" w:bidi="ar-SA"/>
        </w:rPr>
        <w:t>Imperial Tobacco Canada Ltd.</w:t>
      </w:r>
      <w:r>
        <w:rPr>
          <w:rFonts w:ascii="arial" w:eastAsia="arial" w:hAnsi="arial" w:cs="arial"/>
          <w:color w:val="000000"/>
          <w:sz w:val="20"/>
          <w:lang w:val="en-US" w:eastAsia="en-US" w:bidi="ar-SA"/>
        </w:rPr>
        <w:t xml:space="preserve"> are instructive: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Related to the issue of whether the motion should be refused because of the possibility of unknown evidence appearing at a future date is the issue of speculation. The judge on a motion to strike asks if the claim has any reasonable prospect of success. In the world of abstract speculation, there is a mathematical chance that any number of things might happen. That is not what the test on a motion to strike seeks to determine. Rather, it operates on the assumption that the claim will proceed through the court system in the usual way -- in an adversarial system where judges are under a duty to apply the law as set out in (and as it may develop from) statutes and precedent. The question is whether, considered in </w:t>
      </w:r>
      <w:r>
        <w:rPr>
          <w:rFonts w:ascii="arial" w:eastAsia="arial" w:hAnsi="arial" w:cs="arial"/>
          <w:i/>
          <w:color w:val="000000"/>
          <w:sz w:val="20"/>
          <w:lang w:val="en-US" w:eastAsia="en-US" w:bidi="ar-SA"/>
        </w:rPr>
        <w:t>the context of the law and the litigation process</w:t>
      </w:r>
      <w:r>
        <w:rPr>
          <w:rFonts w:ascii="arial" w:eastAsia="arial" w:hAnsi="arial" w:cs="arial"/>
          <w:color w:val="000000"/>
          <w:sz w:val="20"/>
          <w:lang w:val="en-US" w:eastAsia="en-US" w:bidi="ar-SA"/>
        </w:rPr>
        <w:t>, the claim has no reasonable chance of succeeding.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Cimaco International Sales, Inc.</w:t>
      </w:r>
      <w:r>
        <w:rPr>
          <w:rFonts w:ascii="arial" w:eastAsia="arial" w:hAnsi="arial" w:cs="arial"/>
          <w:color w:val="000000"/>
          <w:sz w:val="20"/>
          <w:lang w:val="en-US" w:eastAsia="en-US" w:bidi="ar-SA"/>
        </w:rPr>
        <w:t xml:space="preserve"> the court discussed the requirements to determine if it is plain and obvious a claim is likely to fail: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Guidelines for determining whether it is "plain and obvious" a claim must fail include (</w:t>
      </w:r>
      <w:r>
        <w:rPr>
          <w:rFonts w:ascii="arial" w:eastAsia="arial" w:hAnsi="arial" w:cs="arial"/>
          <w:i/>
          <w:color w:val="000000"/>
          <w:sz w:val="20"/>
          <w:lang w:val="en-US" w:eastAsia="en-US" w:bidi="ar-SA"/>
        </w:rPr>
        <w:t>Strata Plan L.M.S. 1328 v. Surrey (City)</w:t>
      </w:r>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2001 BCCA 693</w:t>
        </w:r>
      </w:hyperlink>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95 B.C.L.R. (3d) 315</w:t>
        </w:r>
      </w:hyperlink>
      <w:r>
        <w:rPr>
          <w:rFonts w:ascii="arial" w:eastAsia="arial" w:hAnsi="arial" w:cs="arial"/>
          <w:color w:val="000000"/>
          <w:sz w:val="20"/>
          <w:lang w:val="en-US" w:eastAsia="en-US" w:bidi="ar-SA"/>
        </w:rPr>
        <w:t xml:space="preserve"> at para. 5):</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is a question fit to be tried regardless of complexity or novelty;</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outcome of the claim at trial is beyond a reasonable doubt;</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serious questions of law or questions of general importance are raised or if facts should be known before rights are decided;</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pleadings might be amended; and</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element of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pleadings as currently drafted are inadequate to make out a claim of misfeasance in public office. I recognize they may be amended to properly pursue a claim of misfeasance in public office even though such an amendment would be the fourth attempt.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However, based on my earlier reasons I am of the view on the facts pleaded that Dr. Bajwa's claim cannot succeed. He is unable to escape the impact of the other decisions mentioned earlier. There would be an element of abuse of process if the claims were to be allowed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As a consequence, I conclude it is plain and obvious that the plaintiff's claim for damages for this tort should be struck out because it has no reasonable chance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As I have noted elsewhere, the Human Rights Tribunal must make findings relating to discrimination. If the Tribunal concludes that the plaintiff was discriminated against, the elements of the tort of misfeasance in public office might be made out. However, it is unclear to me if the plaintiff could also proceed in this Court for a remedy under the tort of misfeasance if he is awarded a remedy at the Tribunal. I reiterate that at this time I make no finding regarding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Malicious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plaintiff alleges the defendants acted without reasonable or probable cause in referring charges back to the second inquiry committee. He also alleges that the second inquiry hearing terminated in his favor after Allan J. quashed the findings of the inquiry committee and Council (though I note the Court of Appeal decision reversed Allan J.'s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He also argued that the defendants maliciously proceeded with two disciplinary hearings against him for the same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The Supreme Court of Canada decision in </w:t>
      </w:r>
      <w:r>
        <w:rPr>
          <w:rFonts w:ascii="arial" w:eastAsia="arial" w:hAnsi="arial" w:cs="arial"/>
          <w:i/>
          <w:color w:val="000000"/>
          <w:sz w:val="20"/>
          <w:lang w:val="en-US" w:eastAsia="en-US" w:bidi="ar-SA"/>
        </w:rPr>
        <w:t>Miazga v. Kvello Estate,</w:t>
      </w:r>
      <w:r>
        <w:rPr>
          <w:rFonts w:ascii="arial" w:eastAsia="arial" w:hAnsi="arial" w:cs="arial"/>
          <w:color w:val="000000"/>
          <w:sz w:val="20"/>
          <w:lang w:val="en-US" w:eastAsia="en-US" w:bidi="ar-SA"/>
        </w:rPr>
        <w:t xml:space="preserve"> </w:t>
      </w:r>
      <w:hyperlink r:id="rId566" w:history="1">
        <w:r>
          <w:rPr>
            <w:rFonts w:ascii="arial" w:eastAsia="arial" w:hAnsi="arial" w:cs="arial"/>
            <w:i/>
            <w:color w:val="0077CC"/>
            <w:sz w:val="20"/>
            <w:u w:val="single"/>
            <w:shd w:val="clear" w:color="auto" w:fill="FFFFFF"/>
            <w:lang w:val="en-US" w:eastAsia="en-US" w:bidi="ar-SA"/>
          </w:rPr>
          <w:t>2009 SCC 51</w:t>
        </w:r>
      </w:hyperlink>
      <w:r>
        <w:rPr>
          <w:rFonts w:ascii="arial" w:eastAsia="arial" w:hAnsi="arial" w:cs="arial"/>
          <w:color w:val="000000"/>
          <w:sz w:val="20"/>
          <w:lang w:val="en-US" w:eastAsia="en-US" w:bidi="ar-SA"/>
        </w:rPr>
        <w:t xml:space="preserve"> is instructive on the elements required to establish a claim for malicious prosecution. It is equally important in informing this Court on the analysis of a malicious prosecution action at a summary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xml:space="preserve"> at paras. 53 to 56 the Court outlined the four elements of the tort necessary to succeed in a claim for abuse of process and malicious prosecution, each of which must be pleaded and proved by the plaintiff:</w:t>
      </w:r>
      <w:r>
        <w:rPr>
          <w:rFonts w:ascii="arial" w:eastAsia="arial" w:hAnsi="arial" w:cs="arial"/>
          <w:sz w:val="20"/>
          <w:lang w:val="en-US" w:eastAsia="en-US" w:bidi="ar-SA"/>
        </w:rPr>
        <w:cr/>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prosecution was initiated by the defendant;</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prosecution must have terminated in the plaintiff's favour;</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lacked reasonable and probable cause to commence or continue the prosecution; and</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conduct in setting the criminal process in motion was fuelled by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There is also doubt that the tort of malicious prosecution is available for maliciously instituting civil proceedings. In </w:t>
      </w:r>
      <w:r>
        <w:rPr>
          <w:rFonts w:ascii="arial" w:eastAsia="arial" w:hAnsi="arial" w:cs="arial"/>
          <w:i/>
          <w:color w:val="000000"/>
          <w:sz w:val="20"/>
          <w:lang w:val="en-US" w:eastAsia="en-US" w:bidi="ar-SA"/>
        </w:rPr>
        <w:t>Chase v. The Municipality of Surrey</w:t>
      </w:r>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2012 BCSC 71</w:t>
        </w:r>
      </w:hyperlink>
      <w:r>
        <w:rPr>
          <w:rFonts w:ascii="arial" w:eastAsia="arial" w:hAnsi="arial" w:cs="arial"/>
          <w:color w:val="000000"/>
          <w:sz w:val="20"/>
          <w:lang w:val="en-US" w:eastAsia="en-US" w:bidi="ar-SA"/>
        </w:rPr>
        <w:t>, Madam Justice Arnold-Bailey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Counsel for the Municipality of Surrey drew to my attention the case of </w:t>
      </w:r>
      <w:r>
        <w:rPr>
          <w:rFonts w:ascii="arial" w:eastAsia="arial" w:hAnsi="arial" w:cs="arial"/>
          <w:i/>
          <w:color w:val="000000"/>
          <w:sz w:val="20"/>
          <w:lang w:val="en-US" w:eastAsia="en-US" w:bidi="ar-SA"/>
        </w:rPr>
        <w:t>Metall und Rohstoff A.G. v. Donaldson, Lufkin &amp; Jenerette Inc.</w:t>
      </w:r>
      <w:r>
        <w:rPr>
          <w:rFonts w:ascii="arial" w:eastAsia="arial" w:hAnsi="arial" w:cs="arial"/>
          <w:color w:val="000000"/>
          <w:sz w:val="20"/>
          <w:lang w:val="en-US" w:eastAsia="en-US" w:bidi="ar-SA"/>
        </w:rPr>
        <w:t>, [1989] 3 All E.R. 14, where the court states at 51, "Although we have not heard full argument on this point, we have great doubt whether any general tort of maliciously instituting civil proceedings exists."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I could find little that supports [its use against civil proceedings]. In </w:t>
      </w:r>
      <w:r>
        <w:rPr>
          <w:rFonts w:ascii="arial" w:eastAsia="arial" w:hAnsi="arial" w:cs="arial"/>
          <w:i/>
          <w:color w:val="000000"/>
          <w:sz w:val="20"/>
          <w:lang w:val="en-US" w:eastAsia="en-US" w:bidi="ar-SA"/>
        </w:rPr>
        <w:t>Reid v. Webster</w:t>
      </w:r>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(1966), 59 D.L.R. (2d) 189</w:t>
        </w:r>
      </w:hyperlink>
      <w:r>
        <w:rPr>
          <w:rFonts w:ascii="arial" w:eastAsia="arial" w:hAnsi="arial" w:cs="arial"/>
          <w:color w:val="000000"/>
          <w:sz w:val="20"/>
          <w:lang w:val="en-US" w:eastAsia="en-US" w:bidi="ar-SA"/>
        </w:rPr>
        <w:t xml:space="preserve"> (P.E.I.S.C.) the court held that a municipal by-law prosecution could give rise to malicious prosecution. However, the by-law provided for imprisonment in default of payment, affected the plaintiff's trade, and the publicity created an aura of scandal that caused damage to the property and business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It may be that the proper cause of action for maliciously instituted civil proceedings is the tort of abuse of process. The Court in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xml:space="preserve"> notes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[51] Thus, the public law doctrine of abuse of process and the tort of malicious prosecution may be seen as two sides of the same coin: both provide remedies when a Crown prosecutor's actions are so egregious that they take the prosecutor outside his or her proper role as minister of justice, such that the general rule of judicial non-intervention with Crown discretion is no longer justified. </w:t>
      </w:r>
      <w:r>
        <w:rPr>
          <w:rFonts w:ascii="arial" w:eastAsia="arial" w:hAnsi="arial" w:cs="arial"/>
          <w:color w:val="000000"/>
          <w:sz w:val="20"/>
          <w:u w:val="single"/>
          <w:lang w:val="en-US" w:eastAsia="en-US" w:bidi="ar-SA"/>
        </w:rPr>
        <w:t>Both abuse of process and malicious prosecution have been narrowly crafted, employing stringent tests, to ensure that liability will attach in only the most exceptional circumstances, so that Crown discretion remains intact.</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 decline to make a finding on the availability of the tort of malicious prosecution for the narrow purposes of these proceedings and will proceed as if it is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first factor, that the prosecution was initiated by the defendants, is fulfilled. However, the requirement that the prosecution terminated in the plaintiff's favour is not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Apparently both Dr. Bajwa and the BCVMA had presented their arguments before Slade J. on the basis that the first inquiry committee dismissed the charges. This was not accurate; the committee used language that suggested they were dismissing the charges but their powers were proscribed and the ultimate decision belonged to the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second inquiry committee dealt with charges laid in 2004 and new charges laid in 2006. The prosecution which is the subject of this action was the second inquiry hearing and decision of the Council finding Dr. Bajwa guilty of professional misconduct. He unsuccessfully pursued judicial review of the decision to refer the complaints back to a new inquiry committee. He was unsuccessful in the appeal of the judicial review taken by the defendants after the second inquiry committee refused to hear evidence of institutional bias as part of the second inquiry. The Court of Appeal determined that the complaint of institutional bias is more properly resolved in the ongoing proceedings before the Human Rights Tribunal. Neither Allan J. nor the Court of Appeal dealt with the issues of evidence, process or conclusions of the second inquiry committee and the Council decision finding him guilty and assessing penalties. I do not see how the prosecution could be interpreted to have terminated in the plaintiff's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I also find the third requirement, that the defendant lacked reasonable and probable grounds, is not made out. This is a question of law which can be resolved on a summary judgment application under Rule 9-5(1)(d), as stated in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[74] The Court's analysis in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[1989] 2 S.C.R. 170</w:t>
        </w:r>
      </w:hyperlink>
      <w:r>
        <w:rPr>
          <w:rFonts w:ascii="arial" w:eastAsia="arial" w:hAnsi="arial" w:cs="arial"/>
          <w:color w:val="000000"/>
          <w:sz w:val="20"/>
          <w:lang w:val="en-US" w:eastAsia="en-US" w:bidi="ar-SA"/>
        </w:rPr>
        <w:t xml:space="preserve">, lends further support to the conclusion that the third element of the tort turns on the objective assessment of reasonable and probable cause. Unlike the question of subjective belief, which is a question of fact, the objective existence or absence of grounds is a question of law to be decided by the judge: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 xml:space="preserve">, at p. 193. As noted in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 xml:space="preserve"> (at p. 197), the fact that the absence of reasonable and probable cause is a question of law means "that an action for malicious prosecution can be struck before trial as a matter of substantive inadequacy", or on a motion for summary judgment. These mechanisms are important "to ensure that frivolous claims are not brought"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 xml:space="preserve">, at p. 197). In some provinces, the ultimate decision as to whether or not there was reasonable and probable cause for instituting the prosecution is reserved by statute for the trier of fact: see, e.g., </w:t>
      </w:r>
      <w:r>
        <w:rPr>
          <w:rFonts w:ascii="arial" w:eastAsia="arial" w:hAnsi="arial" w:cs="arial"/>
          <w:i/>
          <w:color w:val="000000"/>
          <w:sz w:val="20"/>
          <w:lang w:val="en-US" w:eastAsia="en-US" w:bidi="ar-SA"/>
        </w:rPr>
        <w:t>Courts of Justice Act</w:t>
      </w:r>
      <w:r>
        <w:rPr>
          <w:rFonts w:ascii="arial" w:eastAsia="arial" w:hAnsi="arial" w:cs="arial"/>
          <w:color w:val="000000"/>
          <w:sz w:val="20"/>
          <w:lang w:val="en-US" w:eastAsia="en-US" w:bidi="ar-SA"/>
        </w:rPr>
        <w:t xml:space="preserve">, R.S.O. 1990, c. C. 43, s. 108(10), and </w:t>
      </w:r>
      <w:r>
        <w:rPr>
          <w:rFonts w:ascii="arial" w:eastAsia="arial" w:hAnsi="arial" w:cs="arial"/>
          <w:i/>
          <w:color w:val="000000"/>
          <w:sz w:val="20"/>
          <w:lang w:val="en-US" w:eastAsia="en-US" w:bidi="ar-SA"/>
        </w:rPr>
        <w:t>Jury Act</w:t>
      </w:r>
      <w:r>
        <w:rPr>
          <w:rFonts w:ascii="arial" w:eastAsia="arial" w:hAnsi="arial" w:cs="arial"/>
          <w:color w:val="000000"/>
          <w:sz w:val="20"/>
          <w:lang w:val="en-US" w:eastAsia="en-US" w:bidi="ar-SA"/>
        </w:rPr>
        <w:t xml:space="preserve">, R.S.P.E.I. 1988, c. J-5, s. 3(5). Nonetheless, in the absence of any express provision to the contrary, the question whether there is a sufficient case to be put to the jury will remain a matter to be determined by the judge as a matter of law, in accordance with the respective roles of the judge and the jury. </w:t>
      </w:r>
      <w:r>
        <w:rPr>
          <w:rFonts w:ascii="arial" w:eastAsia="arial" w:hAnsi="arial" w:cs="arial"/>
          <w:color w:val="000000"/>
          <w:sz w:val="20"/>
          <w:u w:val="single"/>
          <w:lang w:val="en-US" w:eastAsia="en-US" w:bidi="ar-SA"/>
        </w:rPr>
        <w:t xml:space="preserve">Therefore, factual inadequacy in a motion to strike a pleading or on a motion for summary judgment can still form a basis for the pre-trial striking of the pleading or the dismissal of the action, even where the ultimate determination of the issue may be expressly reserved by statute to the jury. See, e.g., </w:t>
      </w:r>
      <w:r>
        <w:rPr>
          <w:rFonts w:ascii="arial" w:eastAsia="arial" w:hAnsi="arial" w:cs="arial"/>
          <w:i/>
          <w:color w:val="000000"/>
          <w:sz w:val="20"/>
          <w:u w:val="single"/>
          <w:lang w:val="en-US" w:eastAsia="en-US" w:bidi="ar-SA"/>
        </w:rPr>
        <w:t>Wilson</w:t>
      </w:r>
      <w:r>
        <w:rPr>
          <w:rFonts w:ascii="arial" w:eastAsia="arial" w:hAnsi="arial" w:cs="arial"/>
          <w:color w:val="000000"/>
          <w:sz w:val="20"/>
          <w:lang w:val="en-US" w:eastAsia="en-US" w:bidi="ar-SA"/>
        </w:rPr>
        <w:t xml:space="preserve">, </w:t>
      </w:r>
      <w:r>
        <w:rPr>
          <w:rFonts w:ascii="arial" w:eastAsia="arial" w:hAnsi="arial" w:cs="arial"/>
          <w:i/>
          <w:color w:val="000000"/>
          <w:sz w:val="20"/>
          <w:u w:val="single"/>
          <w:lang w:val="en-US" w:eastAsia="en-US" w:bidi="ar-SA"/>
        </w:rPr>
        <w:t>per</w:t>
      </w:r>
      <w:r>
        <w:rPr>
          <w:rFonts w:ascii="arial" w:eastAsia="arial" w:hAnsi="arial" w:cs="arial"/>
          <w:color w:val="000000"/>
          <w:sz w:val="20"/>
          <w:u w:val="single"/>
          <w:lang w:val="en-US" w:eastAsia="en-US" w:bidi="ar-SA"/>
        </w:rPr>
        <w:t xml:space="preserve"> Dambrot 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[75] If the court concludes, on the basis of the circumstances known to the prosecutor at the relevant time, that reasonable and probable cause existed to commence or continue a criminal prosecution from an objective standpoint, the criminal process was properly employed, and the inquiry need go no further. See, e.g., </w:t>
      </w:r>
      <w:r>
        <w:rPr>
          <w:rFonts w:ascii="arial" w:eastAsia="arial" w:hAnsi="arial" w:cs="arial"/>
          <w:i/>
          <w:color w:val="000000"/>
          <w:sz w:val="20"/>
          <w:lang w:val="en-US" w:eastAsia="en-US" w:bidi="ar-SA"/>
        </w:rPr>
        <w:t>Al's Steak House &amp; Tavern Inc. v. Deloitte &amp; Touche</w:t>
      </w:r>
      <w:r>
        <w:rPr>
          <w:rFonts w:ascii="arial" w:eastAsia="arial" w:hAnsi="arial" w:cs="arial"/>
          <w:color w:val="000000"/>
          <w:sz w:val="20"/>
          <w:lang w:val="en-US" w:eastAsia="en-US" w:bidi="ar-SA"/>
        </w:rPr>
        <w:t xml:space="preserve"> </w:t>
      </w:r>
      <w:hyperlink r:id="rId570" w:history="1">
        <w:r>
          <w:rPr>
            <w:rFonts w:ascii="arial" w:eastAsia="arial" w:hAnsi="arial" w:cs="arial"/>
            <w:i/>
            <w:color w:val="0077CC"/>
            <w:sz w:val="20"/>
            <w:u w:val="single"/>
            <w:shd w:val="clear" w:color="auto" w:fill="FFFFFF"/>
            <w:lang w:val="en-US" w:eastAsia="en-US" w:bidi="ar-SA"/>
          </w:rPr>
          <w:t>(1999), 45 C.C.L.T. (2d) 98</w:t>
        </w:r>
      </w:hyperlink>
      <w:r>
        <w:rPr>
          <w:rFonts w:ascii="arial" w:eastAsia="arial" w:hAnsi="arial" w:cs="arial"/>
          <w:color w:val="000000"/>
          <w:sz w:val="20"/>
          <w:lang w:val="en-US" w:eastAsia="en-US" w:bidi="ar-SA"/>
        </w:rPr>
        <w:t xml:space="preserve"> (Ont. Ct. (Gen. Div.)), at paras. 11-13.</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In my view the plaintiff's pleading that the defendants acted without reasonable cause in making the decisions impugned by him is bound to fail in the face of the reasons of Slade J. where he said, "It was also reasonable for the Council to direct a new hearing, since it would redress the defect introduced by the Committee's error and correct any misunderstanding of the Committee's powers" (para.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Furthermore, the second inquiry committee dealt with additional complaints that were not the subject of the first inquiry committee. It therefore appears to me that based on the uncontroverted evidence and claims in the pleadings, the decision of the Council to convene the second inquiry committee and the second inquiry committee's decision itself were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The final element to malicious prosecution is malice. The presence of malice, in addition to satisfying a requirement for the tort, voids the immunity provided by s. 23 of the repealed version of the </w:t>
      </w:r>
      <w:r>
        <w:rPr>
          <w:rFonts w:ascii="arial" w:eastAsia="arial" w:hAnsi="arial" w:cs="arial"/>
          <w:i/>
          <w:color w:val="000000"/>
          <w:sz w:val="20"/>
          <w:lang w:val="en-US" w:eastAsia="en-US" w:bidi="ar-SA"/>
        </w:rPr>
        <w:t>Veterinarians Act,</w:t>
      </w:r>
      <w:r>
        <w:rPr>
          <w:rFonts w:ascii="arial" w:eastAsia="arial" w:hAnsi="arial" w:cs="arial"/>
          <w:color w:val="000000"/>
          <w:sz w:val="20"/>
          <w:lang w:val="en-US" w:eastAsia="en-US" w:bidi="ar-SA"/>
        </w:rPr>
        <w:t xml:space="preserve"> for anything done in good faith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presence of malice and a lack of reasonable and probable cause would also void the protection provided by s. 1 of the </w:t>
      </w:r>
      <w:r>
        <w:rPr>
          <w:rFonts w:ascii="arial" w:eastAsia="arial" w:hAnsi="arial" w:cs="arial"/>
          <w:i/>
          <w:color w:val="000000"/>
          <w:sz w:val="20"/>
          <w:lang w:val="en-US" w:eastAsia="en-US" w:bidi="ar-SA"/>
        </w:rPr>
        <w:t>DAPA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facts pleaded are sufficient to satisfy the allegation of malice; however where the claim of malice is inferred from the alleged discriminatory conduct of the defendants, that issue remains before the Human Rights Tribunal for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Given that all of the elements of the tort are not met on the pleadings and undisputed facts, in my view it is plain and obvious that the plaintiff's notice of civil claim discloses no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issue of malicious prosecution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plaintiff's claim for abuse of process and malicious prosecution must also be assessed against the principle that liability can attach only in the most exceptional circumstances. Although I am required to accept the facts pleaded as proven, I observe that the BCVMA is responsible for the protection of the public and governance of the profession. Although the penalties are not as onerous as those arising in a criminal prosecution, the "exceptional circumstances" qualification must be met by the plaintiff if he is to succeed in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Fairness/Natural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It appeared to me that Dr. Bajwa was alluding to a lack of fairness in the approach taken by the BCVMA to the disciplinary processes employed to deal with the complaints about his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Roeder v. Lang Michener Lawrence &amp; Shaw,</w:t>
      </w:r>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2007 BCCA 152</w:t>
        </w:r>
      </w:hyperlink>
      <w:r>
        <w:rPr>
          <w:rFonts w:ascii="arial" w:eastAsia="arial" w:hAnsi="arial" w:cs="arial"/>
          <w:color w:val="000000"/>
          <w:sz w:val="20"/>
          <w:lang w:val="en-US" w:eastAsia="en-US" w:bidi="ar-SA"/>
        </w:rPr>
        <w:t xml:space="preserve">, our Court of Appeal quoted with approval the words of Lax J. in </w:t>
      </w:r>
      <w:r>
        <w:rPr>
          <w:rFonts w:ascii="arial" w:eastAsia="arial" w:hAnsi="arial" w:cs="arial"/>
          <w:i/>
          <w:color w:val="000000"/>
          <w:sz w:val="20"/>
          <w:lang w:val="en-US" w:eastAsia="en-US" w:bidi="ar-SA"/>
        </w:rPr>
        <w:t>Monogram Properties Ltd. v. Etobicoke</w:t>
      </w:r>
      <w:r>
        <w:rPr>
          <w:rFonts w:ascii="arial" w:eastAsia="arial" w:hAnsi="arial" w:cs="arial"/>
          <w:color w:val="000000"/>
          <w:sz w:val="20"/>
          <w:lang w:val="en-US" w:eastAsia="en-US" w:bidi="ar-SA"/>
        </w:rPr>
        <w:t xml:space="preserve"> </w:t>
      </w:r>
      <w:hyperlink r:id="rId572" w:history="1">
        <w:r>
          <w:rPr>
            <w:rFonts w:ascii="arial" w:eastAsia="arial" w:hAnsi="arial" w:cs="arial"/>
            <w:i/>
            <w:color w:val="0077CC"/>
            <w:sz w:val="20"/>
            <w:u w:val="single"/>
            <w:shd w:val="clear" w:color="auto" w:fill="FFFFFF"/>
            <w:lang w:val="en-US" w:eastAsia="en-US" w:bidi="ar-SA"/>
          </w:rPr>
          <w:t>(1996), 34 M.P.L.R. (2d) 48</w:t>
        </w:r>
      </w:hyperlink>
      <w:r>
        <w:rPr>
          <w:rFonts w:ascii="arial" w:eastAsia="arial" w:hAnsi="arial" w:cs="arial"/>
          <w:color w:val="000000"/>
          <w:sz w:val="20"/>
          <w:lang w:val="en-US" w:eastAsia="en-US" w:bidi="ar-SA"/>
        </w:rPr>
        <w:t xml:space="preserve"> (Ont. Gen. Div.):</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there is no action in law for damages for breach of the duty of fairness</w:t>
      </w:r>
      <w:r>
        <w:rPr>
          <w:rFonts w:ascii="arial" w:eastAsia="arial" w:hAnsi="arial" w:cs="arial"/>
          <w:color w:val="000000"/>
          <w:sz w:val="20"/>
          <w:lang w:val="en-US" w:eastAsia="en-US" w:bidi="ar-SA"/>
        </w:rPr>
        <w:t xml:space="preserve">. The remedy, if any, must be found in administrative law and not in civil liability. The procedural safeguards in the administrative law process are designed to ensure that there is fairness in the decisions of administrative tribunals and are a complete statutory and common law code. </w:t>
      </w:r>
      <w:r>
        <w:rPr>
          <w:rFonts w:ascii="arial" w:eastAsia="arial" w:hAnsi="arial" w:cs="arial"/>
          <w:color w:val="000000"/>
          <w:sz w:val="20"/>
          <w:u w:val="single"/>
          <w:lang w:val="en-US" w:eastAsia="en-US" w:bidi="ar-SA"/>
        </w:rPr>
        <w:t>No civil action lies for a breach of the rules of natural justice</w:t>
      </w:r>
      <w:r>
        <w:rPr>
          <w:rFonts w:ascii="arial" w:eastAsia="arial" w:hAnsi="arial" w:cs="arial"/>
          <w:color w:val="000000"/>
          <w:sz w:val="20"/>
          <w:lang w:val="en-US" w:eastAsia="en-US" w:bidi="ar-SA"/>
        </w:rPr>
        <w:t>.</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[Emphasis added in </w:t>
      </w:r>
      <w:r>
        <w:rPr>
          <w:rFonts w:ascii="arial" w:eastAsia="arial" w:hAnsi="arial" w:cs="arial"/>
          <w:i/>
          <w:color w:val="000000"/>
          <w:sz w:val="20"/>
          <w:lang w:val="en-US" w:eastAsia="en-US" w:bidi="ar-SA"/>
        </w:rPr>
        <w:t>Roeder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 find the plaintiff cannot invoke his right to natural justice or duty of fairness in the context of this case as a cause of action for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Our Court of Appeal commented as follows in </w:t>
      </w:r>
      <w:r>
        <w:rPr>
          <w:rFonts w:ascii="arial" w:eastAsia="arial" w:hAnsi="arial" w:cs="arial"/>
          <w:i/>
          <w:color w:val="000000"/>
          <w:sz w:val="20"/>
          <w:lang w:val="en-US" w:eastAsia="en-US" w:bidi="ar-SA"/>
        </w:rPr>
        <w:t>Smith v. Rusk,</w:t>
      </w:r>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2009 BCCA 96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The elements of the tort of abuse of process were described by Professor Fleming in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4th ed. (Sydney: Law Book Co., 1971) at 548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The essential elements of abuse of process are: first, a collateral and improper purpose, such as extortion, and secondly, a definite act or threat, in furtherance of a purpose not legitimate in the use of the process. Some such overt conduct is essential, because there is clearly no liability when the defendant merely employs regular legal process to its proper conclusion, albeit with bad intentions.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may be arguable, however, that the law in British Columbia does not require an overt act or threat:</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To those two requirements may also be added that the defendant brought a civil action, and that the plaintiff consequently suffered a loss: Robert M. Solomon </w:t>
      </w:r>
      <w:r>
        <w:rPr>
          <w:rFonts w:ascii="arial" w:eastAsia="arial" w:hAnsi="arial" w:cs="arial"/>
          <w:i/>
          <w:color w:val="000000"/>
          <w:sz w:val="20"/>
          <w:lang w:val="en-US" w:eastAsia="en-US" w:bidi="ar-SA"/>
        </w:rPr>
        <w:t>et al., Cases and Materials on the Law of Torts,</w:t>
      </w:r>
      <w:r>
        <w:rPr>
          <w:rFonts w:ascii="arial" w:eastAsia="arial" w:hAnsi="arial" w:cs="arial"/>
          <w:color w:val="000000"/>
          <w:sz w:val="20"/>
          <w:lang w:val="en-US" w:eastAsia="en-US" w:bidi="ar-SA"/>
        </w:rPr>
        <w:t xml:space="preserve"> 7th ed. (Scarborough: Thomson Canada Limited, 2007) at 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 Court of Appeal's comment that an overt act or threat may not be required leaves undecided an important element of the tort. Solomon describes the overt act as one that must be an act, other than the litigation itself, in order to further the improper purpose. The removal of this requirement would substantially lessen the bar required for a plaintiff in such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Court of Appeal commented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w:t>
      </w:r>
      <w:r>
        <w:rPr>
          <w:rFonts w:ascii="arial" w:eastAsia="arial" w:hAnsi="arial" w:cs="arial"/>
          <w:color w:val="000000"/>
          <w:sz w:val="20"/>
          <w:u w:val="single"/>
          <w:lang w:val="en-US" w:eastAsia="en-US" w:bidi="ar-SA"/>
        </w:rPr>
        <w:t>It has also been held that commencing an action for an improper purpose can be an abuse of process</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D.K. Investments Ltd. v. S.W.S. Investments Ltd.</w:t>
      </w:r>
      <w:r>
        <w:rPr>
          <w:rFonts w:ascii="arial" w:eastAsia="arial" w:hAnsi="arial" w:cs="arial"/>
          <w:color w:val="000000"/>
          <w:sz w:val="20"/>
          <w:lang w:val="en-US" w:eastAsia="en-US" w:bidi="ar-SA"/>
        </w:rPr>
        <w:t xml:space="preserve"> </w:t>
      </w:r>
      <w:hyperlink r:id="rId574" w:history="1">
        <w:r>
          <w:rPr>
            <w:rFonts w:ascii="arial" w:eastAsia="arial" w:hAnsi="arial" w:cs="arial"/>
            <w:i/>
            <w:color w:val="0077CC"/>
            <w:sz w:val="20"/>
            <w:u w:val="single"/>
            <w:shd w:val="clear" w:color="auto" w:fill="FFFFFF"/>
            <w:lang w:val="en-US" w:eastAsia="en-US" w:bidi="ar-SA"/>
          </w:rPr>
          <w:t>(1984), 59 B.C.L.R. 333</w:t>
        </w:r>
      </w:hyperlink>
      <w:r>
        <w:rPr>
          <w:rFonts w:ascii="arial" w:eastAsia="arial" w:hAnsi="arial" w:cs="arial"/>
          <w:color w:val="000000"/>
          <w:sz w:val="20"/>
          <w:lang w:val="en-US" w:eastAsia="en-US" w:bidi="ar-SA"/>
        </w:rPr>
        <w:t xml:space="preserve"> (S.C.), aff'd </w:t>
      </w:r>
      <w:hyperlink r:id="rId575" w:history="1">
        <w:r>
          <w:rPr>
            <w:rFonts w:ascii="arial" w:eastAsia="arial" w:hAnsi="arial" w:cs="arial"/>
            <w:i/>
            <w:color w:val="0077CC"/>
            <w:sz w:val="20"/>
            <w:u w:val="single"/>
            <w:shd w:val="clear" w:color="auto" w:fill="FFFFFF"/>
            <w:lang w:val="en-US" w:eastAsia="en-US" w:bidi="ar-SA"/>
          </w:rPr>
          <w:t>(1986), 6 B.C.L.R. (2d) 291</w:t>
        </w:r>
      </w:hyperlink>
      <w:r>
        <w:rPr>
          <w:rFonts w:ascii="arial" w:eastAsia="arial" w:hAnsi="arial" w:cs="arial"/>
          <w:color w:val="000000"/>
          <w:sz w:val="20"/>
          <w:lang w:val="en-US" w:eastAsia="en-US" w:bidi="ar-SA"/>
        </w:rPr>
        <w:t xml:space="preserve"> (C.A.), leave to appeal to S.C.C. ref'd </w:t>
      </w:r>
      <w:hyperlink r:id="rId576" w:history="1">
        <w:r>
          <w:rPr>
            <w:rFonts w:ascii="arial" w:eastAsia="arial" w:hAnsi="arial" w:cs="arial"/>
            <w:i/>
            <w:color w:val="0077CC"/>
            <w:sz w:val="20"/>
            <w:u w:val="single"/>
            <w:shd w:val="clear" w:color="auto" w:fill="FFFFFF"/>
            <w:lang w:val="en-US" w:eastAsia="en-US" w:bidi="ar-SA"/>
          </w:rPr>
          <w:t>(1986), 75 N.R. 159</w:t>
        </w:r>
      </w:hyperlink>
      <w:r>
        <w:rPr>
          <w:rFonts w:ascii="arial" w:eastAsia="arial" w:hAnsi="arial" w:cs="arial"/>
          <w:color w:val="000000"/>
          <w:sz w:val="20"/>
          <w:lang w:val="en-US" w:eastAsia="en-US" w:bidi="ar-SA"/>
        </w:rPr>
        <w:t>, the plaintiff commenced an action for specific performance of a contract for the purchase and sale of land which it had no intention of completing. Rather, the trial judge found the plaintiff's purpose in commencing the action was to coerce the defendant to sell the land at a price lower than the price the parties had agreed upon. Accordingly, he dismissed the action and granted judgment for the defendant on the counterclaim for damages for abuse of process.</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This cause of action in the notice of civil claim again targets the decision of the Council to order a rehearing, as an abuse of process and malicious prosecution. They allege the defendants lacked an honest belief in the guilt of the plaintiff based on the first decision of the inquiry committee and that it was activated by malice, bad faith or a primary purpose other than that of carrying the law into effect in proceeding with the second hearing. Under this head the plaintiff relies on the decisions to commence the hearing and to reconstitute the disciplinary committee after the Slade J. judgment, as evidence of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 observed that the plaintiff particularized the defendants' improper purpose as eliminating the plaintiff from the practice of veterinarian medicine, causing the plaintiff financial hardship, curtailing the influx of Indo-Canadian veterinarians from India to British Columbia, and eliminating competition for the established fraternity of Caucasian veterinarians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Under this claim, it appears that the plaintiff is focusing on the decision to conduct a second inquiry. He says that this decision was an "abuse of process and malicious prosecution in that the proceedings were already terminated in favor of the plaintiff before the first inquiry committee". As I stated earlier, the notice of civil claim is incorrect insofar as it states the first inquiry committee found the plaintiff was innocent and decided the matter. A finding of guilt was a responsibility reserved to the Council. Only they had the option of accepting the findings of the inquiry committee or directing a new inquiry or hearing if there was a procedural, factual or legal error. Coupled with Slade J.'s reasons it is obvious that the Council had the authority to refer the matter to a second committee.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Given that the decision to refer charges back for a new hearing was plainly and obviously reasonable, there is no reasonable cause of action with respect to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Mr. Justice Davies' Prohibition Against further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xml:space="preserve">  Mr. Justice Davies in his 2008 </w:t>
      </w:r>
      <w:r>
        <w:rPr>
          <w:rFonts w:ascii="arial" w:eastAsia="arial" w:hAnsi="arial" w:cs="arial"/>
          <w:i/>
          <w:color w:val="000000"/>
          <w:sz w:val="20"/>
          <w:lang w:val="en-US" w:eastAsia="en-US" w:bidi="ar-SA"/>
        </w:rPr>
        <w:t>Bajwa</w:t>
      </w:r>
      <w:r>
        <w:rPr>
          <w:rFonts w:ascii="arial" w:eastAsia="arial" w:hAnsi="arial" w:cs="arial"/>
          <w:color w:val="000000"/>
          <w:sz w:val="20"/>
          <w:lang w:val="en-US" w:eastAsia="en-US" w:bidi="ar-SA"/>
        </w:rPr>
        <w:t xml:space="preserve"> decision</w:t>
      </w:r>
      <w:r>
        <w:rPr>
          <w:rFonts w:ascii="arial" w:eastAsia="arial" w:hAnsi="arial" w:cs="arial"/>
          <w:i/>
          <w:color w:val="000000"/>
          <w:sz w:val="20"/>
          <w:lang w:val="en-US" w:eastAsia="en-US" w:bidi="ar-SA"/>
        </w:rPr>
        <w:t>, supra,</w:t>
      </w:r>
      <w:r>
        <w:rPr>
          <w:rFonts w:ascii="arial" w:eastAsia="arial" w:hAnsi="arial" w:cs="arial"/>
          <w:color w:val="000000"/>
          <w:sz w:val="20"/>
          <w:lang w:val="en-US" w:eastAsia="en-US" w:bidi="ar-SA"/>
        </w:rPr>
        <w:t xml:space="preserve"> described the actions he was dealing with when he made the order prohibiting further actions by the Dr. Bajwa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In summary, in all of the Discontinued Actions the plaintiffs made broad, serious, and in many cases duplicitous and overlapping accusations, against the various defendants centering upon allegations of defamation, promotion of racial hatred, racial targeting, malice, bad faith and abuse of process in the conduct of disciplinary proceedings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It must also be noted that, while the claims in the Discontinued Actions were being advanced by the plaintiffs in this Court, they were also pursuing most of those same claims in proceedings before the British Columbia Human Rights Tribunal (the "Tribunal"), which has now heard many days of evidence about those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In this decision Davies J. referred to Dr. Bajwa's claim against Dr. Ashburner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The </w:t>
      </w:r>
      <w:r>
        <w:rPr>
          <w:rFonts w:ascii="arial" w:eastAsia="arial" w:hAnsi="arial" w:cs="arial"/>
          <w:i/>
          <w:color w:val="000000"/>
          <w:sz w:val="20"/>
          <w:lang w:val="en-US" w:eastAsia="en-US" w:bidi="ar-SA"/>
        </w:rPr>
        <w:t>Ashburner</w:t>
      </w:r>
      <w:r>
        <w:rPr>
          <w:rFonts w:ascii="arial" w:eastAsia="arial" w:hAnsi="arial" w:cs="arial"/>
          <w:color w:val="000000"/>
          <w:sz w:val="20"/>
          <w:lang w:val="en-US" w:eastAsia="en-US" w:bidi="ar-SA"/>
        </w:rPr>
        <w:t xml:space="preserve"> action also involved one claim against the defendant, Dr. Robert Ashburner, based upon what was alleged to be the transcript of a taped interview on September 6, 2005 between Dr. Ashburner and a person named Heather Pendragon. The plaintiffs alleged that Dr. Ashburner made racist and derogatory statements about Indo-Canadian veterinarians during the course of that interview. In his defence, Dr. Ashburner pleaded that Ms. Pendragon was actually an agent of one of the plaintiffs (Dr. Bhullar), and was sent to Dr. Ashburner's office in a subterfuge to attempt to induce him to make derogatory statements. The defendants also pleaded that portions of the transcript of the interview pleaded in the plaintiffs' statement of claim were highly selective and misleading and that important words and phrases were left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In this action, Dr. Bajwa includes the identical excerpt from the transcript and a claim against Dr. Ashburner. It is hard to conceive of how he commenced this part of the current claim in obvious contravention of the Davies J. prohibition.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The pleadings reveal that all of the plaintiff's complaints were known to him when he commenced the first judicial review application that was heard March 5, 2008. The Davies J. order was made June 4, 2008 and this action was commenced on September 9, 2010. He pleads causes of action and facts mentioned in the 2005 Bajwa actions more than 2 years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Mr. Justice Davies also commented on many of the issues extant in this proceeding that were also alive at the time of his order.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All of the plaintiffs in the </w:t>
      </w:r>
      <w:r>
        <w:rPr>
          <w:rFonts w:ascii="arial" w:eastAsia="arial" w:hAnsi="arial" w:cs="arial"/>
          <w:i/>
          <w:color w:val="000000"/>
          <w:sz w:val="20"/>
          <w:lang w:val="en-US" w:eastAsia="en-US" w:bidi="ar-SA"/>
        </w:rPr>
        <w:t>Ashburner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Rana</w:t>
      </w:r>
      <w:r>
        <w:rPr>
          <w:rFonts w:ascii="arial" w:eastAsia="arial" w:hAnsi="arial" w:cs="arial"/>
          <w:color w:val="000000"/>
          <w:sz w:val="20"/>
          <w:lang w:val="en-US" w:eastAsia="en-US" w:bidi="ar-SA"/>
        </w:rPr>
        <w:t xml:space="preserve"> actions were again also plaintiffs in the </w:t>
      </w:r>
      <w:r>
        <w:rPr>
          <w:rFonts w:ascii="arial" w:eastAsia="arial" w:hAnsi="arial" w:cs="arial"/>
          <w:i/>
          <w:color w:val="000000"/>
          <w:sz w:val="20"/>
          <w:lang w:val="en-US" w:eastAsia="en-US" w:bidi="ar-SA"/>
        </w:rPr>
        <w:t>Bajwa</w:t>
      </w:r>
      <w:r>
        <w:rPr>
          <w:rFonts w:ascii="arial" w:eastAsia="arial" w:hAnsi="arial" w:cs="arial"/>
          <w:color w:val="000000"/>
          <w:sz w:val="20"/>
          <w:lang w:val="en-US" w:eastAsia="en-US" w:bidi="ar-SA"/>
        </w:rPr>
        <w:t xml:space="preserve"> action. In addition, however, there were two new plaintiffs (Dr. Joshi and Dr. Grewal). In the </w:t>
      </w:r>
      <w:r>
        <w:rPr>
          <w:rFonts w:ascii="arial" w:eastAsia="arial" w:hAnsi="arial" w:cs="arial"/>
          <w:i/>
          <w:color w:val="000000"/>
          <w:sz w:val="20"/>
          <w:lang w:val="en-US" w:eastAsia="en-US" w:bidi="ar-SA"/>
        </w:rPr>
        <w:t>Bajwa</w:t>
      </w:r>
      <w:r>
        <w:rPr>
          <w:rFonts w:ascii="arial" w:eastAsia="arial" w:hAnsi="arial" w:cs="arial"/>
          <w:color w:val="000000"/>
          <w:sz w:val="20"/>
          <w:lang w:val="en-US" w:eastAsia="en-US" w:bidi="ar-SA"/>
        </w:rPr>
        <w:t xml:space="preserve"> action, the defendants were the BCVMA and its Registrar, Valerie Osborne.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In the </w:t>
      </w:r>
      <w:r>
        <w:rPr>
          <w:rFonts w:ascii="arial" w:eastAsia="arial" w:hAnsi="arial" w:cs="arial"/>
          <w:i/>
          <w:color w:val="000000"/>
          <w:sz w:val="20"/>
          <w:lang w:val="en-US" w:eastAsia="en-US" w:bidi="ar-SA"/>
        </w:rPr>
        <w:t>Bajwa</w:t>
      </w:r>
      <w:r>
        <w:rPr>
          <w:rFonts w:ascii="arial" w:eastAsia="arial" w:hAnsi="arial" w:cs="arial"/>
          <w:color w:val="000000"/>
          <w:sz w:val="20"/>
          <w:lang w:val="en-US" w:eastAsia="en-US" w:bidi="ar-SA"/>
        </w:rPr>
        <w:t xml:space="preserve"> action, the plaintiffs alleged that the defendants committed the torts of malicious prosecution, abuse of process, malfeasance, abuse of power, "targeting" of or discrimination against Indo-Canadian veterinarians, breach of fiduciary duty, and breach of confidence. The plaintiffs also alleged that the defendants acted in violation of the </w:t>
      </w:r>
      <w:r>
        <w:rPr>
          <w:rFonts w:ascii="arial" w:eastAsia="arial" w:hAnsi="arial" w:cs="arial"/>
          <w:i/>
          <w:color w:val="000000"/>
          <w:sz w:val="20"/>
          <w:lang w:val="en-US" w:eastAsia="en-US" w:bidi="ar-SA"/>
        </w:rPr>
        <w:t>Charter of Rights and Freedoms</w:t>
      </w:r>
      <w:r>
        <w:rPr>
          <w:rFonts w:ascii="arial" w:eastAsia="arial" w:hAnsi="arial" w:cs="arial"/>
          <w:color w:val="000000"/>
          <w:sz w:val="20"/>
          <w:lang w:val="en-US" w:eastAsia="en-US" w:bidi="ar-SA"/>
        </w:rPr>
        <w:t xml:space="preserve"> in pursuing disciplinary complaints against the plaintiffs, and discriminated against the plaintiffs with respect to the BCVMA's English proficiency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Apparently, the only new issues to surface after the Davies J. order was the refusal of the second inquiry committee to deal with the issue of institutional bias. That matter was resolved by the Court of Appeal. The other issues relating to the BCVMA torts were known to the plaintiff at the time of the Davies J.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In my view, those were issues encompassed by the order barring the commencement of further actions, or allegations which might or ought to have been brought in the 2005 Bajwa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As a result, it is my view that the plaintiff was prohibited from bringing those claims in this proceeding which spring from the decision to hold the first inquiry committee, the administrative procedures leading up to the second inquiry committee, and the decision to commission the second inquiry committee.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 only claim in this action, which is not subject to the Davies J. order, is the second inquiry committee decision to deny the plaintiff the right to lead evidence as to institutional bias. That matter is properly before the Human Rights Tribunal.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It is my view the plaintiff's action must be dismissed as an abuse of process insofar as it stands in breach of the Davies J.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S. 6(2)(b) of the </w:t>
      </w:r>
      <w:r>
        <w:rPr>
          <w:rFonts w:ascii="arial" w:eastAsia="arial" w:hAnsi="arial" w:cs="arial"/>
          <w:b/>
          <w:i/>
          <w:color w:val="000000"/>
          <w:sz w:val="20"/>
          <w:lang w:val="en-US" w:eastAsia="en-US" w:bidi="ar-SA"/>
        </w:rPr>
        <w:t>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plaintiff has not pleaded any facts to suggest his interprovincial mobility has been restricted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Law Society of Upper Canada v. Skapinker,</w:t>
      </w:r>
      <w:r>
        <w:rPr>
          <w:rFonts w:ascii="arial" w:eastAsia="arial" w:hAnsi="arial" w:cs="arial"/>
          <w:color w:val="000000"/>
          <w:sz w:val="20"/>
          <w:lang w:val="en-US" w:eastAsia="en-US" w:bidi="ar-SA"/>
        </w:rPr>
        <w:t xml:space="preserve"> </w:t>
      </w:r>
      <w:hyperlink r:id="rId577" w:history="1">
        <w:r>
          <w:rPr>
            <w:rFonts w:ascii="arial" w:eastAsia="arial" w:hAnsi="arial" w:cs="arial"/>
            <w:i/>
            <w:color w:val="0077CC"/>
            <w:sz w:val="20"/>
            <w:u w:val="single"/>
            <w:shd w:val="clear" w:color="auto" w:fill="FFFFFF"/>
            <w:lang w:val="en-US" w:eastAsia="en-US" w:bidi="ar-SA"/>
          </w:rPr>
          <w:t>[1984] 1 S.C.R. 357</w:t>
        </w:r>
      </w:hyperlink>
      <w:r>
        <w:rPr>
          <w:rFonts w:ascii="arial" w:eastAsia="arial" w:hAnsi="arial" w:cs="arial"/>
          <w:color w:val="000000"/>
          <w:sz w:val="20"/>
          <w:lang w:val="en-US" w:eastAsia="en-US" w:bidi="ar-SA"/>
        </w:rPr>
        <w:t>, the Court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for these reasons, that para. (</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of subs. (2) of s. 6 does not establish a separate and distinct right to work divorced from the mobility provisions in which it is found. The two rights (in para. (</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and in para. (</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both relate to movement into another province, either for the taking up of residence, or to work without establishing residence. Paragraph (</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xml:space="preserve">), therefore, does not avail Richardson of an independent constitutional right to work as a lawyer in the province of residence so as to override the provincial legislation, the </w:t>
      </w:r>
      <w:r>
        <w:rPr>
          <w:rFonts w:ascii="arial" w:eastAsia="arial" w:hAnsi="arial" w:cs="arial"/>
          <w:i/>
          <w:color w:val="000000"/>
          <w:sz w:val="20"/>
          <w:lang w:val="en-US" w:eastAsia="en-US" w:bidi="ar-SA"/>
        </w:rPr>
        <w:t>Law Society Act</w:t>
      </w:r>
      <w:r>
        <w:rPr>
          <w:rFonts w:ascii="arial" w:eastAsia="arial" w:hAnsi="arial" w:cs="arial"/>
          <w:color w:val="000000"/>
          <w:sz w:val="20"/>
          <w:lang w:val="en-US" w:eastAsia="en-US" w:bidi="ar-SA"/>
        </w:rPr>
        <w:t>, s. 28(</w:t>
      </w:r>
      <w:r>
        <w:rPr>
          <w:rFonts w:ascii="arial" w:eastAsia="arial" w:hAnsi="arial" w:cs="arial"/>
          <w:i/>
          <w:color w:val="000000"/>
          <w:sz w:val="20"/>
          <w:lang w:val="en-US" w:eastAsia="en-US" w:bidi="ar-SA"/>
        </w:rPr>
        <w:t>c</w:t>
      </w:r>
      <w:r>
        <w:rPr>
          <w:rFonts w:ascii="arial" w:eastAsia="arial" w:hAnsi="arial" w:cs="arial"/>
          <w:color w:val="000000"/>
          <w:sz w:val="20"/>
          <w:lang w:val="en-US" w:eastAsia="en-US" w:bidi="ar-SA"/>
        </w:rPr>
        <w:t>), through s. 52 of the Constitution Act, 1982.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In my view it is plain and obvious that Dr. Bajwa cannot succeed on the claim he advances under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He has not pleaded any facts to bring his claim within the finding of the Supreme Court of Canada and it is unlikely he could amend his claim to meet that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He did not argue this point and I would strike the claim based on a breach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Vexatious Litigant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The defendants seek an order under section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 xml:space="preserve"> to prohibit Dr. Bajwa from bringing legal proceedings, without leave of the court, because of his persistent practice of commencing vexatious litigation against the same or different persons without reasonable grounds.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 test necessary to justify an order is that the proceedings must be vexatious and must be a deliberate repetition or continuation of vexatious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Stark v. School District No. 39 (Vancouver),</w:t>
      </w:r>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2007 BCSC 301</w:t>
        </w:r>
      </w:hyperlink>
      <w:r>
        <w:rPr>
          <w:rFonts w:ascii="arial" w:eastAsia="arial" w:hAnsi="arial" w:cs="arial"/>
          <w:color w:val="000000"/>
          <w:sz w:val="20"/>
          <w:lang w:val="en-US" w:eastAsia="en-US" w:bidi="ar-SA"/>
        </w:rPr>
        <w:t xml:space="preserve">, Madam Justice Ross outlined the recognized principles to be applied under section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In </w:t>
      </w:r>
      <w:r>
        <w:rPr>
          <w:rFonts w:ascii="arial" w:eastAsia="arial" w:hAnsi="arial" w:cs="arial"/>
          <w:i/>
          <w:color w:val="000000"/>
          <w:sz w:val="20"/>
          <w:lang w:val="en-US" w:eastAsia="en-US" w:bidi="ar-SA"/>
        </w:rPr>
        <w:t>British Columbia (Public Trustee) v. McGreal</w:t>
      </w:r>
      <w:r>
        <w:rPr>
          <w:rFonts w:ascii="arial" w:eastAsia="arial" w:hAnsi="arial" w:cs="arial"/>
          <w:color w:val="000000"/>
          <w:sz w:val="20"/>
          <w:lang w:val="en-US" w:eastAsia="en-US" w:bidi="ar-SA"/>
        </w:rPr>
        <w:t xml:space="preserve">, </w:t>
      </w:r>
      <w:hyperlink r:id="rId579" w:history="1">
        <w:r>
          <w:rPr>
            <w:rFonts w:ascii="arial" w:eastAsia="arial" w:hAnsi="arial" w:cs="arial"/>
            <w:i/>
            <w:color w:val="0077CC"/>
            <w:sz w:val="20"/>
            <w:u w:val="single"/>
            <w:shd w:val="clear" w:color="auto" w:fill="FFFFFF"/>
            <w:lang w:val="en-US" w:eastAsia="en-US" w:bidi="ar-SA"/>
          </w:rPr>
          <w:t>[1993] B.C.J. No. 873</w:t>
        </w:r>
      </w:hyperlink>
      <w:r>
        <w:rPr>
          <w:rFonts w:ascii="arial" w:eastAsia="arial" w:hAnsi="arial" w:cs="arial"/>
          <w:color w:val="000000"/>
          <w:sz w:val="20"/>
          <w:lang w:val="en-US" w:eastAsia="en-US" w:bidi="ar-SA"/>
        </w:rPr>
        <w:t xml:space="preserve"> at para. 26 (S.C.), the court adopted the following principles set out in </w:t>
      </w:r>
      <w:r>
        <w:rPr>
          <w:rFonts w:ascii="arial" w:eastAsia="arial" w:hAnsi="arial" w:cs="arial"/>
          <w:i/>
          <w:color w:val="000000"/>
          <w:sz w:val="20"/>
          <w:lang w:val="en-US" w:eastAsia="en-US" w:bidi="ar-SA"/>
        </w:rPr>
        <w:t>Lang Michener Lash and Johnston v. Fabian</w:t>
      </w:r>
      <w:r>
        <w:rPr>
          <w:rFonts w:ascii="arial" w:eastAsia="arial" w:hAnsi="arial" w:cs="arial"/>
          <w:color w:val="000000"/>
          <w:sz w:val="20"/>
          <w:lang w:val="en-US" w:eastAsia="en-US" w:bidi="ar-SA"/>
        </w:rPr>
        <w:t xml:space="preserve"> </w:t>
      </w:r>
      <w:hyperlink r:id="rId580" w:history="1">
        <w:r>
          <w:rPr>
            <w:rFonts w:ascii="arial" w:eastAsia="arial" w:hAnsi="arial" w:cs="arial"/>
            <w:i/>
            <w:color w:val="0077CC"/>
            <w:sz w:val="20"/>
            <w:u w:val="single"/>
            <w:shd w:val="clear" w:color="auto" w:fill="FFFFFF"/>
            <w:lang w:val="en-US" w:eastAsia="en-US" w:bidi="ar-SA"/>
          </w:rPr>
          <w:t>(1987), 37 D.L.R. (4th) 685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Lang Michener</w:t>
      </w:r>
      <w:r>
        <w:rPr>
          <w:rFonts w:ascii="arial" w:eastAsia="arial" w:hAnsi="arial" w:cs="arial"/>
          <w:color w:val="000000"/>
          <w:sz w:val="20"/>
          <w:lang w:val="en-US" w:eastAsia="en-US" w:bidi="ar-SA"/>
        </w:rPr>
        <w:t xml:space="preserve">"] and held that they applied to what is now s.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bringing of one or more actions to determine an issue which has already been determined by a court of competent jurisdiction constitutes a vexatious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Where it is obvious that an action cannot succeed, or if the action would lead to no possible good, or if no reasonable person can reasonably expect to obtain relief, the action is vexatious.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Vexatious actions include those brought for an improper purpose, including the harassment and oppression of other parties by multifarious proceedings brought for purposes other than the assertion of legitimate rights.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the general characteristic of vexatious proceedings that grounds and issues raised tend to be rolled forward into subsequent actions and repeated and supplemented, often with actions brought against lawyers who have acted for or against the litigant in earlier proceedings.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failure of the person instituting the proceedings to pay the costs of unsuccessful proceedings is one factor to be considered in determining whether proceedings are vexatious.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Persistently taking unsuccessful appeals from judicial decisions can be considered vexatious conduct of legal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 note that in addition to the judicial review proceedings related to the plaintiff's disputes with the BCVMA, he unsuccessfully appealed the decision of the first inquiry committee before seeking judicial review, and is a member of BC Vets for Justice, a self-described group of Indo-Canadian low-cost veterinarians who claim discrimination against Indo-Canadians by the BCVMA. There are seven other actions commenced by members of that group, most of which have been discontinued or dismissed by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The defendants say that the plaintiff has brought at least one or more actions to determine an issue which has already been determined by Slade J. in the first judicial review proceeding. They argue that this proceeding has characteristics of the 2005 Bajwa actions and that the issues raised in those actions appear to have been rolled forward into this action and repeated and supplemented.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In this case the plaintiff has sued his previous counsel and counsel for the BCVMA for wrongs which are carried forward in this action; counsel further argues this is another feature of a vexatious litigant.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The claims against Ms. Fong were discontinued and against Ms. Baird were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 defence says that these proceedings are vexatious in light of the whole history of the matter and not simply looking to the quality of the plaintiff's cause of action. There has been a lengthy process before the Human Rights Tribunal, a judicial review and appeal on the issue of institutional bias, and alternate actions which have been discontinued in the past. It seems to me that the plaintiff's conduct, viewed as part of the whole history, meets the criteria of a vexatious litigant.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Another part of the test is a litigant's persistent pursuit of unsuccessful appeals from judicial decisions. In this regard, the plaintiff appealed the first Council decision which was dismissed by Mr. Justice Blair. He appealed the decision of Allan J. and pursued an appeal to the Supreme Court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xml:space="preserve">  It seems to me that the 2008 decision of Davies J. in </w:t>
      </w:r>
      <w:r>
        <w:rPr>
          <w:rFonts w:ascii="arial" w:eastAsia="arial" w:hAnsi="arial" w:cs="arial"/>
          <w:i/>
          <w:color w:val="000000"/>
          <w:sz w:val="20"/>
          <w:lang w:val="en-US" w:eastAsia="en-US" w:bidi="ar-SA"/>
        </w:rPr>
        <w:t>Bajwa, supra,</w:t>
      </w:r>
      <w:r>
        <w:rPr>
          <w:rFonts w:ascii="arial" w:eastAsia="arial" w:hAnsi="arial" w:cs="arial"/>
          <w:color w:val="000000"/>
          <w:sz w:val="20"/>
          <w:lang w:val="en-US" w:eastAsia="en-US" w:bidi="ar-SA"/>
        </w:rPr>
        <w:t xml:space="preserve"> was intended to address this very issue in that same year. The details of the 2005 Bajwa actions are clearly rolled over or extended into this action. These factors are important in my consideration of the defendants'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Dr. Bajwa did not argue this point in counsel's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xml:space="preserve">  In my view, the plaintiff has repeatedly raised issues of discrimination, bias, and malice before this court, in the Human Rights Tribunal, and the Court of Appeal. When the plaintiff's conduct is viewed in the context of the actions he has personally commenced, his association with the BC Vets for Justice, and the pursuit of his important discrimination issues before the BC Human Rights Tribunal, it is my view that this is an appropriate case for an order under section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Individual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I also find that certain individual defendants succeed in their applications to have the causes of action against them struck.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Forsyth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Dr. Forsyth was a member of the first inquiry committee and published a minority report indicating that the evidence was sufficient to find Dr. Bajwa guilty of the charges. The plaintiff's claim against Dr. Forsyth arises from that report. The notice of civil claim contains the following:</w:t>
      </w:r>
      <w:r>
        <w:rPr>
          <w:rFonts w:ascii="arial" w:eastAsia="arial" w:hAnsi="arial" w:cs="arial"/>
          <w:sz w:val="20"/>
          <w:lang w:val="en-US" w:eastAsia="en-US" w:bidi="ar-SA"/>
        </w:rPr>
        <w:cr/>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Dr. Forsyth, on May 18, 2007 decided to publish a minority report which at no material time before May 18, 2007 was brought to the attention of the Plaintiff. The Plaintiff states that the conduct of Dr. Forsyth to decide after the First Inquiry Committee pronounced their decision to publish a minority report is a strong manifestation of bad faith on the part of the Defendant Dr. Forsyth. The Defendant Dr. Forsyth is the father of Dr. Andrew Forsyth who was, at the same time, serving as the President of the Council of the Defendant, the BCVMA.</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states that the Defendant Dr. Forsyth was </w:t>
      </w:r>
      <w:r>
        <w:rPr>
          <w:rFonts w:ascii="arial" w:eastAsia="arial" w:hAnsi="arial" w:cs="arial"/>
          <w:i/>
          <w:color w:val="000000"/>
          <w:sz w:val="20"/>
          <w:lang w:val="en-US" w:eastAsia="en-US" w:bidi="ar-SA"/>
        </w:rPr>
        <w:t>functus officio</w:t>
      </w:r>
      <w:r>
        <w:rPr>
          <w:rFonts w:ascii="arial" w:eastAsia="arial" w:hAnsi="arial" w:cs="arial"/>
          <w:color w:val="000000"/>
          <w:sz w:val="20"/>
          <w:lang w:val="en-US" w:eastAsia="en-US" w:bidi="ar-SA"/>
        </w:rPr>
        <w:t xml:space="preserve"> and, therefore, could not "re-open" or change his initial decision. The Plaintiff pleads the </w:t>
      </w:r>
      <w:r>
        <w:rPr>
          <w:rFonts w:ascii="arial" w:eastAsia="arial" w:hAnsi="arial" w:cs="arial"/>
          <w:i/>
          <w:color w:val="000000"/>
          <w:sz w:val="20"/>
          <w:lang w:val="en-US" w:eastAsia="en-US" w:bidi="ar-SA"/>
        </w:rPr>
        <w:t>doctrine of estoppel by record</w:t>
      </w:r>
      <w:r>
        <w:rPr>
          <w:rFonts w:ascii="arial" w:eastAsia="arial" w:hAnsi="arial" w:cs="arial"/>
          <w:color w:val="000000"/>
          <w:sz w:val="20"/>
          <w:lang w:val="en-US" w:eastAsia="en-US" w:bidi="ar-SA"/>
        </w:rPr>
        <w:t>.</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minority report of the Defendant Forsyth fails to explicitly state whether the charges are proven or not. The report, however, purports to find the Plaintiff "guilty" on all the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There is no allegation that Dr. Forsyth acted maliciously and without reasonable and probable cause. The notice of civil claim does not allege that the plaintiff suffered any loss or damage as a result of the activities or actions of Dr. Forsyth. The notice of civil claim does not set out any claim against Dr. Forsyth.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Dr. Forsyth was one of the BCVMA members protected by the </w:t>
      </w:r>
      <w:r>
        <w:rPr>
          <w:rFonts w:ascii="arial" w:eastAsia="arial" w:hAnsi="arial" w:cs="arial"/>
          <w:i/>
          <w:color w:val="000000"/>
          <w:sz w:val="20"/>
          <w:lang w:val="en-US" w:eastAsia="en-US" w:bidi="ar-SA"/>
        </w:rPr>
        <w:t>DAPA</w:t>
      </w:r>
      <w:r>
        <w:rPr>
          <w:rFonts w:ascii="arial" w:eastAsia="arial" w:hAnsi="arial" w:cs="arial"/>
          <w:color w:val="000000"/>
          <w:sz w:val="20"/>
          <w:lang w:val="en-US" w:eastAsia="en-US" w:bidi="ar-SA"/>
        </w:rPr>
        <w:t xml:space="preserve"> immunity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Bad faith conduct is not a civil cause of action standing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Mr. Justice Slade accepted that the majority decision of the inquiry committee was based on a significant error. The second inquiry committee came to a conclusion consistent with Dr. Forsyth and the charges against the plaintiff have been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In my view the claim against Dr. Forsyth is bound to fail and he is entitled to an order dismissing the action against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Osborne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Valerie Osborne was the registrar of the BCVMA. The claims against Ms. Osborne are twofold: that 1) she failed or refused to stay or dismiss the charges against the plaintiff and 2) failed to compensate the plaintiff for wasted costs and or damages suffered as a result of the first inquiry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The plaintiff also alleges that Ms. Osborne unduly influenced or coerced the investigating officer to proceed with charges notwithstanding the reluctance of the investigating officer to do so. The plaintiff alleges that Ms. Osborne's conduct amounted to bad faith, malfeasance or malice, without a reasonable and probable cause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Ms. Osborne argues that to succeed the plaintiff must plead and prove she had the authority to stay charges which the Council referred back to the inquiry committee and also prove that her decision was made without reasonable and probable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On this issue the notice of civil claim is inconsistent. At para. 24 the plaintiff claims that Ms. Osborne had the discretion to request the conduct review committee to stay an inquiry. At para. 25 he alleges that Ms. Osborne refused to stay or dismiss the charges. At para. 54 the plaintiff alleges that Ms. Osborne instituted the charges against the plaintiff. At para. 56 he pleads that Ms. Osborne unduly influenced or coerced the investigating officer to proceed with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The allegations against Ms. Osborne must be considered in light of the decision of Slade J. that it was reasonable to direct a new hearing to address the defect introduced by the committee's error and misunderstanding of its powers. No appeal was taken from the decision of Slade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The plaintiff proceeded with an appeal of the second inquiry committee hearing; he challenged the hearing on the basis that he had been denied the opportunity to argue the issue of institutional bias within the BCVMA. Although it appears other grounds were argued before Allan J., those grounds were not argued or resolved. It does not appear that the plaintiff has made any argument touching on the claims against Ms. Osborne or Dr. Forsyth or the other defendants other than advancing claims of institutional bias which the Court of Appeal directs to be resolved by the Human Rights Tribunal.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The defendants say that the claims against Ms. Osborne and Dr. Forsyth are also collateral attacks insofar as those claims ought to have been advanced in the judicial review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 plaintiff does not plead that Ms. Osborne had the authority to make a decision regarding costs compensation to him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It seems to me that the judgment of Slade J. coupled with the plaintiff's submission that Ms. Osborne did not have the authority to stay or dismiss the charges means that the claim against her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I have concluded that the pleadings against the defendants should be struck out in their entirety under Rule 9-5(1)(a), (b) and (d)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In the alternative, the plaintiff's claims for damages due to discrimination will otherwise be stayed until the conclusion of the Human Rights Tribunal proceedings referred to by Hall 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xml:space="preserve">  There will be an order that the plaintiff must not institute legal proceedings against the BCVMA defendants without leave of the court pursuant to section 18 of the </w:t>
      </w:r>
      <w:r>
        <w:rPr>
          <w:rFonts w:ascii="arial" w:eastAsia="arial" w:hAnsi="arial" w:cs="arial"/>
          <w:i/>
          <w:color w:val="000000"/>
          <w:sz w:val="20"/>
          <w:lang w:val="en-US" w:eastAsia="en-US" w:bidi="ar-SA"/>
        </w:rPr>
        <w:t>Supreme Court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xml:space="preserve">  The defendants ask for special costs under Rule 9-5(1). They rely on </w:t>
      </w:r>
      <w:r>
        <w:rPr>
          <w:rFonts w:ascii="arial" w:eastAsia="arial" w:hAnsi="arial" w:cs="arial"/>
          <w:i/>
          <w:color w:val="000000"/>
          <w:sz w:val="20"/>
          <w:lang w:val="en-US" w:eastAsia="en-US" w:bidi="ar-SA"/>
        </w:rPr>
        <w:t>Johar v. Kucy,</w:t>
      </w:r>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2009 BCSC 648</w:t>
        </w:r>
      </w:hyperlink>
      <w:r>
        <w:rPr>
          <w:rFonts w:ascii="arial" w:eastAsia="arial" w:hAnsi="arial" w:cs="arial"/>
          <w:color w:val="000000"/>
          <w:sz w:val="20"/>
          <w:lang w:val="en-US" w:eastAsia="en-US" w:bidi="ar-SA"/>
        </w:rPr>
        <w:t xml:space="preserve">, for the principle that special costs may be ordered if a party persists with a claim under the </w:t>
      </w:r>
      <w:r>
        <w:rPr>
          <w:rFonts w:ascii="arial" w:eastAsia="arial" w:hAnsi="arial" w:cs="arial"/>
          <w:i/>
          <w:color w:val="000000"/>
          <w:sz w:val="20"/>
          <w:lang w:val="en-US" w:eastAsia="en-US" w:bidi="ar-SA"/>
        </w:rPr>
        <w:t>Judicial Review Procedure Act</w:t>
      </w:r>
      <w:r>
        <w:rPr>
          <w:rFonts w:ascii="arial" w:eastAsia="arial" w:hAnsi="arial" w:cs="arial"/>
          <w:color w:val="000000"/>
          <w:sz w:val="20"/>
          <w:lang w:val="en-US" w:eastAsia="en-US" w:bidi="ar-SA"/>
        </w:rPr>
        <w:t xml:space="preserve"> when it is plain that the claim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In this case there is some uncertainty related to the outcome of the judicial review dismissed by the Court of Appeal. It may be that Dr. Bajwa achieves success before the Human Rights Tribunal and that he is entitled to some remedy against the BCVMA.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Although he has persisted in this claim in the face of adverse findings on two judicial reviews, it is not in my view appropriate to award special costs. In the absence of further submissions, the defendants will have ordinary costs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If either party wishes to address further the issue of costs they may do so within 21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T.C. ARMSTRONG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2" style="position:absolute;z-index:2518865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88" w:history="1">
        <w:r>
          <w:rPr>
            <w:rFonts w:ascii="arial" w:eastAsia="arial" w:hAnsi="arial" w:cs="arial"/>
            <w:b/>
            <w:bCs/>
            <w:i/>
            <w:color w:val="0077CC"/>
            <w:kern w:val="32"/>
            <w:sz w:val="28"/>
            <w:szCs w:val="32"/>
            <w:u w:val="single"/>
            <w:shd w:val="clear" w:color="auto" w:fill="FFFFFF"/>
            <w:lang w:val="en-US" w:eastAsia="en-US" w:bidi="ar-SA"/>
          </w:rPr>
          <w:t>Basha Sales Co. v. Adera Equities Inc., [2017] B.C.J. No. 160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G.K. Macintosh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9-12,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31,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S165465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[2017] B.C.J. No. 160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2017 BCSC 137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Basha Sales Co. Ltd., Leibel Sales Co. Ltd., Newport Sales Co. Ltd. doing business as Belmont Properties, and Belmont Shore Holdings Ltd., Plaintiffs, and Adera Equities Inc., Adera Development Corporation, Adera Leasing Ltd., Shore Adera Projects Ltd., Shore Projects Ltd., Shore Investments IV Ltd., Norman Couttie, and Kevin Mahon,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3"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5" w:name="Keywords_34"/>
      <w:bookmarkEnd w:id="225"/>
      <w:r>
        <w:rPr>
          <w:rFonts w:ascii="arial" w:eastAsia="arial" w:hAnsi="arial" w:cs="arial"/>
          <w:b/>
          <w:color w:val="000000"/>
          <w:sz w:val="20"/>
          <w:lang w:val="en-US" w:eastAsia="en-US" w:bidi="ar-SA"/>
        </w:rPr>
        <w:t>Real property law — Sale of land — Agreement of purchase and sale — Breach of — Express term — Implied term — Description of land — Interpretation — Vendor — Duties and obligations — Application by defendants for summary trial allowed; plaintiffs' claims dismissed — Defendants built four buildings with shared underground parking, and plaintiffs purchased one lot and building — Plaintiffs claimed breach of contract, breach of fiduciary duty and duty of honest performance on basis they should have received 116 parking stalls — Agreement of purchase and sale did not specify number of stalls and no subsequent documentation supported plaintiffs' position; in fact, all communications indicated agreement for 76 stalls — Parties were on opposite sides of commercial agreement and defendants did not owe fiduciary duty, nor was there evidence of dishonesty.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and standard of care — Fiduciary duty — Application by defendants for summary trial allowed; plaintiffs' claims dismissed — Defendants built four buildings with shared underground parking, and plaintiffs purchased one lot and building — Plaintiffs claimed breach of contract, breach of fiduciary duty and duty of honest performance on basis they should have received 116 parking stalls — Agreement of purchase and sale did not specify number of stalls and no subsequent documentation supported plaintiffs' position; in fact, all communications indicated agreement for 76 stalls — Parties were on opposite sides of commercial agreement and defendants did not owe fiduciary duty, nor was there evidence of dishonesty.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6" w:name="Case Summary_31"/>
            <w:bookmarkEnd w:id="22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for summary trial. The defendants purchased property and constructed four buildings with a shared underground parking garage. The plaintiffs purchased lot three and building one from the defendants. The plaintiffs commenced an action for breach of contract, breach of fiduciary duty and duty of honest performance, and sought damages and specific performance on the basis the plaintiffs should have received 116 resident parking stalls, not 76. The plaintiffs' building had 116 units that it rented to the public. The primary agreements were the agreement of purchase and sale (PASA) and development agreement. The plaintiffs relied on the definition of project in the PASA, which said it could contain dedicated and serviced underground parking, and said this only made sense if there were 116 parking stalls for 116 suites.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7" w:name="Holdings of Court_24"/>
            <w:bookmarkEnd w:id="227"/>
            <w:r>
              <w:rPr>
                <w:rFonts w:ascii="arial" w:eastAsia="arial" w:hAnsi="arial" w:cs="arial"/>
                <w:color w:val="000000"/>
                <w:sz w:val="20"/>
                <w:lang w:val="en-US" w:eastAsia="en-US" w:bidi="ar-SA"/>
              </w:rPr>
              <w:t>HELD: Application allowed and plaintiffs' claims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submissions were not accepted. The PASA did not specify the number of parking stalls; this was left for later negotiations. While a marketing brochure prepared by the defendant referred to 116 units and 116 parking stalls, it provided a disclaimer that the information might be changed, and the PASA contained an entire agreement clause. The Development Pro Forma set out expected revenue, and referred to the number 116 and then stated at $50 per month, per stall, parking revenue would be $45,240. However, the 116 may have been a reference to the number of units, as the revenue stipulated would come from 76 parking stalls. The development plans in the development agreement showed 76 resident parking stalls. By the time the development agreement was signed, the parties had reached an agreement for 76 parking stalls. This finding was supported by all communications between the parties, including an email that specifically referred to 76 parking stalls. The plaintiffs were attempting to take the number 116 appearing in the development pro forma and invest it with meaning unsupported by subsequent discussions and negotiations. The parties entered into a parking stall lease to give the plaintiff access to stalls not within the footprint of lot three, which brought to the total stalls to 76. The plaintiffs could not point to any documentation supporting their claim, nor was it clear where the additional 40 stalls would come from. The by-law only required one parking stall per living unit, including visitors parking, for the four buildings as a whole, and the defendants had complied with this. Nothing in the facts of this case gave rise to a fiduciary duty. The parties were on two sides of a commercial agreement and the duty of honesty did not equate to fiduciary duty. While the plaintiffs may have been focused on details other than parking, they were represented throughout and there was no evidence of dishonesty.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8" w:name="Counsel_35"/>
      <w:bookmarkEnd w:id="22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4"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Shane D. Coblin, Devin P. Lucas.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 Kenneth McEwan, Q.C., Brian Duong.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9" w:name="Judgment_35"/>
      <w:bookmarkEnd w:id="229"/>
      <w:r>
        <w:pict>
          <v:line id="_x0000_s1195" style="position:absolute;z-index:2517975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FURTHER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TWO AGREEMENTS AND THE RELATED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BREACH OF DUTY OF HONEST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SPECIFIC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SUITABILITY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0" w:name="G.K. MACINTOSH J."/>
            <w:bookmarkEnd w:id="230"/>
            <w:r>
              <w:rPr>
                <w:rFonts w:ascii="arial" w:eastAsia="arial" w:hAnsi="arial" w:cs="arial"/>
                <w:b/>
                <w:color w:val="000000"/>
                <w:sz w:val="30"/>
                <w:lang w:val="en-US" w:eastAsia="en-US" w:bidi="ar-SA"/>
              </w:rPr>
              <w:t>G.K. MACINTOSH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purchased property from the Defendants. The property includes land in the City of North Vancouver and an apartment building which the Defendants built for the Plaintiffs on the land. The Plaintiffs allege they were to receive 116 resident parking stalls for the apartment building instead of only the 76 resident parking stalls which they did receive.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allege breach of contract, breach of fiduciary duty and breach of duty of honest performance. They seek damages, specific performance and punitive damages. The breach of contract claim was the focus of the four-day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Defendants brought the application addressed in these reasons. They seek judgment by summary trial on the whole of the Plaintiffs' claim. Alternatively, they sought an order to have cancelled a caveat and a certificate of pending litigation which the Plaintiffs had caused to be placed on the title of adjoining land in support of their claim for the 40 additional resident parking stalls. Pursuant to an earlier application by the Defendants, the Chief Justice ordered the removal of the caveat and the certificate of pending litigation, in reasons dated January 20, 2017, reported at </w:t>
      </w:r>
      <w:hyperlink r:id="rId589" w:history="1">
        <w:r>
          <w:rPr>
            <w:rFonts w:ascii="arial" w:eastAsia="arial" w:hAnsi="arial" w:cs="arial"/>
            <w:i/>
            <w:color w:val="0077CC"/>
            <w:sz w:val="20"/>
            <w:u w:val="single"/>
            <w:shd w:val="clear" w:color="auto" w:fill="FFFFFF"/>
            <w:lang w:val="en-US" w:eastAsia="en-US" w:bidi="ar-SA"/>
          </w:rPr>
          <w:t>2017 BCSC 94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Above, I have spoken of the Plaintiffs as the purchasers and the Defendants as the vendors. That is generally accurate, but I will refer to individual parties from time to time, as the analysis requires.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question of whether the parties agreed that the Plaintiffs would have 116 resident parking stalls, or instead only 76 resident parking stalls, will be answered by examining the written agreements the parties executed, viewed in the surrounding factual matrix. In most such analyses, including in this case, the written agreements have center stage. The factual matrix sheds light on what the parties meant in the written agreements, but it is the written agreements themselves which require the greatest scrutiny. That is particularly the case when, as here, neither side is advancing any legal argument that would, if successful, cause the written agreements to be modified or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It is also relevant in this case, for attaching particular weight to the written agreements, that the Plaintiffs and the Defendants are sophisticated and experienced as owners and developers of residential apartment and condominium projects in the Lower Mainland, who were advised by seasoned solicitors during all of their dealings in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FURTHER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2011, the Defendants acquired land where they would eventually construct four buildings. The land had been a city works yard in North Vancouver. The land includes three Lots, numbered 2, 3 and 4. The three Lots adjoin one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first building the Defendants built (Building 1) is on Lot 3. The Defendants sold Lot 3 and Building 1 to the Plaintiffs. Building 1 contains 116 residential living units. The Plaintiffs, as owners of Building 1, rent the units to members of the public. As noted earlier, the dispute is whether, in acquiring Lot 3 and Building 1, the Plaintiffs had the right to acquire only the 76 resident parking stalls, as the Defendants contend, or instead, the 116 resident parking stalls, as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Buildings 2 and 3 are on Lot 2. Building 4 is on Lot 4. I am not clear as to whether Building 4 is completed, but nothing turns on that. The Defendants retained Lots 2 and 4, and Buildings 2, 3 and 4, and have sold, or are in the process of selling, condominiums in those three Buildings to members of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four Buildings share a large underground parking area. Various leases and easements allocate the parking rights among the four Buildings, including the resident parking stalls and visitor parking stalls.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TWO AGREEMENTS AND THE RELATED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two primary agreements determining the rights and obligations between the Plaintiffs and the Defendants, including the number of resident parking stalls, were the Agreement of Purchase and Sale ("PASA"), made as of July 17, 2012; and the Development Agreement, dated for reference February 1, 2013, but signed and agreed to on August 22, 2012. It will become apparent in the analysis below that the two agreements were dependent on one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PASA was between the three Plaintiffs, named collectively as the Purchaser, and the Defendant, Adera Equities Inc., named as the Vendor. The Development Agreement was between the three Plaintiffs, named collectively as the Owner, and the Defendant, Shore Adera Projects Ltd., named as the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Following are the provisions of the PASA relevant to this dispute: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u w:val="single"/>
          <w:lang w:val="en-US" w:eastAsia="en-US" w:bidi="ar-SA"/>
        </w:rPr>
        <w:t>AGREEMENT OF PURCHASE AND SALE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AGREEMENT is made as of the 17th day of July, 2012.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BETWEEN:</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BASHA SALES CO. LTD., LEIBEL SALES CO. LTD. and NEWPORT SALES CO. LTD.,</w:t>
      </w:r>
      <w:r>
        <w:rPr>
          <w:rFonts w:ascii="arial" w:eastAsia="arial" w:hAnsi="arial" w:cs="arial"/>
          <w:color w:val="000000"/>
          <w:sz w:val="20"/>
          <w:lang w:val="en-US" w:eastAsia="en-US" w:bidi="ar-SA"/>
        </w:rPr>
        <w:t xml:space="preserve"> each a corporation incorporated under the laws of British Columbia, having an office at 302 - 1401 West Broadway, Vancouver, British Columbia, V6H 1H5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(collectively, the "</w:t>
      </w:r>
      <w:r>
        <w:rPr>
          <w:rFonts w:ascii="arial" w:eastAsia="arial" w:hAnsi="arial" w:cs="arial"/>
          <w:b/>
          <w:color w:val="000000"/>
          <w:sz w:val="20"/>
          <w:lang w:val="en-US" w:eastAsia="en-US" w:bidi="ar-SA"/>
        </w:rPr>
        <w:t>Purchaser</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OF THE FIRST PART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ADERA EQUITIES INC.,</w:t>
      </w:r>
      <w:r>
        <w:rPr>
          <w:rFonts w:ascii="arial" w:eastAsia="arial" w:hAnsi="arial" w:cs="arial"/>
          <w:color w:val="000000"/>
          <w:sz w:val="20"/>
          <w:lang w:val="en-US" w:eastAsia="en-US" w:bidi="ar-SA"/>
        </w:rPr>
        <w:t xml:space="preserve"> of Suite 2200, Four Bentall Centre, 1055 Dunsmuir Street, PO Box 49214, Vancouver, British Columbia, V7X 1K8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color w:val="000000"/>
          <w:sz w:val="20"/>
          <w:lang w:val="en-US" w:eastAsia="en-US" w:bidi="ar-SA"/>
        </w:rPr>
        <w:t>"Vendor"</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OF THE SECOND PART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WHEREAS the Purchaser has agreed to purchase, and the Vendor has agreed to sell the Property for the Purchase Price upon, in accordance with, and subject to, the terms, covenants and conditions hereinafter set out in this Agreement.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1.1 </w:t>
      </w:r>
      <w:r>
        <w:rPr>
          <w:rFonts w:ascii="arial" w:eastAsia="arial" w:hAnsi="arial" w:cs="arial"/>
          <w:b/>
          <w:color w:val="000000"/>
          <w:sz w:val="20"/>
          <w:u w:val="single"/>
          <w:lang w:val="en-US" w:eastAsia="en-US" w:bidi="ar-SA"/>
        </w:rPr>
        <w:t>Definitions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this Agreement, including the Schedules attached hereto, the following words, phrases and expressions have the meanings hereinafter set forth:</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"Development Agreement"</w:t>
      </w:r>
      <w:r>
        <w:rPr>
          <w:rFonts w:ascii="arial" w:eastAsia="arial" w:hAnsi="arial" w:cs="arial"/>
          <w:color w:val="000000"/>
          <w:sz w:val="20"/>
          <w:lang w:val="en-US" w:eastAsia="en-US" w:bidi="ar-SA"/>
        </w:rPr>
        <w:t xml:space="preserve"> means the agreement referred to in section 2.10;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"Development Pro Forma"</w:t>
      </w:r>
      <w:r>
        <w:rPr>
          <w:rFonts w:ascii="arial" w:eastAsia="arial" w:hAnsi="arial" w:cs="arial"/>
          <w:color w:val="000000"/>
          <w:sz w:val="20"/>
          <w:lang w:val="en-US" w:eastAsia="en-US" w:bidi="ar-SA"/>
        </w:rPr>
        <w:t xml:space="preserve"> means the pro forma calculation of Residential Component Operating Revenues, Residential Component Operating Expenses, and Development Costs shown in the "Building 1 At The Shore -- Development Pro Forma" prepared by Burgess Cawley Sullivan attached as Schedule D hereto.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"Lands"</w:t>
      </w:r>
      <w:r>
        <w:rPr>
          <w:rFonts w:ascii="arial" w:eastAsia="arial" w:hAnsi="arial" w:cs="arial"/>
          <w:color w:val="000000"/>
          <w:sz w:val="20"/>
          <w:lang w:val="en-US" w:eastAsia="en-US" w:bidi="ar-SA"/>
        </w:rPr>
        <w:t xml:space="preserve"> means that portion of the Parent Property described in Schedule A subdivided as a separate single legal parcel comprising the lands on which the Project is to be built, the area of which is to be agreed upon pursuant to section 4.6;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"Project"</w:t>
      </w:r>
      <w:r>
        <w:rPr>
          <w:rFonts w:ascii="arial" w:eastAsia="arial" w:hAnsi="arial" w:cs="arial"/>
          <w:color w:val="000000"/>
          <w:sz w:val="20"/>
          <w:lang w:val="en-US" w:eastAsia="en-US" w:bidi="ar-SA"/>
        </w:rPr>
        <w:t xml:space="preserve"> means a purpose built multi-family residential building with 116 suites over five (5) floors totalling approximately 83,000 square feet of net rentable area situated on the Lands completed to condo-quality standards as more fully described in the Development Agreement, with cross easements to share parking ramps and visitor parking stalls with the adjacent "The Shore" development being a master plan community project to be developed by the Vendor consisting of 4 buildings and approximately 375 units constructed to a high level of third party green certification. The Project will contain dedicated and served underground parking with access to a state of the art private fitness studio;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"Property"</w:t>
      </w:r>
      <w:r>
        <w:rPr>
          <w:rFonts w:ascii="arial" w:eastAsia="arial" w:hAnsi="arial" w:cs="arial"/>
          <w:color w:val="000000"/>
          <w:sz w:val="20"/>
          <w:lang w:val="en-US" w:eastAsia="en-US" w:bidi="ar-SA"/>
        </w:rPr>
        <w:t xml:space="preserve"> means the Lands and the Project;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1.3 </w:t>
      </w:r>
      <w:r>
        <w:rPr>
          <w:rFonts w:ascii="arial" w:eastAsia="arial" w:hAnsi="arial" w:cs="arial"/>
          <w:b/>
          <w:color w:val="000000"/>
          <w:sz w:val="20"/>
          <w:u w:val="single"/>
          <w:lang w:val="en-US" w:eastAsia="en-US" w:bidi="ar-SA"/>
        </w:rPr>
        <w:t>Entire Agreement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Agreement constitutes the entire agreement between the parties with respect to the subject matter of this Agreement and, except as otherwise expressly stated herein, contains all of the representations, warranties and agreements of the respective parties with respect to the Property and the transaction contemplated herein. There are no written or verbal representations, undertakings, conditions or agreements of any kind between the parties, other than as specifically expressed in writing in this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1.6 </w:t>
      </w:r>
      <w:r>
        <w:rPr>
          <w:rFonts w:ascii="arial" w:eastAsia="arial" w:hAnsi="arial" w:cs="arial"/>
          <w:b/>
          <w:color w:val="000000"/>
          <w:sz w:val="20"/>
          <w:u w:val="single"/>
          <w:lang w:val="en-US" w:eastAsia="en-US" w:bidi="ar-SA"/>
        </w:rPr>
        <w:t>Schedules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following schedules are attached to this Agreement and form an integral part hereof: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Schedule C -- Development Agreement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Schedule D -- Development Proforma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2.10 </w:t>
      </w:r>
      <w:r>
        <w:rPr>
          <w:rFonts w:ascii="arial" w:eastAsia="arial" w:hAnsi="arial" w:cs="arial"/>
          <w:b/>
          <w:color w:val="000000"/>
          <w:sz w:val="20"/>
          <w:u w:val="single"/>
          <w:lang w:val="en-US" w:eastAsia="en-US" w:bidi="ar-SA"/>
        </w:rPr>
        <w:t>Development Agreement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parties hereby acknowledge and agree that they shall use their reasonable commercial efforts to negotiate honestly, diligently and in good faith a development agreement pursuant to which the Vendor, or company affiliated with the Vendor, will construct and lease the Project for the Purchaser substantially in the form attached hereto as Schedule C with such amendments as may be agreed upon by the parties (the "Development Agreement") on or before the Purchaser's Condition Date, to become effective as of the Closing Date and executed on the Closing Date and to contain the following business terms:</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Vendor shall be responsible for developing and constructing the Project on the Lands containing approximately 83,000 square feet of the net rentable area;</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Purchaser will provide ongoing construction draws to the Vendor for construction of the Project in accordance with agreed funding scheduled based on the Development Pro Forma, until the Project has achieved Substantial Completion. The funds advanced will bear an interest rate of four point two percent (4.2%) to be adjusted upon final payment of the Purchase Price at the Adjustment Date provided however, the Project may at its option advance construction draws at a zero interest rate with an adjustment being made to the Purchase Price equivalent to interest on advanced made at an interest rate of four point two percent (4.20%);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4.3 </w:t>
      </w:r>
      <w:r>
        <w:rPr>
          <w:rFonts w:ascii="arial" w:eastAsia="arial" w:hAnsi="arial" w:cs="arial"/>
          <w:b/>
          <w:color w:val="000000"/>
          <w:sz w:val="20"/>
          <w:u w:val="single"/>
          <w:lang w:val="en-US" w:eastAsia="en-US" w:bidi="ar-SA"/>
        </w:rPr>
        <w:t>Conditions on Closing in Favour of the Purchaser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Purchaser's obligation to complete this transaction is subject to the satisfaction or waiver of each of the following conditions on or before the Closing Date (unless otherwise specified or unless otherwise waived by the Purchaser by written notice to the Vendor or the Vendor's Solicitors):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 documents required to be executed or delivered, or both, to the Purchaser by the Vendor pursuant to the terms of this Agreement shall have been executed or delivered, or both, as the case may be;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4.6 </w:t>
      </w:r>
      <w:r>
        <w:rPr>
          <w:rFonts w:ascii="arial" w:eastAsia="arial" w:hAnsi="arial" w:cs="arial"/>
          <w:b/>
          <w:color w:val="000000"/>
          <w:sz w:val="20"/>
          <w:u w:val="single"/>
          <w:lang w:val="en-US" w:eastAsia="en-US" w:bidi="ar-SA"/>
        </w:rPr>
        <w:t>Mutual Condition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respective obligations of the Purchaser and the Vendor to complete the purchase and sale of the Property is subject to the Vendor and the Purchaser agreeing on the area and dimensions of the Lands to be subdivided from the Parent Parcel, on or before ten (10) days from the Acceptance Date.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7.1 </w:t>
      </w:r>
      <w:r>
        <w:rPr>
          <w:rFonts w:ascii="arial" w:eastAsia="arial" w:hAnsi="arial" w:cs="arial"/>
          <w:b/>
          <w:color w:val="000000"/>
          <w:sz w:val="20"/>
          <w:u w:val="single"/>
          <w:lang w:val="en-US" w:eastAsia="en-US" w:bidi="ar-SA"/>
        </w:rPr>
        <w:t>Delivery of Closing Documents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Other than the Land Closing Statement of Adjustments which is to be delivered at least five (5) Business Days before the Closing Date in accordance with section 2.6(b), on or before the Closing Date, the Vendor will cause the Vendor's Solicitors to deliver to the Purchaser's Solicitors the following items, duly executed by the Vendor and in registrable form wherever appropriate, to be deal with pursuant to Article 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executed copy of the Development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in argument placed substantial weight on the definition of "Project" quoted above from section 1.1(bb) of the PASA. I quote it again here, for convenience: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"Project"</w:t>
      </w:r>
      <w:r>
        <w:rPr>
          <w:rFonts w:ascii="arial" w:eastAsia="arial" w:hAnsi="arial" w:cs="arial"/>
          <w:color w:val="000000"/>
          <w:sz w:val="20"/>
          <w:lang w:val="en-US" w:eastAsia="en-US" w:bidi="ar-SA"/>
        </w:rPr>
        <w:t xml:space="preserve"> means a purpose built multi-family residential building with 116 suites over five (5) floors totalling approximately 83,000 square feet of net rentable area situated on the Lands completed to condo-quality standards as more fully described in the Development Agreement, with cross easements to share parking ramps and visitor parking stalls with the adjacent "The Shore" development being a master plan community project to be developed by the Vendor consisting of 4 buildings and approximately 375 units constructed to a high level of third party green certification. The Project will contain dedicated and served underground parking with access to a state of the art private fitness studio;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argued that the last sentence in that definition, "The Project will contain dedicated and served underground parking with access to a state of the art private fitness studio;" means that the Project will include 116 resident parking stalls. The Plaintiffs did not ask that an implied term be added in order to specify 116 resident parking stalls in that sentence. Instead, they submitted that when the sentence is interpreted within the factual matrix of the case, the only reasonable meaning of the sentence, as written, is that it is specifying 116 resident parking stalls.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cannot accept that submission. In my view, the definition of "Project" in the PASA did not intend to specify the number of parking stalls. That was left for later, and more detailed, work and negotiating between the parties, which will be addressed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submitting that the definition of Project in the PASA was intended to specify 116 resident parking stalls, the Plaintiffs relied on certain earlier documents which I will address below. At this stage however, I state my finding that those documents do not support the conclusion that the Project, as defined in the PASA, specifies, or contemplates, 116 resident parking stalls. In my view, to repeat, at the time the parties entered into the PASA, they had yet to specifically address and agree upon the number of parking stalls the Plaintiffs would receive.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One of the documents the Plaintiffs relied on is a Marketing Brochure, prepared for the Defendants and presented by them to the Plaintiffs early in the process, when the Defendants were seeking a party to purchase Lot 3 and what would become Building 1. The Marketing Brochure stated expressly that the Buyer would receive 116 rental units and 116 parking stalls. However, the Marketing Brochure also expressly provided that the information in it may change. Given the disclaimer it contained, and read in light of the "Entire Agreement" provision in the PASA, as well as the later dealings between the parties, discussed below, the Marketing Brochure can, in my view, play no part in the analysis of what the parties ultimately agreed to concerning the number of resident parking stalls.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Another pre-contract document the Plaintiffs relied on is called the Development Pro Forma. As seen above, at para. [13], it is defined in section 1.1(n) of the PASA. Section 1.6 of the PASA (also quoted above at para. [13]) includes the Development Pro Forma as Schedule D, forming "an integral part" of the PASA. The Development Pro Forma is also part of the Development Agreement, as will be seen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For interpreting the Development Pro Forma, it is important to understand its purpose. That can be seen, at least in part, from how it is defined in the PASA. It is a calculation of revenue, expenses and costs. In other words, it is a financial document. It was prepared in order to help determine the financial feasibility of investing in the Project. It is one page long. The relevant line in the Development Pro Forma reads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6065"/>
        <w:gridCol w:w="1046"/>
        <w:gridCol w:w="271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93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Parking Revenue 116 $50 Per Stall Per Month</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$45,240</w:t>
            </w:r>
          </w:p>
        </w:tc>
        <w:tc>
          <w:tcPr>
            <w:tcW w:w="266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Development Pro Forma, the title which appears above "$45,240" is "Annual Net Rent". The document does not state whether "116" refers to Parking Revenue from 116 living units or from 116 parking stalls. However, </w:t>
      </w:r>
      <w:r>
        <w:rPr>
          <w:rFonts w:ascii="arial" w:eastAsia="arial" w:hAnsi="arial" w:cs="arial"/>
          <w:color w:val="000000"/>
          <w:sz w:val="20"/>
          <w:u w:val="single"/>
          <w:lang w:val="en-US" w:eastAsia="en-US" w:bidi="ar-SA"/>
        </w:rPr>
        <w:t>the "116" appears under a column of eight numbers showing the total square footage for each of the eight different sizes of living units, totalling 116 living units.</w:t>
      </w:r>
      <w:r>
        <w:rPr>
          <w:rFonts w:ascii="arial" w:eastAsia="arial" w:hAnsi="arial" w:cs="arial"/>
          <w:color w:val="000000"/>
          <w:sz w:val="20"/>
          <w:lang w:val="en-US" w:eastAsia="en-US" w:bidi="ar-SA"/>
        </w:rPr>
        <w:t xml:space="preserve"> It is therefore possible that "116" was intended as referring to the total number of living units from which the Parking Revenue would be derived. In any event, the more important numbers in the Development Pro Forma, given the purpose of that document, are the rental rate of $50 per month, and the Annual Net Rent of $45,240. The point there is that </w:t>
      </w:r>
      <w:r>
        <w:rPr>
          <w:rFonts w:ascii="arial" w:eastAsia="arial" w:hAnsi="arial" w:cs="arial"/>
          <w:color w:val="000000"/>
          <w:sz w:val="20"/>
          <w:u w:val="single"/>
          <w:lang w:val="en-US" w:eastAsia="en-US" w:bidi="ar-SA"/>
        </w:rPr>
        <w:t>the number of parking stalls to support that projected Annual Net Rent at $50 Per Stall Per Month was not 116 but instead only 75.4 stalls, or 76 stalls rounded.</w:t>
      </w:r>
      <w:r>
        <w:rPr>
          <w:rFonts w:ascii="arial" w:eastAsia="arial" w:hAnsi="arial" w:cs="arial"/>
          <w:color w:val="000000"/>
          <w:sz w:val="20"/>
          <w:lang w:val="en-US" w:eastAsia="en-US" w:bidi="ar-SA"/>
        </w:rPr>
        <w:t xml:space="preserve"> (I note that the Chief Justice concluded, at para. 66 of his reasons, that "116" in the Development Pro Forma referred to parking stalls. If that was the correct conclusion as to what "116" refers to, and I do not know what evidence and argument the Chief Justice had before him on that question in the interlocutory application, the larger point for this application, to repeat, is that the anticipated rent revenue would come from 75.4 stalls only, as the Chief Justice observed at para. 64 of his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From the above, I am unable to conclude that the Development Pro Forma is evidence to establish that the parties reached agreement that the Plaintiffs would receive 116 parking stalls. I also note that the parties signed a Letter of Intent dated June 7, 2012, which provided as follows in paragraph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Vendor does not warrant the accuracy of the Proforma attached as 0, such Proforma, with such changes as may be agreed upon in the Acquisition Agreement, are intended to be referred to and form the basis of the Development Management Agreement, </w:t>
      </w:r>
      <w:r>
        <w:rPr>
          <w:rFonts w:ascii="arial" w:eastAsia="arial" w:hAnsi="arial" w:cs="arial"/>
          <w:color w:val="000000"/>
          <w:sz w:val="20"/>
          <w:u w:val="single"/>
          <w:lang w:val="en-US" w:eastAsia="en-US" w:bidi="ar-SA"/>
        </w:rPr>
        <w:t>subject to the final Development Management Agreement Exhibit Book documents referred to in the Development Management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Proforma referred to there contained the same information as was contained in the Development Pro Forma. As can be seen from paragraph 16 in the Letter of Intent, information in the Proforma was not warranted, was subject to changes, and, in particular, was subject to the final Development Management Agreement Exhibit Book. That Book will be referred to below. In my view, it demonstrates an agreement for only 76 resident parking stalls.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the Development Agreement, signed about five weeks after the PASA was signed, the following provisions are relevant: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DEVELOPMENT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AGREEMENT dated for reference the 1st day of February, 2013.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AMONG:</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BASHA SALES CO. LTD., LEIBEL SALES CO. LTD. and NEWPORT SALES CO. LTD.,</w:t>
      </w:r>
      <w:r>
        <w:rPr>
          <w:rFonts w:ascii="arial" w:eastAsia="arial" w:hAnsi="arial" w:cs="arial"/>
          <w:color w:val="000000"/>
          <w:sz w:val="20"/>
          <w:lang w:val="en-US" w:eastAsia="en-US" w:bidi="ar-SA"/>
        </w:rPr>
        <w:t xml:space="preserve"> of 302 - 1401 West Broadway, Vancouver, British Columbia, V6H 1H5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(collectively, the </w:t>
      </w:r>
      <w:r>
        <w:rPr>
          <w:rFonts w:ascii="arial" w:eastAsia="arial" w:hAnsi="arial" w:cs="arial"/>
          <w:b/>
          <w:color w:val="000000"/>
          <w:sz w:val="20"/>
          <w:lang w:val="en-US" w:eastAsia="en-US" w:bidi="ar-SA"/>
        </w:rPr>
        <w:t>"Owner"</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OF THE FIRST PART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SHORE ADERA PROJECTS LTD.,</w:t>
      </w:r>
      <w:r>
        <w:rPr>
          <w:rFonts w:ascii="arial" w:eastAsia="arial" w:hAnsi="arial" w:cs="arial"/>
          <w:color w:val="000000"/>
          <w:sz w:val="20"/>
          <w:lang w:val="en-US" w:eastAsia="en-US" w:bidi="ar-SA"/>
        </w:rPr>
        <w:t xml:space="preserve"> of Suite 2200, Four Bentall Centre, 1055 Dunsmuir Street, PO Box 49214, Vancouver, British Columbia, V7X 1K8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color w:val="000000"/>
          <w:sz w:val="20"/>
          <w:lang w:val="en-US" w:eastAsia="en-US" w:bidi="ar-SA"/>
        </w:rPr>
        <w:t>"Manager"</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OF THE SECOND PART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WITNESS THAT: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 has acquired or will acquire the Project Lands from Adera Equities Inc., a company related to the Manager, by virtue of the Acquisition Agreement;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 through the Manager, intends to develop the Project Lands; and</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wish to enter into this Agreement to confirm their mutual understandings with respect to the development, construction, leasing and completion of the Project.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1.1 </w:t>
      </w:r>
      <w:r>
        <w:rPr>
          <w:rFonts w:ascii="arial" w:eastAsia="arial" w:hAnsi="arial" w:cs="arial"/>
          <w:b/>
          <w:color w:val="000000"/>
          <w:sz w:val="20"/>
          <w:u w:val="single"/>
          <w:lang w:val="en-US" w:eastAsia="en-US" w:bidi="ar-SA"/>
        </w:rPr>
        <w:t>DEFINITIONS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Unless the subject matter or context otherwise requires: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color w:val="000000"/>
          <w:sz w:val="20"/>
          <w:lang w:val="en-US" w:eastAsia="en-US" w:bidi="ar-SA"/>
        </w:rPr>
        <w:t>Development Agreement Exhibit Book"</w:t>
      </w:r>
      <w:r>
        <w:rPr>
          <w:rFonts w:ascii="arial" w:eastAsia="arial" w:hAnsi="arial" w:cs="arial"/>
          <w:color w:val="000000"/>
          <w:sz w:val="20"/>
          <w:lang w:val="en-US" w:eastAsia="en-US" w:bidi="ar-SA"/>
        </w:rPr>
        <w:t xml:space="preserve"> means a binder entitled "Development Agreement Exhibit Book", summarized in Schedule "B" hereto, initialled for identification by the parties and containing a copy of: (i) the Development Budget, (ii) the Development Plans, (iii) the Development Schedule, (iv) the Development Leasing Plan, and (v) the Rental Proforma, all of which have been Approved by the Owner;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"Development Plans"</w:t>
      </w:r>
      <w:r>
        <w:rPr>
          <w:rFonts w:ascii="arial" w:eastAsia="arial" w:hAnsi="arial" w:cs="arial"/>
          <w:color w:val="000000"/>
          <w:sz w:val="20"/>
          <w:lang w:val="en-US" w:eastAsia="en-US" w:bidi="ar-SA"/>
        </w:rPr>
        <w:t xml:space="preserve"> means the drawings and specifications for constructing the Improvements contained in the Development Agreement Exhibit Book, as Approved by the Owner and as may be revised by the Manager and Approved by the Owner from time to time, each acting reasonably;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"Project"</w:t>
      </w:r>
      <w:r>
        <w:rPr>
          <w:rFonts w:ascii="arial" w:eastAsia="arial" w:hAnsi="arial" w:cs="arial"/>
          <w:color w:val="000000"/>
          <w:sz w:val="20"/>
          <w:lang w:val="en-US" w:eastAsia="en-US" w:bidi="ar-SA"/>
        </w:rPr>
        <w:t xml:space="preserve"> means a purpose built multi-family residential building with 116 suites over five (5) floors totalling approximately 83,000 square feet of net rentable area situated on the Project Lands completed to condo-quality standards in accordance with the Development Budget and Development Plans, with cross easements to share parking ramps and visitor parking stalls with the adjacent "The Shore" master plan community project to be developed by the Manager;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"Project Lands"</w:t>
      </w:r>
      <w:r>
        <w:rPr>
          <w:rFonts w:ascii="arial" w:eastAsia="arial" w:hAnsi="arial" w:cs="arial"/>
          <w:color w:val="000000"/>
          <w:sz w:val="20"/>
          <w:lang w:val="en-US" w:eastAsia="en-US" w:bidi="ar-SA"/>
        </w:rPr>
        <w:t xml:space="preserve"> means lands described in Schedule "A" hereto;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b/>
          <w:color w:val="000000"/>
          <w:sz w:val="20"/>
          <w:lang w:val="en-US" w:eastAsia="en-US" w:bidi="ar-SA"/>
        </w:rPr>
        <w:t>"Substantial Completion"</w:t>
      </w:r>
      <w:r>
        <w:rPr>
          <w:rFonts w:ascii="arial" w:eastAsia="arial" w:hAnsi="arial" w:cs="arial"/>
          <w:color w:val="000000"/>
          <w:sz w:val="20"/>
          <w:lang w:val="en-US" w:eastAsia="en-US" w:bidi="ar-SA"/>
        </w:rPr>
        <w:t xml:space="preserve"> means the date that the Architect delivers to the Manager and the Owner a certificate certifying that: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Project has been substantially completed in accordance with the plans and specifications Approved by the Owner in accordance with section 4.2(h) of the Acquisition Agreement;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2.6 </w:t>
      </w:r>
      <w:r>
        <w:rPr>
          <w:rFonts w:ascii="arial" w:eastAsia="arial" w:hAnsi="arial" w:cs="arial"/>
          <w:b/>
          <w:color w:val="000000"/>
          <w:sz w:val="20"/>
          <w:u w:val="single"/>
          <w:lang w:val="en-US" w:eastAsia="en-US" w:bidi="ar-SA"/>
        </w:rPr>
        <w:t>DISCLAIMER OF OTHER AGENCY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parties hereby disclaim any intention to create any of them the agent of the other and nothing in this Agreement will constitute either of them the agent of the other.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3. </w:t>
      </w:r>
      <w:r>
        <w:rPr>
          <w:rFonts w:ascii="arial" w:eastAsia="arial" w:hAnsi="arial" w:cs="arial"/>
          <w:b/>
          <w:color w:val="000000"/>
          <w:sz w:val="20"/>
          <w:u w:val="single"/>
          <w:lang w:val="en-US" w:eastAsia="en-US" w:bidi="ar-SA"/>
        </w:rPr>
        <w:t>DEVELOPMENT MATTERS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3.1 </w:t>
      </w:r>
      <w:r>
        <w:rPr>
          <w:rFonts w:ascii="arial" w:eastAsia="arial" w:hAnsi="arial" w:cs="arial"/>
          <w:b/>
          <w:color w:val="000000"/>
          <w:sz w:val="20"/>
          <w:u w:val="single"/>
          <w:lang w:val="en-US" w:eastAsia="en-US" w:bidi="ar-SA"/>
        </w:rPr>
        <w:t>DEVELOPMENT OBLIGATIONS OF THE MANAGER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Manager is hereby engaged and authorized by the Owner to implement and execute the Development Budget, Development Plans and Development Schedule and in connection therewith to perform, on behalf of the Owner, the following duties in connection with the development and construction of the Project;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COMPLIANCE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Causing all Improvements and all premises to be located on the Project Lands, to comply in all material respects with the Development Plans, all applicable development agreements, development permits, building permits, building codes and regulations, statutes, enactments, laws and by-laws of all federal, provincial and municipal or other governmental bodies or authorities;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3.4 </w:t>
      </w:r>
      <w:r>
        <w:rPr>
          <w:rFonts w:ascii="arial" w:eastAsia="arial" w:hAnsi="arial" w:cs="arial"/>
          <w:b/>
          <w:color w:val="000000"/>
          <w:sz w:val="20"/>
          <w:u w:val="single"/>
          <w:lang w:val="en-US" w:eastAsia="en-US" w:bidi="ar-SA"/>
        </w:rPr>
        <w:t>SPECIFIC APPROVALS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Manager will submit to the Owner for Approval by the Owner, or for execution by the Owner or the Nominee, as the case may be, the following: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easements, reciprocal easements, or other agreements which will or may be registered against title to the Project Lands or any part thereof regarding parking, storage and other shared facilities and/or cost sharing and management for the various components of "The Shore" mast plan community project to be developed by the Manager, of which the Project will form a part;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5.5 </w:t>
      </w:r>
      <w:r>
        <w:rPr>
          <w:rFonts w:ascii="arial" w:eastAsia="arial" w:hAnsi="arial" w:cs="arial"/>
          <w:b/>
          <w:color w:val="000000"/>
          <w:sz w:val="20"/>
          <w:u w:val="single"/>
          <w:lang w:val="en-US" w:eastAsia="en-US" w:bidi="ar-SA"/>
        </w:rPr>
        <w:t>ENTIRE AGREEMENT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Agreement and the Acquisition Agreement constitutes the entire agreement between the parties hereto pertaining to the subject matter hereof and supersedes all prior and contemporaneous agreements, understandings, negotiations and discussions, whether oral or written, of the parties in connection with the subject matter hereof and there are no warranties, representations or other agreements between the parties in connection with the subject matter hereof except as specifically set forth herein or in the Acquisition Agreement.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5.6 </w:t>
      </w:r>
      <w:r>
        <w:rPr>
          <w:rFonts w:ascii="arial" w:eastAsia="arial" w:hAnsi="arial" w:cs="arial"/>
          <w:b/>
          <w:color w:val="000000"/>
          <w:sz w:val="20"/>
          <w:u w:val="single"/>
          <w:lang w:val="en-US" w:eastAsia="en-US" w:bidi="ar-SA"/>
        </w:rPr>
        <w:t>TERM OF THE AGREEMENT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Agreement will commence as of the date hereof and will continue until the later of:</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payment to the Manager of all monies due hereunder; and</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date this Agreement is terminated in accordance with the provisions hereof.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addition to the portions of the Development Agreement quoted immediately above, Schedule B to the Development Agreement was the "Development Agreement Exhibit Book", mentioned above in paragraph 21. The index for the Development Agreement Exhibit Book reads as follows: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SHORE" BUILDING 1</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Development Agreement Exhibit Book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August 20, 2012</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Development Budget (Construction &amp; Development Proforma)</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Development Plans (Drawings &amp;Specifications)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NOTE -- The August 2012 drawings and Development Permit Drawings (stamped "DRAFT") and are subject to change by the Manager as they are further developed. Building Permit Drawings will be substituted when available.</w:t>
      </w:r>
    </w:p>
    <w:p>
      <w:pPr>
        <w:numPr>
          <w:numId w:val="2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Development Schedule</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Development Leasing Plan</w:t>
      </w:r>
    </w:p>
    <w:p>
      <w:pPr>
        <w:numPr>
          <w:numId w:val="4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Rental Proforma (Revenue &amp; Operating Expense Proforma)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NOTE: The contents of this Development Agreement Exhibit Book may be revised at any time by mutual agreement of the Owner and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"Development Proforma", named above in item 1 in the index for the Development Agreement Exhibit Book, is the same document that is addressed above in these reasons at paras. [19]-[21].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Development Plans (Drawings &amp; Specifications), item 2 above in the Development Agreement Exhibit Book index, include documents which directly address the number of resident parking stalls for the Plaintiffs' Building. The first series of numbers in the Development Plans indicates, for Building 1, </w:t>
      </w:r>
      <w:r>
        <w:rPr>
          <w:rFonts w:ascii="arial" w:eastAsia="arial" w:hAnsi="arial" w:cs="arial"/>
          <w:color w:val="000000"/>
          <w:sz w:val="20"/>
          <w:u w:val="single"/>
          <w:lang w:val="en-US" w:eastAsia="en-US" w:bidi="ar-SA"/>
        </w:rPr>
        <w:t>"Resident Parking 76 spaces"</w:t>
      </w:r>
      <w:r>
        <w:rPr>
          <w:rFonts w:ascii="arial" w:eastAsia="arial" w:hAnsi="arial" w:cs="arial"/>
          <w:color w:val="000000"/>
          <w:sz w:val="20"/>
          <w:lang w:val="en-US" w:eastAsia="en-US" w:bidi="ar-SA"/>
        </w:rPr>
        <w:t xml:space="preserve">. A drawing in that assembly, part of the Development Plans (Drawings &amp; Specifications), entitled "P1 Parking", has marked on it, for Building 1, </w:t>
      </w:r>
      <w:r>
        <w:rPr>
          <w:rFonts w:ascii="arial" w:eastAsia="arial" w:hAnsi="arial" w:cs="arial"/>
          <w:color w:val="000000"/>
          <w:sz w:val="20"/>
          <w:u w:val="single"/>
          <w:lang w:val="en-US" w:eastAsia="en-US" w:bidi="ar-SA"/>
        </w:rPr>
        <w:t>"Resident Parking 76 Cars"</w:t>
      </w:r>
      <w:r>
        <w:rPr>
          <w:rFonts w:ascii="arial" w:eastAsia="arial" w:hAnsi="arial" w:cs="arial"/>
          <w:color w:val="000000"/>
          <w:sz w:val="20"/>
          <w:lang w:val="en-US" w:eastAsia="en-US" w:bidi="ar-SA"/>
        </w:rPr>
        <w:t xml:space="preserve">. A similar label on the same drawing reads </w:t>
      </w:r>
      <w:r>
        <w:rPr>
          <w:rFonts w:ascii="arial" w:eastAsia="arial" w:hAnsi="arial" w:cs="arial"/>
          <w:color w:val="000000"/>
          <w:sz w:val="20"/>
          <w:u w:val="single"/>
          <w:lang w:val="en-US" w:eastAsia="en-US" w:bidi="ar-SA"/>
        </w:rPr>
        <w:t>"76 Resident Spaces &amp; 10 Visitor Spaces for Building 1"</w:t>
      </w:r>
      <w:r>
        <w:rPr>
          <w:rFonts w:ascii="arial" w:eastAsia="arial" w:hAnsi="arial" w:cs="arial"/>
          <w:color w:val="000000"/>
          <w:sz w:val="20"/>
          <w:lang w:val="en-US" w:eastAsia="en-US" w:bidi="ar-SA"/>
        </w:rPr>
        <w:t>. If one counts the number of spaces for that description on that drawing, one sees 76 resident parking stalls.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Although the two documents I have referred to immediately above were marked "draft", both documents were part of the Development Agreement Exhibit Book and neither was ever replaced by a subsequent document changing the resident parking stalls from 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my view, by the time the Development Agreement was signed, including the Development Agreement Exhibit Book as an integral part of the agreement package, the parties had reached agreement that there would be 76 resident parking stalls for Building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That agreement derived from the dealings between the parties in July and August of 2012 leading to the signing of the Development Agreement on August 22. Those dealings are accurately summarized at paragraphs 47-58 of the Defendants' written argument. I adopt those paragraphs as part of these reasons. They are amply supported by the evidence:</w:t>
      </w:r>
      <w:r>
        <w:rPr>
          <w:rFonts w:ascii="arial" w:eastAsia="arial" w:hAnsi="arial" w:cs="arial"/>
          <w:sz w:val="20"/>
          <w:lang w:val="en-US" w:eastAsia="en-US" w:bidi="ar-SA"/>
        </w:rPr>
        <w:cr/>
      </w:r>
    </w:p>
    <w:p>
      <w:pPr>
        <w:numPr>
          <w:numId w:val="4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drawings for the proposed Shore development were commissioned as early as April, 2011, the first drawings depicting a specific number of residential parking stalls for [use] by Building 1 residents were not made until shortly before the execution of the Agreement of Purchase and Sale.</w:t>
      </w:r>
    </w:p>
    <w:p>
      <w:pPr>
        <w:numPr>
          <w:numId w:val="4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July 11, 2012, Adera first requested from its architect drawings including a proposed parking allotment for Building 1. That drawing denoted an allotment of 70 resident parking spaces.</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July 23, 2012, the parkade drawings were modified to allot 76 resident parking stalls to Building 1. All drawings after that date reflected the number of resident parking stalls for Building 1.</w:t>
      </w:r>
    </w:p>
    <w:p>
      <w:pPr>
        <w:numPr>
          <w:numId w:val="5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July, Mr. Mahon [Defendants] and Mr. Golden [Plaintiffs] met and had telephone calls to discuss the proposed development on multiple occasions. These discussions included the number resident parking stalls and, according to Mr. Mahon, included reference to the Bunt and Cawley Reports [which formed the basis for the Development Pro Forma]. Mr. Mahon's uncontroverted evidence is that he and Mr. Golden discussed the fact that the two reports projected uptake in parking by Building 1 residents at levels that would translate 70 or 76 stalls, respectively. Mr. Mahon's uncontroverted evidence is further that he specifically recalls Mr. Golden mentioning that Belmont had several rental buildings in which resident parking was underutilized. Mr. Mahon's evidence is that the two ultimately agreed that the number of resident parking stalls for Building 1 should be 76. Mr. Golden denies that he agreed to 76 parking stalls.</w:t>
      </w:r>
    </w:p>
    <w:p>
      <w:pPr>
        <w:numPr>
          <w:numId w:val="5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Couttie's [Defendants] uncontroverted evidence is that Belmont representatives were provided with the latest plans and specifications over the course of meetings on July 24 and 25, in particular the updated drawings showing 76 resident parking stalls for Building 1.</w:t>
      </w:r>
    </w:p>
    <w:p>
      <w:pPr>
        <w:numPr>
          <w:numId w:val="5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July 31, Belmont representatives, including Messrs. Rollo, Golden and Michael Averbach [Plaintiffs], were provided with documents including a data table showing the provision of 76 resident parking stalls.</w:t>
      </w:r>
    </w:p>
    <w:p>
      <w:pPr>
        <w:numPr>
          <w:numId w:val="5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same period, Michael Averbach [Plaintiffs] sought information on how Building 1 would fit into the overall project. Norm Couttie of Adera emailed Mr. Averbach in response, copying Mr. Golden, on August 2, 2012, and invited a call if there were any questions. The email explicitly sets out the parking arrangements, including the specific subleasing of 76 resident parking stalls to Belmont in connection with the Project "as per our Agreement". The attachments include drawings which identify the parking stalls for the Project and contain the following caption, capitalized and in bold:</w:t>
      </w:r>
    </w:p>
    <w:p>
      <w:pPr>
        <w:spacing w:before="120" w:line="260" w:lineRule="atLeast"/>
        <w:ind w:left="360"/>
        <w:rPr>
          <w:rFonts w:ascii="arial" w:eastAsia="arial" w:hAnsi="arial" w:cs="arial"/>
          <w:sz w:val="20"/>
          <w:lang w:val="en-US" w:eastAsia="en-US" w:bidi="ar-SA"/>
        </w:rPr>
      </w:pPr>
      <w:r>
        <w:rPr>
          <w:rFonts w:ascii="arial" w:eastAsia="arial" w:hAnsi="arial" w:cs="arial"/>
          <w:b/>
          <w:color w:val="000000"/>
          <w:sz w:val="20"/>
          <w:lang w:val="en-US" w:eastAsia="en-US" w:bidi="ar-SA"/>
        </w:rPr>
        <w:t>76 RESIDENT SPACES &amp; 10 VISITOR SPACES FOR BUILDING 1</w:t>
      </w:r>
    </w:p>
    <w:p>
      <w:pPr>
        <w:numPr>
          <w:numId w:val="5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Neither Mr. Golden [Plaintiffs] nor Mr. Averbach [Plaintiffs] denies or disputes receiving that email and the associated attachments. There is no evidence that either raised any questions or concerns with the information provided. However, in their evidence, both initially stated that they did not recall receiving or reviewing it and did not reply or forward it onto anyone. Subsequently, Mr. Averbach provided revised evidence admitting that he forwarded the email to Mr. Rollo [Plaintiffs], but nonetheless maintaining that he did so without reviewing or appreciating the significance of the multiple references to 76 resident parking spaces. Mr. Rollo, for his part, despite Mr. Averbach having forwarded the email to him, states that its contents would not have interested or concerned him.</w:t>
      </w:r>
    </w:p>
    <w:p>
      <w:pPr>
        <w:numPr>
          <w:numId w:val="6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accordance with the timeline that required the Development Agreement to be finalized prior to the condition waiver date of the Agreement of Purchase and Sale, Adera sent Belmont plans and documents that would allow them to complete their due diligence and make a decision on whether to pursue the Project. Adera and Belmont's representatives were completing the Development Plans and specifications during this period.</w:t>
      </w:r>
    </w:p>
    <w:p>
      <w:pPr>
        <w:numPr>
          <w:numId w:val="6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August 22, 2012, the final Development Plans contained in the Exhibit Book of the Development Agreement were provided to the plaintiffs through their solicitors. The plaintiffs' evidence also reflects an agreement between Paul Rollo and Bob Golden [Plaintiffs] to meet prior to signing the Development Agreement to discuss the Project, at the time of the finalization of the Exhibit Book.</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final Development Agreement, including schedules, was sent to Belmont on August 22, 2012 and executed the same day. Development Plans were attached to the Development Agreement and titled "Development Plans (Drawings &amp; Specifications)." The table summary page to the Development Plans as well as the drawings explicitly set out the provision of 76 resident parking spaces and 10 visitor parking spaces to Belmont, for a total of 86 parking stalls.</w:t>
      </w:r>
    </w:p>
    <w:p>
      <w:pPr>
        <w:numPr>
          <w:numId w:val="6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Copies of the fully executed Development Agreement, including Schedules, were provided to CBRE for delivery to Belmont or about August 29,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That summary of the evidence makes clear, in my view, that the only number of resident parking stalls the parties agreed to for Building 1 was 76. The Plaintiffs have attempted to take "116" appearing in the Development Pro Forma (see paras. [19]-[21] above) and invest it with a meaning that is unsupported by all the subsequent discussions and negotiations the parties undertook in order to derive 76 resident parking stalls as a term of their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parties entered into a further agreement which serves to confirm that the Plaintiffs were entitled to only 76 resident parking stalls. They entered into a Parking Stall Lease, made as of January 9, 2015. The purpose of the Lease was to give to the Plaintiffs portions of parking stalls which were not within the footprint of Lot 3, in order to have the Plaintiffs receive a total of 76 complete resident parking stalls. The diagram in the Parking Stall Lease shows, by my count, 9 resident parking stalls, which are mostly outside the lot line for Lot 3, being made part of the Plaintiffs' resident parking stall entitlement of 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Plaintiffs cannot point to any document prepared after the PASA was entered into consistent with the Plaintiffs' claim in this proceeding. The documentary evidence, summarized above, makes clear, in my view, that 76 resident parking stalls were all that the parties ever agreed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are other frailties associated with the Plaintiffs' claim. For example, it is unclear, to say the least, where the 40 additional resident parking stalls were to come from. No contractual document, email or meeting memorandum points to any other location, underneath the four Buildings or elsewhere, where the 40 stalls were to be found. Nor was the timing of the Plaintiffs acquiring 40 more stalls ever discussed. Furthermore, an easement dated January 8, 2015, signed on behalf of the Plaintiffs by a representative who gave no affidavit in this proceeding, specified in section 8.1 certain future rights the parties would have, and that provision does not contemplate the 40 stalls the Plaintiffs allege belong to them. Also, on February 26, 2015, the architects issued the certificate of substantial completion, certifying that the Project had been completed in accordance with the plans and specifications approved by the owner. On April 9, 2015, the Plaintiffs' solicitors sent a letter enclosing a cheque for the substantial completion payment. Neither of those steps included, or resulted in, any query from the Plaintiffs about the 40 additional resident parking stalls it now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Plaintiffs presented an argument, at some length, that the applicable municipal zoning bylaw required one resident parking stall for each living unit. The Plaintiffs' submission was that the Defendants' position in the law suit (i.e., only 76 resident parking stalls) would put them offside the municipal zoning requirements. Therefore, the Plaintiffs argued, it could not have been the parties' intention for the Defendants to provide fewer than 116 resident parking stalls. The flaw in that submission is that the applicable bylaw, properly construed, required only one parking stall per living unit, including visitors parking, for the </w:t>
      </w:r>
      <w:r>
        <w:rPr>
          <w:rFonts w:ascii="arial" w:eastAsia="arial" w:hAnsi="arial" w:cs="arial"/>
          <w:color w:val="000000"/>
          <w:sz w:val="20"/>
          <w:u w:val="single"/>
          <w:lang w:val="en-US" w:eastAsia="en-US" w:bidi="ar-SA"/>
        </w:rPr>
        <w:t>four Buildings considered as a whole</w:t>
      </w:r>
      <w:r>
        <w:rPr>
          <w:rFonts w:ascii="arial" w:eastAsia="arial" w:hAnsi="arial" w:cs="arial"/>
          <w:color w:val="000000"/>
          <w:sz w:val="20"/>
          <w:lang w:val="en-US" w:eastAsia="en-US" w:bidi="ar-SA"/>
        </w:rPr>
        <w:t>. The Defendants, in providing 76 resident parking stalls for Building 1, were in full compliance with the applicable zoning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Plaintiffs have alleged that the Defendants Adera Equities Inc., Adera Development Corporation, Norman Couttie and Kevin Mahon breached fiduciary duties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the course of argument, the Plaintiffs placed little emphasis on this part of their claim. However, they have maintained the claim and it has been hanging over the heads of those Defendants, particularly of course, the personal Defendants. A breach of fiduciary duty allegation carries with it an imputation of moral wrongdoing.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legal foundation needed to support an allegation that fiduciary duties have been breached is the pre-existence of a fiduciary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my view, there is nothing on the facts of the case that gives rise to a fiduciary obligation. The Plaintiffs and the Defendants were on the two sides of a commercial transaction. Representatives of each side owed any fiduciary obligations they did have only to their own side. For example, the Defendant Couttie is president, and the Defendant Mahon is CEO, of Adera Development Corporation. Both men may have fiduciary obligations to that company, arising from their executive positions or, if they are directors, from their positions on the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However, the Plaintiffs did not, and I believe could not, point to any fact, or facts, from which to found a fiduciary duty owing by any of these four Defendants to any of the Plaintiffs. Both sides in this matter, the Plaintiffs and the Defendants, were looking out for their own best interests. Each side had a duty of honesty to the other insofar as contractual performance was concerned, but that does not equate to a fiduciary duty. (I add here that I did not observe dishonesty on the part of any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Fiduciary duties arise if someone exercises power and unilateral discretion over the interests of somebody else, and the beneficiary of the duty is vulnerable to the exercise of the power and discretion held by the fiduciary. See, </w:t>
      </w:r>
      <w:r>
        <w:rPr>
          <w:rFonts w:ascii="arial" w:eastAsia="arial" w:hAnsi="arial" w:cs="arial"/>
          <w:i/>
          <w:color w:val="000000"/>
          <w:sz w:val="20"/>
          <w:lang w:val="en-US" w:eastAsia="en-US" w:bidi="ar-SA"/>
        </w:rPr>
        <w:t>Lac Minerals Ltd. v. International Corona Resources Ltd.</w:t>
      </w:r>
      <w:r>
        <w:rPr>
          <w:rFonts w:ascii="arial" w:eastAsia="arial" w:hAnsi="arial" w:cs="arial"/>
          <w:color w:val="000000"/>
          <w:sz w:val="20"/>
          <w:lang w:val="en-US" w:eastAsia="en-US" w:bidi="ar-SA"/>
        </w:rPr>
        <w:t xml:space="preserve">, </w:t>
      </w:r>
      <w:hyperlink r:id="rId590"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Galambos v. Perez</w:t>
      </w:r>
      <w:r>
        <w:rPr>
          <w:rFonts w:ascii="arial" w:eastAsia="arial" w:hAnsi="arial" w:cs="arial"/>
          <w:color w:val="000000"/>
          <w:sz w:val="20"/>
          <w:lang w:val="en-US" w:eastAsia="en-US" w:bidi="ar-SA"/>
        </w:rPr>
        <w:t xml:space="preserve">, </w:t>
      </w:r>
      <w:hyperlink r:id="rId591" w:history="1">
        <w:r>
          <w:rPr>
            <w:rFonts w:ascii="arial" w:eastAsia="arial" w:hAnsi="arial" w:cs="arial"/>
            <w:i/>
            <w:color w:val="0077CC"/>
            <w:sz w:val="20"/>
            <w:u w:val="single"/>
            <w:shd w:val="clear" w:color="auto" w:fill="FFFFFF"/>
            <w:lang w:val="en-US" w:eastAsia="en-US" w:bidi="ar-SA"/>
          </w:rPr>
          <w:t>[2009] 3 S.C.R. 247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That legal formulation has no application to the facts of this case. In essence, this was a commercial transaction between highly sophisticated parties, thoroughly advised by their solicitors and other experts. Each side was free to make whatever deal it wanted to make. That is all that happened. As in most complex transactions, one side was performing several steps for the benefit of the other. Here, the Defendants, as one example, constructed Building 1 for the Plaintiffs. Of course that required the Plaintiffs to be reliant on the Defendants, but that reliance was purely commercial, and unconnected with any fiduciary obligation.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 BREACH OF DUTY OF HONEST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Plaintiffs allege that the Defendants breached their duty to honestly perform the PASA.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note with respect to this claim that the Plaintiffs chose not to cross-examine the Defendants Couttie and Mahon on their affidavits, and that Gary Averbach, who signed the Development Agreement on behalf of the Plaintiff, Basha Sales Co. Ltd., gave no affidavit evidence. That absence of cross-examination and absence of any evidence from a seemingly important witness does not bode well for advancing an allegation of dishonest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From reviewing all of the evidence in this case, what may have happened is that the Plaintiffs, at the relevant times, did not care enough about the number of resident parking stalls to demand more stalls, and instead placed their focus on such matters as the interior finishes for Building 1. If that is the case, it does not lead to a conclusion that any of the Defendants was dishonest in the performance of their contractual duties, and I do not see any evidence to indicate that they were. I repeat here, also, that the Plaintiffs had the benefit of sophisticated legal representation, and the benefit of other experts, throughout their dealings with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With respect, I see no basis for the allegation of dishonest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 SPECIFIC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Plaintiffs' claim for specific performance instead of damages is, of course, a claim for a remedy dependent upon the Plaintiffs first establishing a cause of action. Above, I have found that the Plaintiffs do not have a successful cause of action. Accordingly, I do not intend to address their claim for specific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Furthermore, from the conclusions of the Chief Justice, ordering the removal of the caveat and certificate of pending litigation, see para. [3] above, the claim for specific performance may be overtaken by events, as the resident parking stalls under Buildings 2, 3 and 4 are acquired by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SUITABILITY FOR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Although the Plaintiffs in the course of the four-day hearing did not argue strenuously against this case being suitable for disposition by summary trial, that issue still needs to be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noted above that the Plaintiffs elected not to cross-examine the two key witnesses for the Defendants, and tendered no evidence from their representative who signed the Development Agreement. In my view, that self-induced evidentiary gap weakens the case of a party who is seeking to dispense with the efficiencies of summary trial, and instead move to what would, no doubt, be a long and expensive conventional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This case, in my view, is well suited to summary trial. It is not the simplicity or the complexity of a case that should drive the analysis for whether there can be a summary trial. Instead, in my view, the more central question is whether there are key findings of fact which cannot be confidently determined through the examination of affidavits and the related documentary evidence. While this case has complex parts, the complexities can be resolved by an examination of the agreements, and the affidavits. We live in a time when complex commercial transactions are hammered out through countless emails. Such evidence, which is contemporaneous, and therefore less self-serving, usually allows the trier of fact to form a clear view of what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opposing a summary trial, a party can always submit that further witnesses could shed light, so as to expand the factual matrix. In this case for example, the Plaintiffs allege that a Ms. Cawley, who prepared financial projections for parking stall rent revenue, is an important witness who, they say, would not swear an affidavit for the summary trial application. I do not see that Ms. Cawley's evidence is centrally important. After her work was completed, the parties undertook a great many independent steps to reach agreement for 76 resident parking stalls. Furthermore, Ms. Cawley, in an affidavit filed on the application, points out that she did not tell the Plaintiffs' lawyer that she would not swear an affidavit at all, but instead said that she would prefer not to do so without first notifying and speaking to representatives of the Defendants, as a matter of courtesy. As well, Ms. Cawley prepared written responses to written questions from the Plaintiffs' lawyer, and those responses formed part of the evidence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my view, this case is not one where the Court has a need to see and hear from further witnesses before being able to determine the relevant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There is no dispute about the applicable case law associated with a summary trial suitability analysis, beginning with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592"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Nothing in those cases raises any flag against the suitability of summary trial for this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Defendants' application is allowed. The Plaintiffs' claims in contract, breach of fiduciary duty and breach of duty of honest performance are dismissed. The case is suitable for disposition by summary trial. Costs can be spoken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G.K. MACINTOSH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6" style="position:absolute;z-index:2518476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93"/>
          <w:headerReference w:type="default" r:id="rId594"/>
          <w:footerReference w:type="even" r:id="rId595"/>
          <w:footerReference w:type="default" r:id="rId596"/>
          <w:headerReference w:type="first" r:id="rId597"/>
          <w:footerReference w:type="first" r:id="rId59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99" w:history="1">
        <w:r>
          <w:rPr>
            <w:rFonts w:ascii="arial" w:eastAsia="arial" w:hAnsi="arial" w:cs="arial"/>
            <w:b/>
            <w:bCs/>
            <w:i/>
            <w:color w:val="0077CC"/>
            <w:kern w:val="32"/>
            <w:sz w:val="28"/>
            <w:szCs w:val="32"/>
            <w:u w:val="single"/>
            <w:shd w:val="clear" w:color="auto" w:fill="FFFFFF"/>
            <w:lang w:val="en-US" w:eastAsia="en-US" w:bidi="ar-SA"/>
          </w:rPr>
          <w:t>Blackman v. Dha, [2015] B.C.J. No. 860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Devlin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13-15,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30,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M141145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860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698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Lorianne Elizabeth Blackman, Plaintiff, and Inderjeet Dha,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7"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1" w:name="Keywords_35"/>
      <w:bookmarkEnd w:id="231"/>
      <w:r>
        <w:rPr>
          <w:rFonts w:ascii="arial" w:eastAsia="arial" w:hAnsi="arial" w:cs="arial"/>
          <w:b/>
          <w:color w:val="000000"/>
          <w:sz w:val="20"/>
          <w:lang w:val="en-US" w:eastAsia="en-US" w:bidi="ar-SA"/>
        </w:rPr>
        <w:t>Damages — Physical and psychological injuries — Physical injuries — Body injuries — Soft tissue — Action by Blackman for damages for personal injuries sustained in a motor vehicle accident allowed — Blackman, an elementary school music teacher, was stopped at a red light when her vehicle was struck from behind by the defendant Dha — Liability was not at issue — The Court was satisfied that Blackman's soft tissue injuries were caused by the motor vehicle collision — Her injuries caused her frustration and had an impact on her ability to play various musical instruments — Blackman was awarded $82,560 in damages, including $80,000 in non-pecuniary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Special damages — Non-pecuniary loss — Pain and suffering — Affecting social relationships — Affecting recreational activities — Action by Blackman for damages for personal injuries sustained in a motor vehicle accident allowed — Blackman, an elementary school music teacher, was stopped at a red light when her vehicle was struck from behind by the defendant Dha — Liability was not at issue — The Court was satisfied that Blackman's soft tissue injuries were caused by the motor vehicle collision — Her injuries caused her frustration and had an impact on her ability to play various musical instruments — Blackman was awarded $82,560 in damages, including $80,000 in non-pecuniary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2" w:name="Case Summary_32"/>
            <w:bookmarkEnd w:id="23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Blackman for damages for personal injuries sustained in a motor vehicle accident. Blackman was a married mother of three children and an elementary school music teacher. She was stopped at a red light when her vehicle was struck from behind by the defendant Dha. Liability was not at issue. Dha conceded that Blackman sustained a minor soft tissue injury to her neck and upper back. However, Dha submitted that Blackman's injuries had healed over the course of time and her current soft tissue complaints were therefore not causally related to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3" w:name="Holdings of Court_25"/>
            <w:bookmarkEnd w:id="233"/>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 was satisfied on a balance of probabilities that Blackman's soft tissue injuries were caused by the motor vehicle collision. Her injuries caused her frustration, affected her relationship with her family, and had an impact on her ability to play various musical instruments. Blackman was awarded $82,560 in damages, composed of $80,000 in non-pecuniary damages, $1,500 for the cost of future care, and $1,060 in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4" w:name="Legislation Cited_24"/>
      <w:bookmarkEnd w:id="23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8"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15-1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5" w:name="Counsel_36"/>
      <w:bookmarkEnd w:id="23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9" style="position:absolute;z-index:251798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T.L. Spraggs, D.A. O'Neill.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P.K.Hamilton.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6" w:name="Judgment_36"/>
      <w:bookmarkEnd w:id="236"/>
      <w:r>
        <w:pict>
          <v:line id="_x0000_s1200" style="position:absolute;z-index:2518487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7" w:name="DEVLIN J."/>
            <w:bookmarkEnd w:id="237"/>
            <w:r>
              <w:rPr>
                <w:rFonts w:ascii="arial" w:eastAsia="arial" w:hAnsi="arial" w:cs="arial"/>
                <w:b/>
                <w:color w:val="000000"/>
                <w:sz w:val="30"/>
                <w:lang w:val="en-US" w:eastAsia="en-US" w:bidi="ar-SA"/>
              </w:rPr>
              <w:t>DEVLIN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Lorianne Elizabeth Blackman, claims damages for injuries she sustained as a result of a motor vehicle accident on August 17, 2010. At the time of the accident, Ms. Blackman was stopped at a red light on 56th Avenue in Surrey, British Columbia, waiting to turn left at the intersection of 152nd Street, when her vehicle was struck from behind by the defendant, Ms. Inderjeet Dha. This proceeding was brought under Rule 15-1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is not at issue in these proceedings. At issue are Ms. Blackman's claims for non-pecuniary damages, special damages and the cost of future care. Accordingly, the Court must determine the nature and extent of the injuries suffered by Ms. Blackman and the quantum of damages for those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Blackman is a 37-year-old married mother of three children, ages ten, eight and three. She was born on December 7, 1977 and married her husband, Paul Blackman, on August 5,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Blackman received a Bachelor of Arts in Music from Trinity Western University in 2001 and a Bachelor of Education in Secondary Music from the University of British Columbia in 2002. Ms. Blackman has been an elementary school music teacher with the Surrey School District since 2002 and currently splits her time working at Peace Arch Elementary and Bay Ridge Elementary. As a music teacher, Ms. Blackman plays the piano and flute and also sings with the students. Many of the songs are action songs which require various movements. On occasion the students will use other instruments such as drums, which requires Ms. Blackman to do some bending and lifting.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Blackman was a healthy, happy and busy mother who worked full-time and was active within her Church community. At the time of the accident she had two children, with the third born in June 2011. Ms. Blackman enjoyed spending time with her husband and children and engaged in various recreational activities, including going swimming and to the local parks. Ms. Blackman and her family would spend vacations with her parents in Vernon, B.C. Ms. Blackman was also a member of her Church choir and volunteered at a fine arts program offered through her Church.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Blackman did the majority of the cooking and housework for her family. At the time of the accident, Ms. Blackman was living in Coquitlam, but her family moved to Langley, B.C. in June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August 17, 2010, Ms. Blackman was driving a 2002 Dodge Caravan with her mother and two young children as passengers. As Ms. Blackman was stopped for a red light on 56th Avenue waiting to turn left at the intersection of 152nd Street in Surrey, she was struck from behind by Ms. Dha, who was driving a 2006 Acura.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Blackman testified she felt a hard impact when her vehicle was hit and the car moved forward slightly, causing her to press firmly on the brake. She said she felt discomfort in her neck within a few minutes of her body being jolted forward. After she checked that her mother and children were fine, she got out of the car and spoke to the other driver. They agreed to move their cars out of the intersection into an adjacent parking lot to exchange information. Following the accident, Ms. Blackman drove to meet the rest of her family at a local restaurant. The cost of repair to her vehicle was $1,017.25.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Dha testified that her car was stopped behind Ms. Blackman's vehicle at the red light. She explained she had a cramp in her right foot and as she moved to put her left foot on the brake her car rolled forward into the back of the van driven by Ms. Blackman. In cross-examination, Ms. Dha denied that she put her foot on the gas. She explained how 56th Avenue is situated slightly downhill and that was the reason why her vehicle rolled into the van. Ms. Dha's vehicle had minor damage to the front licence plate which was repaired for a minimal cost.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Blackman testified that immediately after the accident she felt discomfort in her neck. By the second day, she experienced discomfort in her neck, shoulder, upper back and right wrist and forearm, together with a headache.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With respect to the pain in her right wrist and forearm, Ms. Blackman testified that it was a sharp pain that made it difficult for her to play the flute. The symptoms improved after a few weeks of physiotherapy and are presently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Blackman described her headaches as beginning with a pain on the left side of her neck, which then radiates forward to behind her eyes. Immediately following the accident, she suffered from daily headaches which usually started in the mid-afternoon and would last the rest of the day. In addition to headaches, she suffered from neck and upper back pain. The pain is focused on the left and right side of her shoulders and the upper back area between her shoulder blades.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Blackman testified that the discomfort and pain impacted on her ability to fully function as a music teacher. She testified that playing the piano for an extended period of time triggers her back pain, playing the flute can trigger her neck pain and resulting headaches, as does lifting heavy musical instruments. Ms. Blackman testified she continues to enjoy her work as a music teacher and perseveres through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August 18, 2010, Ms. Blackman went to see Dr. Naiker, her family doctor. Dr. Naiker recommended she apply heat and ice to the sore areas and take Advil for the pain. At her second visit, Dr. Naiker recommended Ms. Blackman attend physiotherapy if her symptoms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Blackman began physiotherapy and active rehabilitation treatments about five weeks after the accident, beginning with two visits per week. The physiotherapy session consisted of an electronic stimulation procedure on her neck, shoulders and upper back and then the application of heat to those areas. She was also given exercises to do at home. In addition to these treatments, Ms. Blackman's husband would do massage on her neck and shoulders, which also alleviated some of her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symptoms became less frequent as a result of the physiotherapy, but pain and discomfort had not completely resolved. In August 2014, Ms. Blackman switched family doctors and began seeing Dr. Windy Brown. Ms. Blackman testified that Dr. Brown recommended further physiotherapy which she has commenced and continues to benefit from. Ms. Blackman also testified that she takes Advil about five times per month for the pain. In August 2014 she was also prescribed migraine medication to alleviate some of the headache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Although Ms. Blackman is able to do the majority of the household chores as well as cooking, she has to pace herself with the tasks she does do. She testified that while she can do the vacuuming, she avoids doing so as it particularly aggravates her condition. Ms. Blackman testified that she finds it difficult being unable to do all the chores she used to be responsible for, and feels that she is missing out on family activities. She explained that sometimes her pain keeps her from going to the park or swimming with her children and she will occasionally cancel or withdraw from family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Blackman's injuries have also had an impact on her personal enjoyment of playing instruments, including piano, flute and various brass instruments. She testified that she attended a Music Camp in the summer of 2013 but was only able to play for one hour a day due to the pain in her neck, shoulders and upper back. Similarly, her participation with the Church choir has also decreased, as she often misses practices due to her headaches and pain. Ms. Blackman testified that she is disappointed that she cannot continue with her community activities to the same degree as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an effort to continue to be engaged in social activities, Ms. Blackman joined her Church slow pitch baseball league in April 2012. She testified that it felt good to be active in a social setting, but she would suffer from headaches afterwards. When cross-examined about her ability to play baseball, she explained that it was slow pitch lob ball so as the catcher she only had to pick up the ball. The physical requirements were minimal.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Blackman also testified that she has trouble sitting for long periods of times in addition to when she plays the piano. She said that travel to Vernon to visit family is difficult because she is sitting during the five hour drive. She recently flew to Ontario for a family matter and experienced headache, neck and upper back pain on both flights.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December 20, 2014, Ms. Blackman was examined by Dr. Waseem. The appointment lasted a couple of hours and Dr. Waseem examined her neck, upper back and shoulders. Ms. Blackman also discussed her headaches with Dr. Waseem. Dr. Waseem recommended a series of injections in her spine and shoulder, as well as certain trigger points for her headaches. The estimated cost of that treatment is $1600 per session. To date, Ms. Blackman has not had the injection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Blackman was cross-examined about a five page form she filled out when she met with Dr. Waseem. She explained that in the section under Current Status she indicated "can do" to questions regarding various housekeeping activities. When challenged on this evidence, Ms. Blackman explained that it was true that she "can do" vacuuming but it aggravates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Blackman testified that discomfort refers to a feeling which is always present but does not impact on her normal activities, as opposed to pain, which is more noticeable and will stop her from engaging in her regular activities. While she has had discomfort since the day of the accident, the pain fluctuates in frequency.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cross-examination, it was suggested to Ms. Blackman that she had infrequent visits with Dr. Naiker. She explained this was because she did not feel it was necessary to keep going back to the doctor since her symptoms were the same and she was following the doctor's recommendations of continuing with physiotherapy, taking Advil and doing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cross-examination, portions of the examination for discovery transcript were put to Ms. Blackman regarding the frequency of her pain. Ms. Blackman explained that when she agreed that by late 2011 she had a headache "maybe once a week" she was simply acknowledging the average frequency. She explained that sometimes the frequency increased, but at no time did the pain completely resolve.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Blackman was also cross-examined as to the impact that her pregnancy had on her pain levels. She indicated that the pain did not increase while she was pregnant and she rarely raised it with her obstetrician or Dr. Naiker because she was continuing with the recommended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CIVILIAN WITNESSES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Winnifred Ann Blackman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Mrs. Winnifred Ann Blackman is the mother-in-law of the plaintiff. She is retired after working 26 years in various capacities with the Salvation Army. She has known Ms. Blackman for over seventeen years and believes they have a good relationship. She testified that she has noticed a change in her daughter-in-law since the accident. She explained that her daughter-in-law is a private person who does not tend to share how she is feeling. Mrs. Blackman testified that her daughter-in-law used to be more carefree, but since the accident Mrs. Blackman said that on occasion she can see that the plaintiff is tired and can tell by the look on her face if she had a headache. Further, she testified that sometimes the plaintiff was abrupt with her children and has stayed home from various activities because of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Paul Andrew Blackman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Blackman has been married to Ms. Blackman for about fifteen years and they have three children together, ages ten, eight and three. They both work full time and enjoy spending time with their children and immediate family. He testified that before the accident, Ms. Blackman was a happy, patient and loving person who was always smiling. He testified that she was involved in the Church choir, loved playing the flute and was a devoted elementary school music teacher. They enjoyed a happy home life where she did the majority of household chores, including the cooking and cleaning.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After the accident, he said his wife's behaviour changed considerably. He testified that Ms. Blackman is less patient and more abrupt with their children. While she still tries to go with them to the park or swimming, she does not participate in any of the activities. She has also reduced the amount of time she spends with her other family members. He testified that his wife has been on his softball baseball team since 2012 but she will sometimes sit out of a game if the pain is bad. Mr. Blackman also testified that the nature of his intimate relationship with his wife has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terms of the operation of the household, he testified that there has been a dramatic change and he now does the majority of the household chores. As a result, he has fallen behind and the house is in a state of disarray. He testified that while Ms. Blackman still cooks, she no longer prepares home-cooked meals and instead opts for quick, frozen foods.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cross-examination, Mr. Blackman explained that his wife does not experience pain every day. Sometimes she can appear to be pain free with some discomfort, while other days the pain returns.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EXPERT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Erushka Naiker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Naiker is a family practitioner who was called as an expert in family medicine by Ms. Blackman. Dr. Naiker was her family doctor at the time of the accident. Dr. Naiker's clinical records were admitted into evidence, together with her medical legal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Naiker saw Ms. Blackman on three occasions in 2010. The first appointment was on August 18, 2010, the day following the accident. Ms. Blackman told Dr. Naiker that she had been in an accident and that she had intermittent headaches, which had resolved by the time of the visit. She also complained of persistent neck stiffness and some pain in her wrists.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At the next appointment on September 13, 2010, Ms. Blackman told Dr. Naiker that she was still having some mild, intermittent headaches and some neck and shoulder pain. Then again, on November 9, 2010, Ms. Blackman told Dr. Naiker that she experienced neck pain when turning to either the left or right side, but there were no associated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Naiker testified that from these three examinations of Ms. Blackman, she found that there was normal range of motion of her shoulder and cervical spine. On one occasion, she noted bilateral trapezius tenderness.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Naiker next saw Ms. Blackman on October 24, 2011, at which time she advised she was experiencing pain and stiffness to the left side of her neck that was intermittent and aggravated by prolonged sitting. Ms. Blackman advised that the pain was alleviated by stretching and applying hot compressors. She also reported headaches on average of once per week. Dr. Naiker noted that Ms. Blackman was able to do all activities, although sometimes these were followed by pain. Upon physical examination, Dr. Naiker noted bilateral trapezius tenderness.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On July 31, 2013, Ms. Blackman returned to see Dr. Naiker and reported experiencing chronic intermittent neck pain which she said caused a flare up of her headaches. Ms. Blackman stated the pain was relieved by massage and applying heat. Dr. Naiker noted the pain was not affecting her function or ability to work. The physical exam revealed a normal range of movement of the shoulder and cervical spine but left sided trapezius muscle tenderness. Dr. Naiker recommended that Ms. Blackman continue with massage therapy, stretching, hot/cold compressors treatment, Tylenol and non-steroid anti-inflammatory drugs. She also recommended physiotherapy and a good exercise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October 8, 2013, Ms. Blackman reported to Dr. Naiker that she had still been experiencing chronic intermittent neck pain which in turn aggravated her headaches. However, she reported that the headaches were occurring less frequently and were mild in nature. Further, the pain in her neck did sometimes radiate to her left shoulder but there were no known aggravating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Naiker's diagnosis was myofascial-like symptoms or whiplash symptoms which were persistent. These symptoms included intermittent trapezius muscular strain and cervicogenic headaches. In terms of a prognosis, Dr. Naiker said because the symptoms did not alleviate within six months of the accident, she is of the view that Ms. Blackman has chronic pain syndrome. Dr. Naiker recommended that she continue with regular activities and stretching, and take anti-inflammatories and muscle relaxants alongside massage therapy and physiotherapy on an as-needed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cross-examination, Dr. Naiker agreed that Ms. Blackman's symptoms can be described as mild. She also clarified that Ms. Blackman has chronic pain as opposed to chronic pain syndrome. She agreed that chronic pain refers to situations where a person has pain that has not resolved within six months, whereas chronic pain syndrome refers to a situation where a person experiences daily pain which impacts on the person's mood and ability to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Naiker was cross-examined extensively regarding her treatment of Ms. Blackman during her pregnancy and the content of her clinical records. Dr. Naiker explained that during the pre-natal examinations the time is limited and her focus was on conducting a complete examination of her pregnant patient. Since the focus of the examination was on pre-natal symptoms, the clinical records contain information different than one might see in a typical post-accident visit. Dr. Naiker also explained that the computerized clinical reports were generated in a standard format with a variety of fields that might not be relevant to that particular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Naiker agreed that Ms. Blackman has a soft-tissue injury with mild, intermittent pain which is manageable. Dr. Naiker also stated that since Ms. Blackman had muscle pain, it was not necessary to conduct an X-ray. When asked about the need for continued physiotherapy sessions, Dr. Naiker agreed that most patients should be able to do exercises on their own after a few sessions but that, for some patients, further physiotherapy sessions can be of some assistance in dealing with the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Zeeshan Waseem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Waseem is a physiatrist who was called as an expert by Ms. Blackman. Dr. Waseem provided an expert medical opinion regarding the extent of the injuries or impairments sustained by Ms. Blackman in relation to the accident. Dr. Waseem based his opinion on a single assessment of Ms. Blackman, which took place on December 20, 2014 and lasted 90 minutes. In addition, Dr. Waseem also reviewed the clinical records of Dr. Naiker and CBI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order to determine if Ms. Blackman's functional status had changed post-accident, Dr. Waseem had her complete a questionnaire regarding activities of daily living, which included questions regarding her ability to perform housekeeping activities both pre and post-accident. She reported that she could do all the same activities post-accident, although she explained that she had to pace herself while doing chores and would avoid vacuuming. Dr. Waseem also had Ms. Blackman indicate on a pain drawing the areas of concern. She indicated that the upper back and shoulder blade area were aching. However, in the pain diagram incorporated into his opinion, Dr. Waseem added the aching symbols in the head area to reflect her reported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Waseem performed a detailed physical examination on Ms. Blackman. Dr. Waseem testified that neck pain was reported with tilting her head forward and she was tender to palpation in the scapular thoracic junction bilaterally, which is the shoulder blade area. Upon performing shoulder abduction in the physical examination, Ms. Blackman felt pain at the intersection between the shoulder blade and the upper back. He testified that Ms. Blackman did not give any signals of pain behavior, which suggested, in his opinion, that she was not magnifying her complaints. Rather, Dr. Waseem testified that he observed objective signs, such as tightness of her neck muscles, that indicated Ms. Blackman was suffering from pain in her neck that originated from her muscles.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Waseem opined Ms. Blackman's prognosis is poor for a full recovery and that her injuries are considered permanent. Dr. Waseem concludes in his report the injuries she sustained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Chronic Cervical Spine Sprain/ Strain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distribution of her symptoms involving the paraspinals and trapezii muscles are characteristic of chronic myofascial pain. Objective spasms were noted in these areas on today's assessment and her neck musculature was tender and tight to palpation suggesting that it is a major pain originator. She also had postural abnormalities of the cervical spine -- her neck was forward and anterior. Maintaining such a neck posture exerts greater strain and tension of the neck trapezii muscles.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Chronic Mechanical Neck Pain, Possible Discogenic Neck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Blackman's neck pain is also provoked with movement, specifically repetitive and prolonged neck flexion. Provocation of neck pain specifically in this direction usually suggests disc-mediated pain that is termed "discogenic". Further diagnostic evaluation and obtaining results of Ms. Blackman's recent cervical spine X-Rays would be useful in this regard.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Chronic Shoulder Interscapular Muscle Strain with Possible Scapulothoracic Bursitis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examination, Ms. Blackman's shoulders were internally rotated and she reported pain to palpation of the scapula-thoracic junction and the rhomboid muscles suggestive of ongoing chronic myofascial pain. Although her scapular movements were normal, pain was provoked with scapular protraction suggesting irritation of the scapulothoracic bursa and myofascial pathology.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Chronic Post-Traumatic Headaches Suggestive of Occipital Neuralgia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Blackman's headaches originate at the base of the skull in the region where the greater occipital nerve lies and crosses the nuchal ridge. Her headaches radiate into the fronto-temporal areas. This description fits with the classification of occipital neuralgia a condition wherein there is entrapment or irritation of the fibers of the greater occipital nerve.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Given that Ms. Blackman's impairments have not resolved spontaneously and persist after four years, Dr. Waseem recommended a variety of treatments, including cervical spine injections which might reduce her neck pain. Additionally, he testified that trigger point injections directed towards neck musculature and rhomboid muscles may be effective. He also recommended that Ms. Blackman continue with neck stretches and deep neck flexor strengthening exercises, as well as other exercises to address her posture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cross-examination, Dr. Waseem was asked about the appropriateness of some of the factual assumptions set out in his report. Dr. Waseem denied being an advocate for Ms. Blackman but did acknowledge that some of his comments were based on his assumptions rather than actual facts provided by her. Dr. Waseem agreed that stretching and strengthening in the neck and shoulder areas is certainly one of the best ways to treat the recurring pain. Dr. Waseem also agreed that postural correction exercise and scapular stabilising exercises will also serve to lessen the pain. With respect to Ms. Blackman's posture, Dr. Waseem did agree that poor posture could cause some of the symptoms that she displays, but that it is also possible that the poor posture is a result of the pain Ms. Blackman experiences.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Waseem also acknowledged that the term "chronic pain" refers to the duration of pain and not to the severity of the pain. He clarified that a person does not need to have ongoing pain on a daily basis to suffer from chronic pain. Rather, intermittent pain which fluctuates in frequency is also considered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 AND RELIABILITY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factors to be considered when assessing credibility were summarized by Dillon J.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aff'd </w:t>
      </w:r>
      <w:hyperlink r:id="rId601"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as follows at para. 186: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602"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603"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If the plaintiff's account of his or her change in physical, mental and/or emotional state as a result of the accident is not convincing, then the hypothesis upon which any expert opinions rest will be undermined: </w:t>
      </w:r>
      <w:r>
        <w:rPr>
          <w:rFonts w:ascii="arial" w:eastAsia="arial" w:hAnsi="arial" w:cs="arial"/>
          <w:i/>
          <w:color w:val="000000"/>
          <w:sz w:val="20"/>
          <w:lang w:val="en-US" w:eastAsia="en-US" w:bidi="ar-SA"/>
        </w:rPr>
        <w:t>Samuel v. Chrysler Credit Canada Ltd.</w:t>
      </w:r>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2007 BCCA 431</w:t>
        </w:r>
      </w:hyperlink>
      <w:r>
        <w:rPr>
          <w:rFonts w:ascii="arial" w:eastAsia="arial" w:hAnsi="arial" w:cs="arial"/>
          <w:color w:val="000000"/>
          <w:sz w:val="20"/>
          <w:lang w:val="en-US" w:eastAsia="en-US" w:bidi="ar-SA"/>
        </w:rPr>
        <w:t xml:space="preserve"> at paras. 15 and 49-50.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Counsel for Ms. Dha submits that Ms. Blackman's evidence is not consistent or reliable. Ms. Dha's counsel cautioned me that Ms. Blackman's complaints about pain levels are not objectively measureable and therefore I should be careful about accepting this evidence, absent some corroboration. In support of the submissions respecting the findings I should make in relation to Ms. Blackman's credibility, counsel for Ms. Dha relies on the cumulative impact of the following considerations:</w:t>
      </w:r>
      <w:r>
        <w:rPr>
          <w:rFonts w:ascii="arial" w:eastAsia="arial" w:hAnsi="arial" w:cs="arial"/>
          <w:sz w:val="20"/>
          <w:lang w:val="en-US" w:eastAsia="en-US" w:bidi="ar-SA"/>
        </w:rPr>
        <w:cr/>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complaints are out of proportion with the minor nature of the accident;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she could provide testimony about specific events during examination in chief, she was vague and evasive during cross-examination;</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her evidence at examination for discovery and at trial was contradictory; and</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her evidence was contrary to the evidence contained in the documentation.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 found Ms. Blackman to be a genuine and honest witness who was doing her best to provide detailed testimony. While she did not agree with every proposition put to her in cross-examination, I do not consider her to have been evasive or vague. Rather, I found her a calm and careful witness who endeavoured to provide an accurate account of her experience. I do not find that she exaggerated the nature and extent of her injuries, nor do I find a significant inconsistency or contradiction between her evidence at trial and on examination for discovery. As McEachern C.J.S.C. said in </w:t>
      </w:r>
      <w:r>
        <w:rPr>
          <w:rFonts w:ascii="arial" w:eastAsia="arial" w:hAnsi="arial" w:cs="arial"/>
          <w:i/>
          <w:color w:val="000000"/>
          <w:sz w:val="20"/>
          <w:lang w:val="en-US" w:eastAsia="en-US" w:bidi="ar-SA"/>
        </w:rPr>
        <w:t>Diack v. Bardsley</w:t>
      </w:r>
      <w:r>
        <w:rPr>
          <w:rFonts w:ascii="arial" w:eastAsia="arial" w:hAnsi="arial" w:cs="arial"/>
          <w:color w:val="000000"/>
          <w:sz w:val="20"/>
          <w:lang w:val="en-US" w:eastAsia="en-US" w:bidi="ar-SA"/>
        </w:rPr>
        <w:t xml:space="preserve">, </w:t>
      </w:r>
      <w:hyperlink r:id="rId607" w:history="1">
        <w:r>
          <w:rPr>
            <w:rFonts w:ascii="arial" w:eastAsia="arial" w:hAnsi="arial" w:cs="arial"/>
            <w:i/>
            <w:color w:val="0077CC"/>
            <w:sz w:val="20"/>
            <w:u w:val="single"/>
            <w:shd w:val="clear" w:color="auto" w:fill="FFFFFF"/>
            <w:lang w:val="en-US" w:eastAsia="en-US" w:bidi="ar-SA"/>
          </w:rPr>
          <w:t>(1983) 46 B.C.L.R. 240</w:t>
        </w:r>
      </w:hyperlink>
      <w:r>
        <w:rPr>
          <w:rFonts w:ascii="arial" w:eastAsia="arial" w:hAnsi="arial" w:cs="arial"/>
          <w:color w:val="000000"/>
          <w:sz w:val="20"/>
          <w:lang w:val="en-US" w:eastAsia="en-US" w:bidi="ar-SA"/>
        </w:rPr>
        <w:t xml:space="preserve"> at para.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wish to say that I place absolutely no reliance upon the minor variations between the defendant's discovery and his evidence. Lawyers tend to pounce upon these semantical differences but their usefulness is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Indeed, Ms. Blackman was careful to explain that the pain has improved and although it does continue on an intermittent basis, the pain is mild.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Ms. Dha pointed to the gaps in Ms. Blackman's medical treatment to support the defendant's position that Ms. Blackman had recovered from any injury incurred as a result of the accident. In </w:t>
      </w:r>
      <w:r>
        <w:rPr>
          <w:rFonts w:ascii="arial" w:eastAsia="arial" w:hAnsi="arial" w:cs="arial"/>
          <w:i/>
          <w:color w:val="000000"/>
          <w:sz w:val="20"/>
          <w:lang w:val="en-US" w:eastAsia="en-US" w:bidi="ar-SA"/>
        </w:rPr>
        <w:t>Roy v. Storvick</w:t>
      </w:r>
      <w:r>
        <w:rPr>
          <w:rFonts w:ascii="arial" w:eastAsia="arial" w:hAnsi="arial" w:cs="arial"/>
          <w:color w:val="000000"/>
          <w:sz w:val="20"/>
          <w:lang w:val="en-US" w:eastAsia="en-US" w:bidi="ar-SA"/>
        </w:rPr>
        <w:t xml:space="preserve">, </w:t>
      </w:r>
      <w:hyperlink r:id="rId608" w:history="1">
        <w:r>
          <w:rPr>
            <w:rFonts w:ascii="arial" w:eastAsia="arial" w:hAnsi="arial" w:cs="arial"/>
            <w:i/>
            <w:color w:val="0077CC"/>
            <w:sz w:val="20"/>
            <w:u w:val="single"/>
            <w:shd w:val="clear" w:color="auto" w:fill="FFFFFF"/>
            <w:lang w:val="en-US" w:eastAsia="en-US" w:bidi="ar-SA"/>
          </w:rPr>
          <w:t>2013 BCSC 1198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Madam Justice Gropper rejected a similar theory. At para. 100, Gropper J. stated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disagree with the defence's theory that the medical treatment sought by the plaintiff demonstrates that Mr. Roy's "problems were not as bad as [he] would lead us to believe." I expressed my view of this theory in </w:t>
      </w:r>
      <w:r>
        <w:rPr>
          <w:rFonts w:ascii="arial" w:eastAsia="arial" w:hAnsi="arial" w:cs="arial"/>
          <w:i/>
          <w:color w:val="000000"/>
          <w:sz w:val="20"/>
          <w:lang w:val="en-US" w:eastAsia="en-US" w:bidi="ar-SA"/>
        </w:rPr>
        <w:t>Myers v. Leng</w:t>
      </w:r>
      <w:r>
        <w:rPr>
          <w:rFonts w:ascii="arial" w:eastAsia="arial" w:hAnsi="arial" w:cs="arial"/>
          <w:color w:val="000000"/>
          <w:sz w:val="20"/>
          <w:lang w:val="en-US" w:eastAsia="en-US" w:bidi="ar-SA"/>
        </w:rPr>
        <w:t xml:space="preserve">, </w:t>
      </w:r>
      <w:hyperlink r:id="rId609" w:history="1">
        <w:r>
          <w:rPr>
            <w:rFonts w:ascii="arial" w:eastAsia="arial" w:hAnsi="arial" w:cs="arial"/>
            <w:i/>
            <w:color w:val="0077CC"/>
            <w:sz w:val="20"/>
            <w:u w:val="single"/>
            <w:shd w:val="clear" w:color="auto" w:fill="FFFFFF"/>
            <w:lang w:val="en-US" w:eastAsia="en-US" w:bidi="ar-SA"/>
          </w:rPr>
          <w:t>2006 BCSC 1582</w:t>
        </w:r>
      </w:hyperlink>
      <w:r>
        <w:rPr>
          <w:rFonts w:ascii="arial" w:eastAsia="arial" w:hAnsi="arial" w:cs="arial"/>
          <w:color w:val="000000"/>
          <w:sz w:val="20"/>
          <w:lang w:val="en-US" w:eastAsia="en-US" w:bidi="ar-SA"/>
        </w:rPr>
        <w:t xml:space="preserve"> at para. 50: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not troubled by the gap in the plaintiff seeking treatment. His decision not to continue to see a doctor about his neck and back complaints was clearly based on a reasonable conclusion that the doctors could only provide temporary relief from the pain by prescribing medication and physiotherapy. The plaintiff did not consider either to be helpful. It is a sensible and practical approach to medical treatment. If continuous medical treatment can cure you, or make you feel better, then it is worthwhile to attend on a regular basis. If it cannot, there really is no point in taking the doctor's time. The purpose of a seeing a doctor is not to create a chronicle of complaints for the purpose of proving that you have ongoing pain from an injury arising from a motor-vehicle accident. Rather than detract from the accuracy of the plaintiff's complaint, I consider the plaintiff's course of conduct, in not seeing the doctor on a continuous basis, to enhance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610"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xml:space="preserve">; aff'd </w:t>
      </w:r>
      <w:hyperlink r:id="rId611" w:history="1">
        <w:r>
          <w:rPr>
            <w:rFonts w:ascii="arial" w:eastAsia="arial" w:hAnsi="arial" w:cs="arial"/>
            <w:i/>
            <w:color w:val="0077CC"/>
            <w:sz w:val="20"/>
            <w:u w:val="single"/>
            <w:shd w:val="clear" w:color="auto" w:fill="FFFFFF"/>
            <w:lang w:val="en-US" w:eastAsia="en-US" w:bidi="ar-SA"/>
          </w:rPr>
          <w:t>2012 BCCA 114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Edmondson</w:t>
      </w:r>
      <w:r>
        <w:rPr>
          <w:rFonts w:ascii="arial" w:eastAsia="arial" w:hAnsi="arial" w:cs="arial"/>
          <w:color w:val="000000"/>
          <w:sz w:val="20"/>
          <w:lang w:val="en-US" w:eastAsia="en-US" w:bidi="ar-SA"/>
        </w:rPr>
        <w:t>], Mr. Justice N. Smith expressed a similar view at para. 37: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certainly may be cases where a plaintiff's description of his or her symptoms is clearly inconsistent with a failure to seek medical attention, permitting the court to draw adverse conclusions about the plaintiff's credibility. But a plaintiff whose condition neither deteriorates nor improves is not obliged to constantly bother busy doctors with reports that nothing has changed, particularly if the plaintiff has no reason to expect the doctors will be able to offer any new or different treatment. Similarly, a plaintiff who seeks medical attention for unrelated conditions is not obliged to recount the history of the accident and resulting injury to a doctor who is not being asked to treat that injury and has no reason to be interested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Accordingly, I disagree with Ms. Dha's position that the medical treatment Ms. Blackman sought was inconsistent with someone who experienced mild, recurring pain, including neck pain and headaches. As noted in </w:t>
      </w:r>
      <w:r>
        <w:rPr>
          <w:rFonts w:ascii="arial" w:eastAsia="arial" w:hAnsi="arial" w:cs="arial"/>
          <w:i/>
          <w:color w:val="000000"/>
          <w:sz w:val="20"/>
          <w:lang w:val="en-US" w:eastAsia="en-US" w:bidi="ar-SA"/>
        </w:rPr>
        <w:t>Roy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Edmondson</w:t>
      </w:r>
      <w:r>
        <w:rPr>
          <w:rFonts w:ascii="arial" w:eastAsia="arial" w:hAnsi="arial" w:cs="arial"/>
          <w:color w:val="000000"/>
          <w:sz w:val="20"/>
          <w:lang w:val="en-US" w:eastAsia="en-US" w:bidi="ar-SA"/>
        </w:rPr>
        <w:t>, Ms. Blackman's infrequent visits to Dr. Naiker do not lead me to doubt the veracity of her complaints, as Ms. Blackman testified she did not think it necessary to return to the doctor given that her symptoms remained the same and she was following the doctor's recommendations. Similarly, the fact that the notes of Ms. Blackman's pre-natal visits to Dr. Naiker do not include repeated references to the recurring pain does not advance the defendant's position. Dr. Naiker explained that when she was examining Ms. Blackman during a pre-natal visit her focus was the pregnancy, and she would not have had time to deal with other issues. I acknowledge that there may be cases where one's failure to seek medical attention will result in the court drawing an adverse inference about their credibility. This is not one of those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As noted above, I do not believe that Ms. Blackman exaggerated the nature or extent of the pain she has experienced since the accident. Ms. Blackman's husband corroborated her evidence, as did the medical evidence of Dr. Naiker and Dr. Waseem. Thus, I accept Ms. Blackman's testimony relating to the nature and frequency of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plaintiff must establish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range of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Causation need not be determined by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13-17;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xml:space="preserve">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Mirsaeidi v. Coleman,</w:t>
      </w:r>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2014 BCSC 415</w:t>
        </w:r>
      </w:hyperlink>
      <w:r>
        <w:rPr>
          <w:rFonts w:ascii="arial" w:eastAsia="arial" w:hAnsi="arial" w:cs="arial"/>
          <w:color w:val="000000"/>
          <w:sz w:val="20"/>
          <w:lang w:val="en-US" w:eastAsia="en-US" w:bidi="ar-SA"/>
        </w:rPr>
        <w:t>, Harris J. further outlines the principles of causation at para. 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primary test for causation asks: but-for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The "but-for" test recognizes that compensation for negligent conduct should only be made where a substantial connection between the injury and the defendant's conduct is present: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special circumstances, the "but-for" test proves unworkable, and the law has applied the "material contribution" test. As Chief Justice McLachlin wrote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...Exceptionally, a plaintiff may succeed by showing that the defendant's conduct materially contributed to risk of the plaintiff's injury, where (a) the plaintiff has established that her loss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two or more tortfeasors, each possibly in fact responsible for the loss; and (b) the plaintiff, through no fault of her own, is unable to show that any one of the possible tortfeasors in fact was the necessary or "but for" cause of her injury, because each can point to one another as the possible "but for" cause of the injury, defeating a finding of causation on a balance of probabilities against anyone.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Causation must be established on a balance of probabilities before damages are assessed. As McLachlin C.J.C.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614"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most basic principle of tort law is that the plaintiff must be placed in the position he or she would have been if not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 better or worse. In accordance with the "thin skull rule", tortfeasors must take their victims as they find them, even if the plaintiff's injuries are more severe than they would be for a normal person. However, under the "crumbling skull rule", the defendant need not compensate the plaintiff for any debilitating effects of a pre-existing condition which the plaintiff would have experienced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paras. 32-35.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Dha concedes that Ms. Blackman sustained a minor soft tissue injury to her neck and upper back; however, she submits that her injuries have healed over the course of time. Therefore, Ms. Blackman's current soft tissue complaints are not causally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parties agree that the extent of this collision was relatively minor. Counsel for Ms. Dha submits that this is a factor to be considered when assessing Ms. Blackman's claims of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It has been well recognized by the courts that the limited amount of motor vehicle damage is not "the yardstick by which to measure the extent of the injuries suffered by the plaintiff". As Mr. Justice Macaulay stated in </w:t>
      </w:r>
      <w:r>
        <w:rPr>
          <w:rFonts w:ascii="arial" w:eastAsia="arial" w:hAnsi="arial" w:cs="arial"/>
          <w:i/>
          <w:color w:val="000000"/>
          <w:sz w:val="20"/>
          <w:lang w:val="en-US" w:eastAsia="en-US" w:bidi="ar-SA"/>
        </w:rPr>
        <w:t>Lubick v. Mei and another</w:t>
      </w:r>
      <w:r>
        <w:rPr>
          <w:rFonts w:ascii="arial" w:eastAsia="arial" w:hAnsi="arial" w:cs="arial"/>
          <w:color w:val="000000"/>
          <w:sz w:val="20"/>
          <w:lang w:val="en-US" w:eastAsia="en-US" w:bidi="ar-SA"/>
        </w:rPr>
        <w:t xml:space="preserve">, </w:t>
      </w:r>
      <w:hyperlink r:id="rId615" w:history="1">
        <w:r>
          <w:rPr>
            <w:rFonts w:ascii="arial" w:eastAsia="arial" w:hAnsi="arial" w:cs="arial"/>
            <w:i/>
            <w:color w:val="0077CC"/>
            <w:sz w:val="20"/>
            <w:u w:val="single"/>
            <w:shd w:val="clear" w:color="auto" w:fill="FFFFFF"/>
            <w:lang w:val="en-US" w:eastAsia="en-US" w:bidi="ar-SA"/>
          </w:rPr>
          <w:t>2008 BCSC 555</w:t>
        </w:r>
      </w:hyperlink>
      <w:r>
        <w:rPr>
          <w:rFonts w:ascii="arial" w:eastAsia="arial" w:hAnsi="arial" w:cs="arial"/>
          <w:color w:val="000000"/>
          <w:sz w:val="20"/>
          <w:lang w:val="en-US" w:eastAsia="en-US" w:bidi="ar-SA"/>
        </w:rPr>
        <w:t xml:space="preserve"> at para.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Courts have long debunked as myth the suggestion that low impact can be directly correlated with lack of compensable injury. In </w:t>
      </w:r>
      <w:r>
        <w:rPr>
          <w:rFonts w:ascii="arial" w:eastAsia="arial" w:hAnsi="arial" w:cs="arial"/>
          <w:i/>
          <w:color w:val="000000"/>
          <w:sz w:val="20"/>
          <w:lang w:val="en-US" w:eastAsia="en-US" w:bidi="ar-SA"/>
        </w:rPr>
        <w:t>Gordon v. Palmer</w:t>
      </w:r>
      <w:r>
        <w:rPr>
          <w:rFonts w:ascii="arial" w:eastAsia="arial" w:hAnsi="arial" w:cs="arial"/>
          <w:color w:val="000000"/>
          <w:sz w:val="20"/>
          <w:lang w:val="en-US" w:eastAsia="en-US" w:bidi="ar-SA"/>
        </w:rPr>
        <w:t xml:space="preserve">, </w:t>
      </w:r>
      <w:hyperlink r:id="rId616" w:history="1">
        <w:r>
          <w:rPr>
            <w:rFonts w:ascii="arial" w:eastAsia="arial" w:hAnsi="arial" w:cs="arial"/>
            <w:i/>
            <w:color w:val="0077CC"/>
            <w:sz w:val="20"/>
            <w:u w:val="single"/>
            <w:shd w:val="clear" w:color="auto" w:fill="FFFFFF"/>
            <w:lang w:val="en-US" w:eastAsia="en-US" w:bidi="ar-SA"/>
          </w:rPr>
          <w:t>[1993] B.C.J. No. 474</w:t>
        </w:r>
      </w:hyperlink>
      <w:r>
        <w:rPr>
          <w:rFonts w:ascii="arial" w:eastAsia="arial" w:hAnsi="arial" w:cs="arial"/>
          <w:color w:val="000000"/>
          <w:sz w:val="20"/>
          <w:lang w:val="en-US" w:eastAsia="en-US" w:bidi="ar-SA"/>
        </w:rPr>
        <w:t xml:space="preserve"> (S.C.), Thackray J., as he then was, made the following comments that are still apposite today: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do not subscribe to the view that if there is no motor vehicle damage then there is no injury. This is a philosophy that the Insurance Corporation of British Columbia may follow, but it has no application in court. It is not a legal principle of which I am aware and I have never heard it endorsed as a medical principle.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goes on to point out that the presence and extent of injuries are determined on the evidence, not with "extraneous philosophies that some would impose on the judicial process". In particular, he noted that there was no evidence to substantiate the defence theory in the case before him. Similarly, there is no evidence to substantiate the defence contention that Lubick could not have sustained any injury here because the vehicle impact was slight.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Hoy v. Harvey</w:t>
      </w:r>
      <w:r>
        <w:rPr>
          <w:rFonts w:ascii="arial" w:eastAsia="arial" w:hAnsi="arial" w:cs="arial"/>
          <w:color w:val="000000"/>
          <w:sz w:val="20"/>
          <w:lang w:val="en-US" w:eastAsia="en-US" w:bidi="ar-SA"/>
        </w:rPr>
        <w:t xml:space="preserve">, </w:t>
      </w:r>
      <w:hyperlink r:id="rId617" w:history="1">
        <w:r>
          <w:rPr>
            <w:rFonts w:ascii="arial" w:eastAsia="arial" w:hAnsi="arial" w:cs="arial"/>
            <w:i/>
            <w:color w:val="0077CC"/>
            <w:sz w:val="20"/>
            <w:u w:val="single"/>
            <w:shd w:val="clear" w:color="auto" w:fill="FFFFFF"/>
            <w:lang w:val="en-US" w:eastAsia="en-US" w:bidi="ar-SA"/>
          </w:rPr>
          <w:t>2012 BCSC 1076</w:t>
        </w:r>
      </w:hyperlink>
      <w:r>
        <w:rPr>
          <w:rFonts w:ascii="arial" w:eastAsia="arial" w:hAnsi="arial" w:cs="arial"/>
          <w:color w:val="000000"/>
          <w:sz w:val="20"/>
          <w:lang w:val="en-US" w:eastAsia="en-US" w:bidi="ar-SA"/>
        </w:rPr>
        <w:t xml:space="preserve"> at paras. 47-49.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Blackman's position is that Ms. Dha caused the soft tissue injuries she sustained, which has resulted in mild, intermittent pain to her upper back, neck and shoulders and headaches. Prior to the accident, Ms. Blackman was a pain-free, heathy, active and hard-working wife and mother who enjoyed spending time with her family and her job as an elementary school music teacher. According to Ms. Blackman, there is no alternative explanation or cause for her injuries but-for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medical experts called by Ms. Blackman agree that she suffers from soft tissue injuries in her neck and shoulder area as a result of the accident. Both conclude that she will permanently have mild, intermittent pain as a result of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On the totality of the evidence, I am satisfied that Ms. Blackman has established on a balance of probabilities that the injuries were caused by the motor vehicle collision on August 17,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ASSESSMENT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Non-pecuniary damages are awarded to compensate the plaintiff for pain, suffering, loss of enjoyment of life and loss of amenities. The compensation awarded should be fair to all parties, and fairness is measured against awards made in comparable cases. Such cases, though helpful, serve only as a rough guide. Each case depends on its own unique facts: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618"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paras. 188-189.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Kirkpatrick J.A. outlined the factors to be considered when assessing non-pecuniary damages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inexhaustive list of common factors cited in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619"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1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1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1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1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assessment of non-pecuniary damages is necessarily influenced by the individual plaintiff's personal experiences in dealing with his or her injuries and their consequences, and the plaintiff's ability to articulate that experience: </w:t>
      </w:r>
      <w:r>
        <w:rPr>
          <w:rFonts w:ascii="arial" w:eastAsia="arial" w:hAnsi="arial" w:cs="arial"/>
          <w:i/>
          <w:color w:val="000000"/>
          <w:sz w:val="20"/>
          <w:lang w:val="en-US" w:eastAsia="en-US" w:bidi="ar-SA"/>
        </w:rPr>
        <w:t>Dilello v. Montgomery</w:t>
      </w:r>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2005 BCCA 56</w:t>
        </w:r>
      </w:hyperlink>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The correct approach to assessing injuries which depend on subjective reports of pain was discussed in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by McEachern C.J.S.C. (recently quoted with approval in </w:t>
      </w:r>
      <w:r>
        <w:rPr>
          <w:rFonts w:ascii="arial" w:eastAsia="arial" w:hAnsi="arial" w:cs="arial"/>
          <w:i/>
          <w:color w:val="000000"/>
          <w:sz w:val="20"/>
          <w:lang w:val="en-US" w:eastAsia="en-US" w:bidi="ar-SA"/>
        </w:rPr>
        <w:t>Edmondson</w:t>
      </w:r>
      <w:r>
        <w:rPr>
          <w:rFonts w:ascii="arial" w:eastAsia="arial" w:hAnsi="arial" w:cs="arial"/>
          <w:color w:val="000000"/>
          <w:sz w:val="20"/>
          <w:lang w:val="en-US" w:eastAsia="en-US" w:bidi="ar-SA"/>
        </w:rPr>
        <w:t xml:space="preserve"> at para. 2). In referring to an earlier decision,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Butler v. Blaylock</w:t>
      </w:r>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[1981] B.C.J. No. 31</w:t>
        </w:r>
      </w:hyperlink>
      <w:r>
        <w:rPr>
          <w:rFonts w:ascii="arial" w:eastAsia="arial" w:hAnsi="arial" w:cs="arial"/>
          <w:color w:val="000000"/>
          <w:sz w:val="20"/>
          <w:lang w:val="en-US" w:eastAsia="en-US" w:bidi="ar-SA"/>
        </w:rPr>
        <w:t xml:space="preserve"> decided 7th October 1981, Vancouver No. B781505, I referred to counsel's argument that a defendant is often at the mercy of a plaintiff in actions for damages for personal injuries because complaints of pain cannot easily be disproved. I then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not stating any new principle when I say that the court should be exceedingly careful when there is little or no objective evidence of continuing injury and when complaints of pain persist for long periods extending beyond the normal or usual recovery period.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 that his complaints of pain are true reflections of a continuing injury.</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Blackman submits that her injuries warrant an award for non-pecuniary damages in the range of $65,000 to $100,000. In support of this position, her counsel cites the following decisions:</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Beagle v. Cornelson Estate</w:t>
      </w:r>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2013 BCSC 933</w:t>
        </w:r>
      </w:hyperlink>
      <w:r>
        <w:rPr>
          <w:rFonts w:ascii="arial" w:eastAsia="arial" w:hAnsi="arial" w:cs="arial"/>
          <w:color w:val="000000"/>
          <w:sz w:val="20"/>
          <w:lang w:val="en-US" w:eastAsia="en-US" w:bidi="ar-SA"/>
        </w:rPr>
        <w:t>: a 36-year-old woman received an award of $85,000 for soft tissue injuries in the neck and right shoulder and headaches. Although the injuries were not significant they continued for over five years and were considered to be chronic.</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Neumann v. Eskoy</w:t>
      </w:r>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2010 BCSC 1275</w:t>
        </w:r>
      </w:hyperlink>
      <w:r>
        <w:rPr>
          <w:rFonts w:ascii="arial" w:eastAsia="arial" w:hAnsi="arial" w:cs="arial"/>
          <w:color w:val="000000"/>
          <w:sz w:val="20"/>
          <w:lang w:val="en-US" w:eastAsia="en-US" w:bidi="ar-SA"/>
        </w:rPr>
        <w:t>: a 47-year-old male received an award of $90,000 for chronic pain syndrome resulting in chronic neck pain, sleep difficulties, headaches and fatigue, and also had a pre-existing degenerative spine condition and osteoarthritis to the right hip.</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Smith v. Moshrefzadeh</w:t>
      </w:r>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2012 BCSC 1458</w:t>
        </w:r>
      </w:hyperlink>
      <w:r>
        <w:rPr>
          <w:rFonts w:ascii="arial" w:eastAsia="arial" w:hAnsi="arial" w:cs="arial"/>
          <w:color w:val="000000"/>
          <w:sz w:val="20"/>
          <w:lang w:val="en-US" w:eastAsia="en-US" w:bidi="ar-SA"/>
        </w:rPr>
        <w:t>: a 54-year-old female received an award of $80,000 for soft tissue injuries to her neck and upper back, headaches radiating from the back of her neck, sleep disruption and episodic flare-ups of pain.</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Kumar v. Elpidio</w:t>
      </w:r>
      <w:r>
        <w:rPr>
          <w:rFonts w:ascii="arial" w:eastAsia="arial" w:hAnsi="arial" w:cs="arial"/>
          <w:color w:val="000000"/>
          <w:sz w:val="20"/>
          <w:lang w:val="en-US" w:eastAsia="en-US" w:bidi="ar-SA"/>
        </w:rPr>
        <w:t xml:space="preserve">, </w:t>
      </w:r>
      <w:hyperlink r:id="rId626" w:history="1">
        <w:r>
          <w:rPr>
            <w:rFonts w:ascii="arial" w:eastAsia="arial" w:hAnsi="arial" w:cs="arial"/>
            <w:i/>
            <w:color w:val="0077CC"/>
            <w:sz w:val="20"/>
            <w:u w:val="single"/>
            <w:shd w:val="clear" w:color="auto" w:fill="FFFFFF"/>
            <w:lang w:val="en-US" w:eastAsia="en-US" w:bidi="ar-SA"/>
          </w:rPr>
          <w:t>2013 BCSC 236</w:t>
        </w:r>
      </w:hyperlink>
      <w:r>
        <w:rPr>
          <w:rFonts w:ascii="arial" w:eastAsia="arial" w:hAnsi="arial" w:cs="arial"/>
          <w:color w:val="000000"/>
          <w:sz w:val="20"/>
          <w:lang w:val="en-US" w:eastAsia="en-US" w:bidi="ar-SA"/>
        </w:rPr>
        <w:t>: a 44-year-old female received an award of $80,000 for soft tissue injuries to her left shoulder, neck and upper back, which resulted in myofascial chronic pain syndrome.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Szymanski v. Morin et al</w:t>
      </w:r>
      <w:r>
        <w:rPr>
          <w:rFonts w:ascii="arial" w:eastAsia="arial" w:hAnsi="arial" w:cs="arial"/>
          <w:color w:val="000000"/>
          <w:sz w:val="20"/>
          <w:lang w:val="en-US" w:eastAsia="en-US" w:bidi="ar-SA"/>
        </w:rPr>
        <w:t xml:space="preserve">, </w:t>
      </w:r>
      <w:hyperlink r:id="rId627" w:history="1">
        <w:r>
          <w:rPr>
            <w:rFonts w:ascii="arial" w:eastAsia="arial" w:hAnsi="arial" w:cs="arial"/>
            <w:i/>
            <w:color w:val="0077CC"/>
            <w:sz w:val="20"/>
            <w:u w:val="single"/>
            <w:shd w:val="clear" w:color="auto" w:fill="FFFFFF"/>
            <w:lang w:val="en-US" w:eastAsia="en-US" w:bidi="ar-SA"/>
          </w:rPr>
          <w:t>2010 BCSC 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Szymanski</w:t>
      </w:r>
      <w:r>
        <w:rPr>
          <w:rFonts w:ascii="arial" w:eastAsia="arial" w:hAnsi="arial" w:cs="arial"/>
          <w:color w:val="000000"/>
          <w:sz w:val="20"/>
          <w:lang w:val="en-US" w:eastAsia="en-US" w:bidi="ar-SA"/>
        </w:rPr>
        <w:t>]: a 55-year-old male involved in a rear-end collision received an award of $75,000 for soft tissue injuries to the left side of his neck, which resulted in chronic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Counsel for Ms. Dha takes the position that Ms. Blackman's soft tissue injuries were very mild in nature and have had no effect on Ms. Blackman's ability to function on a day-to-day basis. Counsel for Ms. Dha contends that the award for this head of damages should be in the range of $10,000 to $15,000. In support of this submission, Ms. Dha's counsel cites the following two cases:</w:t>
      </w:r>
      <w:r>
        <w:rPr>
          <w:rFonts w:ascii="arial" w:eastAsia="arial" w:hAnsi="arial" w:cs="arial"/>
          <w:sz w:val="20"/>
          <w:lang w:val="en-US" w:eastAsia="en-US" w:bidi="ar-SA"/>
        </w:rPr>
        <w:cr/>
      </w:r>
    </w:p>
    <w:p>
      <w:pPr>
        <w:numPr>
          <w:numId w:val="2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Hoy v. Harvey</w:t>
      </w:r>
      <w:r>
        <w:rPr>
          <w:rFonts w:ascii="arial" w:eastAsia="arial" w:hAnsi="arial" w:cs="arial"/>
          <w:color w:val="000000"/>
          <w:sz w:val="20"/>
          <w:lang w:val="en-US" w:eastAsia="en-US" w:bidi="ar-SA"/>
        </w:rPr>
        <w:t xml:space="preserve">, </w:t>
      </w:r>
      <w:hyperlink r:id="rId617" w:history="1">
        <w:r>
          <w:rPr>
            <w:rFonts w:ascii="arial" w:eastAsia="arial" w:hAnsi="arial" w:cs="arial"/>
            <w:i/>
            <w:color w:val="0077CC"/>
            <w:sz w:val="20"/>
            <w:u w:val="single"/>
            <w:shd w:val="clear" w:color="auto" w:fill="FFFFFF"/>
            <w:lang w:val="en-US" w:eastAsia="en-US" w:bidi="ar-SA"/>
          </w:rPr>
          <w:t>2012 BCSC 1076</w:t>
        </w:r>
      </w:hyperlink>
      <w:r>
        <w:rPr>
          <w:rFonts w:ascii="arial" w:eastAsia="arial" w:hAnsi="arial" w:cs="arial"/>
          <w:color w:val="000000"/>
          <w:sz w:val="20"/>
          <w:lang w:val="en-US" w:eastAsia="en-US" w:bidi="ar-SA"/>
        </w:rPr>
        <w:t>: a 29-year-old male suffered soft tissue injuries to his neck and shoulder area, as well as his back, which resolved within months of his accident. He returned to his regular working life and lifestyle. He received an award of $7,000.</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Sarowa v. Gill</w:t>
      </w:r>
      <w:r>
        <w:rPr>
          <w:rFonts w:ascii="arial" w:eastAsia="arial" w:hAnsi="arial" w:cs="arial"/>
          <w:color w:val="000000"/>
          <w:sz w:val="20"/>
          <w:lang w:val="en-US" w:eastAsia="en-US" w:bidi="ar-SA"/>
        </w:rPr>
        <w:t xml:space="preserve">, </w:t>
      </w:r>
      <w:hyperlink r:id="rId628" w:history="1">
        <w:r>
          <w:rPr>
            <w:rFonts w:ascii="arial" w:eastAsia="arial" w:hAnsi="arial" w:cs="arial"/>
            <w:i/>
            <w:color w:val="0077CC"/>
            <w:sz w:val="20"/>
            <w:u w:val="single"/>
            <w:shd w:val="clear" w:color="auto" w:fill="FFFFFF"/>
            <w:lang w:val="en-US" w:eastAsia="en-US" w:bidi="ar-SA"/>
          </w:rPr>
          <w:t>2010 BCSC 873</w:t>
        </w:r>
      </w:hyperlink>
      <w:r>
        <w:rPr>
          <w:rFonts w:ascii="arial" w:eastAsia="arial" w:hAnsi="arial" w:cs="arial"/>
          <w:color w:val="000000"/>
          <w:sz w:val="20"/>
          <w:lang w:val="en-US" w:eastAsia="en-US" w:bidi="ar-SA"/>
        </w:rPr>
        <w:t>: a 26-year-old female who suffered a mild strain to soft tissue in her neck and back as a result of the accident. She had substantially recovered from her accident after six months, although she continued to have some mild, non-debilitating neck and lower back pain. She received an award of $15,000.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have considered the impact of the injuries on Ms. Blackman's general well-being in coming to a decision on the appropriate award under this category. Ms. Blackman is a stoic and determined person. Despite the recurring neck pain and resulting headaches, she has continued to work full-time, participate in some recreational activities and raise a family. I accept that Ms. Blackman has dealt with the intermittent pain for over four years and will continue to experience some periodic mild pain. In formulating the appropriate award, I have taken a number of factors into account that will have an impact on her overall well-being: the emotional suffering, including her frustration with not fully participating in family activities; the adjustments she has made to her lifestyle, including household chores; the effects of the injuries on her relationship with her husband, children and extended family; and the impact on her ability to play various musical instruments.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Having reviewed the cases provided by both parties, I assess Ms. Blackman's non-pecuniary damages at $80,000.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Blackman seeks an award in the range of $10,000 to $15,000 for her loss of housekeeping capacity. Ms. Dha submits that the evidence does not support such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Ms. Blackman relies on the decision in </w:t>
      </w:r>
      <w:r>
        <w:rPr>
          <w:rFonts w:ascii="arial" w:eastAsia="arial" w:hAnsi="arial" w:cs="arial"/>
          <w:i/>
          <w:color w:val="000000"/>
          <w:sz w:val="20"/>
          <w:lang w:val="en-US" w:eastAsia="en-US" w:bidi="ar-SA"/>
        </w:rPr>
        <w:t>O'Connell (Litigation Guardian of) v. Yung,</w:t>
      </w:r>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2012 BCCA 57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O'Connell</w:t>
      </w:r>
      <w:r>
        <w:rPr>
          <w:rFonts w:ascii="arial" w:eastAsia="arial" w:hAnsi="arial" w:cs="arial"/>
          <w:color w:val="000000"/>
          <w:sz w:val="20"/>
          <w:lang w:val="en-US" w:eastAsia="en-US" w:bidi="ar-SA"/>
        </w:rPr>
        <w:t xml:space="preserve">], which referred to the leading cases of </w:t>
      </w:r>
      <w:r>
        <w:rPr>
          <w:rFonts w:ascii="arial" w:eastAsia="arial" w:hAnsi="arial" w:cs="arial"/>
          <w:i/>
          <w:color w:val="000000"/>
          <w:sz w:val="20"/>
          <w:lang w:val="en-US" w:eastAsia="en-US" w:bidi="ar-SA"/>
        </w:rPr>
        <w:t>Kroeker v. Jansen</w:t>
      </w:r>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(1995), 123 D.L.R. (4th) 652</w:t>
        </w:r>
      </w:hyperlink>
      <w:r>
        <w:rPr>
          <w:rFonts w:ascii="arial" w:eastAsia="arial" w:hAnsi="arial" w:cs="arial"/>
          <w:color w:val="000000"/>
          <w:sz w:val="20"/>
          <w:lang w:val="en-US" w:eastAsia="en-US" w:bidi="ar-SA"/>
        </w:rPr>
        <w:t xml:space="preserve"> (B.C.C.A), leave to appeal refused </w:t>
      </w:r>
      <w:hyperlink r:id="rId629" w:history="1">
        <w:r>
          <w:rPr>
            <w:rFonts w:ascii="arial" w:eastAsia="arial" w:hAnsi="arial" w:cs="arial"/>
            <w:i/>
            <w:color w:val="0077CC"/>
            <w:sz w:val="20"/>
            <w:u w:val="single"/>
            <w:shd w:val="clear" w:color="auto" w:fill="FFFFFF"/>
            <w:lang w:val="en-US" w:eastAsia="en-US" w:bidi="ar-SA"/>
          </w:rPr>
          <w:t>[1995] S.C.C.A. No. 263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O'Connell</w:t>
      </w:r>
      <w:r>
        <w:rPr>
          <w:rFonts w:ascii="arial" w:eastAsia="arial" w:hAnsi="arial" w:cs="arial"/>
          <w:color w:val="000000"/>
          <w:sz w:val="20"/>
          <w:lang w:val="en-US" w:eastAsia="en-US" w:bidi="ar-SA"/>
        </w:rPr>
        <w:t>, Kirkpatrick J.A. summarizes the distinction between loss of housekeeping capacity and cost of future care at para. 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understand the principle, it is the loss of a capacity - an asset - that is compensated. Accordingly, because the award reflects the loss of a personal capacity, it is not dependent upon whether replacement housekeeping costs are actually incurred. Damages for the cost of future care serve a different purpose from awards for loss of housekeeping capacity. Unlike loss of housekeeping capacity awards, damages for the cost of future care are directly related to the expenses that may reasonably be expected to be required (</w:t>
      </w:r>
      <w:r>
        <w:rPr>
          <w:rFonts w:ascii="arial" w:eastAsia="arial" w:hAnsi="arial" w:cs="arial"/>
          <w:i/>
          <w:color w:val="000000"/>
          <w:sz w:val="20"/>
          <w:lang w:val="en-US" w:eastAsia="en-US" w:bidi="ar-SA"/>
        </w:rPr>
        <w:t>Krangle</w:t>
      </w:r>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Ms. Blackman testified, as did her husband, that prior to her accident, she was someone who took responsibility for all household chores, including cooking, washing dishes, laundry and household cleaning, such as vacuuming. However, following the accident, while she can still do most household chores, she has to pace herself and avoids vacuuming, as it tends to aggravate her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While I accept that since the accident Mr. Blackman has had to assist Ms. Blackman with the household chores, in particular the vacuuming, I am not persuaded on the evidence that the adjustment is sufficiently significant such that it justifies a discrete award of damages. In </w:t>
      </w:r>
      <w:r>
        <w:rPr>
          <w:rFonts w:ascii="arial" w:eastAsia="arial" w:hAnsi="arial" w:cs="arial"/>
          <w:i/>
          <w:color w:val="000000"/>
          <w:sz w:val="20"/>
          <w:lang w:val="en-US" w:eastAsia="en-US" w:bidi="ar-SA"/>
        </w:rPr>
        <w:t>Szymanski,</w:t>
      </w:r>
      <w:r>
        <w:rPr>
          <w:rFonts w:ascii="arial" w:eastAsia="arial" w:hAnsi="arial" w:cs="arial"/>
          <w:color w:val="000000"/>
          <w:sz w:val="20"/>
          <w:lang w:val="en-US" w:eastAsia="en-US" w:bidi="ar-SA"/>
        </w:rPr>
        <w:t xml:space="preserve"> at paras. 145-146, Ker J. declined to award a separate amount of damages for loss of housekeeping capacity where family members had to assist the plaintiff with some chores, and instead considered this impact on the plaintiff's overall lifestyle in his non-pecuniary damage award. Similarly, I have considered Ms. Blackman's challenges and discomfort in performing household tasks as a factor in the assessment of non-pecuniary damages set out above.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Costs of Future Care</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The plaintiff is entitled to compensation for the cost of future care based on what is reasonably necessary to restore her to her pre-accident condition, in so far as that is possible. When full restoration cannot be achieved, the court must strive to assure full compensation through the provision of adequate future care. The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Williams v. Low</w:t>
      </w:r>
      <w:r>
        <w:rPr>
          <w:rFonts w:ascii="arial" w:eastAsia="arial" w:hAnsi="arial" w:cs="arial"/>
          <w:color w:val="000000"/>
          <w:sz w:val="20"/>
          <w:lang w:val="en-US" w:eastAsia="en-US" w:bidi="ar-SA"/>
        </w:rPr>
        <w:t xml:space="preserve">, </w:t>
      </w:r>
      <w:hyperlink r:id="rId632" w:history="1">
        <w:r>
          <w:rPr>
            <w:rFonts w:ascii="arial" w:eastAsia="arial" w:hAnsi="arial" w:cs="arial"/>
            <w:i/>
            <w:color w:val="0077CC"/>
            <w:sz w:val="20"/>
            <w:u w:val="single"/>
            <w:shd w:val="clear" w:color="auto" w:fill="FFFFFF"/>
            <w:lang w:val="en-US" w:eastAsia="en-US" w:bidi="ar-SA"/>
          </w:rPr>
          <w:t>2000 BCSC 345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Spehar v. Beazley</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paras. 29-30.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The test for determining the appropriate award under the heading of cost of future care is an objective one based on medical evidence. For an award of future care there must be a medical justification for the claim, and the claim must be reasonable: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paras. 195-201.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Future care costs are "justified" if they are both medically necessary and likely to be incurred by the plaintiff. The award of damages is speculative, and thus requires a prediction as to what will happen in future. If a plaintiff has not used a particular item or service in the past, it may be inappropriate to include the cost of that service in a future care award. However, if the evidence shows that previously rejected services will not be rejected by the plaintiff in the future, he or she can recover for such services: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at para. 74; </w:t>
      </w:r>
      <w:r>
        <w:rPr>
          <w:rFonts w:ascii="arial" w:eastAsia="arial" w:hAnsi="arial" w:cs="arial"/>
          <w:i/>
          <w:color w:val="000000"/>
          <w:sz w:val="20"/>
          <w:lang w:val="en-US" w:eastAsia="en-US" w:bidi="ar-SA"/>
        </w:rPr>
        <w:t>O'Connell</w:t>
      </w:r>
      <w:r>
        <w:rPr>
          <w:rFonts w:ascii="arial" w:eastAsia="arial" w:hAnsi="arial" w:cs="arial"/>
          <w:color w:val="000000"/>
          <w:sz w:val="20"/>
          <w:lang w:val="en-US" w:eastAsia="en-US" w:bidi="ar-SA"/>
        </w:rPr>
        <w:t xml:space="preserve"> at paras. 55, 60 and 68-70.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extent, if any, to which a future care costs award should be adjusted for contingencies depends on the specific care needs of the plaintiff. In some cases, negative contingencies are offset by positive contingencies and, therefore, a contingency adjustment is not required. In other cases, however, the award is reduced based on the prospect of improvement in the plaintiff's condition or increased based on the prospect that additional care will be required. Each case falls to be determined on its particular facts: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636"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An assessment of damages for cost of future care is not a precise accounting exercise. Rather, it is a matter of prediction that must be made in light of the fact that no one knows the future: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502"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xml:space="preserve">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Ms. Blackman submits that an award in the range of $10,470 to $12,705 ought to be granted under this head of damages. She submits that the cost of future care consists of $3,600 for monthly physiotherapy or massage therapy for three years and $500 for anti-inflammatory medication, such as Advil, for 25 years. In addition, Ms. Blackman estimates that $6,370 to $8,605 is required for the various injection treatments recommended by Dr. Waseem.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Ms. Dha submits that there is no evidence to suggest Ms. Blackman will incur any future care costs. In particular, she argues the recommendation by Dr. Waseem is purely speculative and should be given little weight. There is no evidence to indicate that Ms. Blackman will require these injections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 agree with Ms. Dha that Dr. Waseem's treatment recommendations regarding various types of injections should be given little weight. At best, these recommendations are speculative, and there is no evidence before me regarding the cost of these injections, nor is there any evidence that Ms. Blackman would seek out this form of treatment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accept Dr. Naiker's recommendation that Ms. Blackman will continue to benefit from regular stretching and strengthening exercises as recommended by a physiotherapist, together with massage. The evidence has established that Ms. Blackman's husband has been treating her with massage since the accident, so there will likely be no cost for this service in the future. Although Dr. Naiker did not specifically recommend Ms. Blackman resume physiotherapy, she did acknowledge that some people do benefit from additional physiotherapy sessions. I also must consider the fact that Ms. Blackman's new family doctor has recommended physiotherapy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am satisfied that Ms. Blackman will experience a relatively small pecuniary loss relating to future physiotherapy and pain medication. I will make some allowance for ongoing over-the-counter pain medication. A modest award should also be made to allow her to obtain physiotherapy from time to time to ensure she continues with an appropriate stretching and strengthening exercise regime. Accordingly, I award $1,500 for the 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It is well established that an injured person is entitled to recover the reasonable out-of-pocket expenses he or she incurred as a result of an accident. This is grounded in the fundamental governing principle that an injured person is to be restored to the position he or she would have been in had the accident not occurred: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281;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para. 170.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Ms. Blackman submits that an award of $1,060.50 should be made based on an agreed amount of $965.50, as well as the cost of a massage machine and heating pad.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Counsel for Ms. Dha did not directly address this claim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Accordingly, I find that Ms. Blackman is entitled to reimbursement for her special damages in the amount of $1,060.50.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summary, I award Ms. Blackman damages as follows:</w:t>
      </w:r>
      <w:r>
        <w:rPr>
          <w:rFonts w:ascii="arial" w:eastAsia="arial" w:hAnsi="arial" w:cs="arial"/>
          <w:sz w:val="20"/>
          <w:lang w:val="en-US" w:eastAsia="en-US" w:bidi="ar-SA"/>
        </w:rPr>
        <w:cr/>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 $80,000;</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 $1,500;</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 $1,060.50.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Accordingly, her global damages award is $82,560.50.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If the parties are unable to agree on costs, they may speak to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DEVLIN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1" style="position:absolute;z-index:2518876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38"/>
          <w:headerReference w:type="default" r:id="rId639"/>
          <w:footerReference w:type="even" r:id="rId640"/>
          <w:footerReference w:type="default" r:id="rId641"/>
          <w:headerReference w:type="first" r:id="rId642"/>
          <w:footerReference w:type="first" r:id="rId64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44" w:history="1">
        <w:r>
          <w:rPr>
            <w:rFonts w:ascii="arial" w:eastAsia="arial" w:hAnsi="arial" w:cs="arial"/>
            <w:b/>
            <w:bCs/>
            <w:i/>
            <w:color w:val="0077CC"/>
            <w:kern w:val="32"/>
            <w:sz w:val="28"/>
            <w:szCs w:val="32"/>
            <w:u w:val="single"/>
            <w:shd w:val="clear" w:color="auto" w:fill="FFFFFF"/>
            <w:lang w:val="en-US" w:eastAsia="en-US" w:bidi="ar-SA"/>
          </w:rPr>
          <w:t>Cardwell v. Perthen, [2006] B.C.J. No. 455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Ballance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11 - 14, 17 - 21 and 24 - 28;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February 21 - 22; and April 18 and 19,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28,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S006866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455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333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38 C.C.L.T. (3d) 210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41 R.P.R. (4th) 118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CarswellBC 492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Eric Cardwell and Diane Susan Cardwell, plaintiffs, and Juergen E. Perthen and Helga G. Perthen,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2"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8" w:name="Keywords_36"/>
      <w:bookmarkEnd w:id="238"/>
      <w:r>
        <w:rPr>
          <w:rFonts w:ascii="arial" w:eastAsia="arial" w:hAnsi="arial" w:cs="arial"/>
          <w:b/>
          <w:color w:val="000000"/>
          <w:sz w:val="20"/>
          <w:lang w:val="en-US" w:eastAsia="en-US" w:bidi="ar-SA"/>
        </w:rPr>
        <w:t>Real property law — Sale of land — Quality defects — Latent — Patent — Misrepresentation — Negligent misrepresentation — Agreement of purchase and sale — Conditions and warranties — Remedies — Damages — Action by Cardwell for negligent misrepresentation and breach of contract allowed in part — Defects in sub-floor, flashing and leaking around skylight were latent defects and were known to seller — Purchaser entitled to recover costs of repairing such defects — Defects with roof, hot tub, retaining walls and garage were patent and could have been discovered upon home inspection — No evidence established that representations made by Perthen induced Cardwell not to do a home inspection — Evidence failed to establish that Perthen represented that house had been built to particular standard — No implied warranty of fitness, as house was complete and used and no indication that Perthen undertook to carry out further repairs after purchase agreement was signed.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9" w:name="Case Summary_33"/>
            <w:bookmarkEnd w:id="23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Cardwell for negligent misrepresentation and breach of contract -- Over several years, Perthen undertook substantial renovations to his house, including installing retaining walls, adding a family room, renovating the bedrooms and building a bell tower on the property -- Perthen was a property manager who had previously worked as a designer in an engineering firm -- Perthen commenced the renovations without obtaining permits from the city -- At the city's request, Perthen obtained permits and hired an engineering firm to give periodic opinions about the structural soundness of the renovations -- Perthen's wife became ill and Perthen sold the house to Cardwell -- Perthen and his real estate agent made available a disclosure statement -- Perthen made available engineer's reports to Cardwell -- In order to present an unconditional offer, Cardwell made an offer to purchase that was not subject to home inspection -- After closing, Cardwell found that the sub-floors in the family room and master bedroom were not properly constructed and that mold had accumulated there -- Cardwell noticed the roof was leaking, which Perthen admitted -- Cardwell retained an engineer, who opined that the property should be demolished -- Engineer claimed outside retaining walls were unsound, hot tub did not function, garages needed to be replaced and roof needed repairs -- Instead of effecting the repairs, Cardwell sold the property at substantial loss -- HELD: Action allowed in part -- Evidence indicated that engineering firm that prepared report for Cardwell did not have evidence that deficiencies caused actual problems and report failed to distinguish negligent workmanship from usual wear and tear -- Evidence established that sub-floor needed to be replaced and leaks around skylights needed repairs -- No evidence established that retaining walls were unsafe -- Retaining walls showed cracks, which was patent defect -- Sub-floors were latent defects that negatively affected habitability of premises -- Given Perthen's extensive construction experience and the fact that he built floors, he was reckless about whether his construction would cause moisture or mold problems -- Perthen knew of leaks around skylights -- Remaining defects in house were readily visible, could have been discovered upon home inspection and making reasonable inquiries -- No evidence established that representations made by Perthen induced Cardwell to enter into the purchase agreement without a home inspection -- While disclosure statement was inaccurate, Cardwell failed to prove that she relied on statement -- Evidence failed to establish that Perthen represented that house had been built to particular standard -- No implied warranty of fitness, as house was complete and used and no indication that Perthen undertook to carry out further repairs after purchase agreement was signed -- Cardwell entitled to recover costs of repairs to sub-floors and costs of repairing inadequate flashing and leakage around skylight.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0" w:name="Counsel_37"/>
      <w:bookmarkEnd w:id="24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3"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Bruce Lemer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Mr. Perthen: Frank R. Eadie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1" w:name="Judgment_37"/>
      <w:bookmarkEnd w:id="241"/>
      <w:r>
        <w:pict>
          <v:line id="_x0000_s1204" style="position:absolute;z-index:25179955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2" w:name="BALLANCE J."/>
            <w:bookmarkEnd w:id="242"/>
            <w:r>
              <w:rPr>
                <w:rFonts w:ascii="arial" w:eastAsia="arial" w:hAnsi="arial" w:cs="arial"/>
                <w:b/>
                <w:color w:val="000000"/>
                <w:sz w:val="30"/>
                <w:lang w:val="en-US" w:eastAsia="en-US" w:bidi="ar-SA"/>
              </w:rPr>
              <w:t>BALLANCE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sale of used residential houses is a daily occurrence in this province. Some of those houses are new and in pristine shape. Others are decades old and in poor and or dilapidated condition, while still many others fall somewhere in between. A large number have undergone cosmetic updating or more extensive renovation to their original state. This action arises out of the sale of an older residence which had been substantially renovated over a period of a decade.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parties entered into a contract of purchase and sale dated May 21, 2000, by which the plaintiffs, Eric and Diane Cardwell, agreed to purchase a residence located at 835 Younette Drive, West Vancouver, B.C., for the sum of $1,350,000. The contract was not made subject to the Cardwells having an inspection conducted and no inspection was carried out before the transaction closed the first week of July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Most unfortunately for all concerned, soon after the Cardwells took possession of the home they discovered what they allege to be problems ranging from shoddy workmanship, leaks, the presence of mold and faulty retaining walls through to the deterioration of structural components and symptoms of systemic deficiencies. The Cardwells ended up selling the home some 6-1/2 months later in "as is" condition at a significant financial loss. They claim damages in excess of $700,000, the bulk of which represents the difference between the purchase price of $1,350,000, and the selling price of $700,000.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Cardwells base their claim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(including negligent misrepresentation), fraud and breach of contract. The principal thrust of their case is the assertion that the renovations were incomplete, and therefore a warranty that the residence and out-buildings were built in a good and workmanlike manner and were reasonably fit for habitation, should be implied in their favour and was breached. They allege also that the renovations carried out by the defendant, Juergen Perthen, were performed negligently. They further assert that during the course of viewing the property prior to purchasing it, Mr. Perthen: held himself out to be an engineer; emphasized that the renovations - largely performed by him - had been done to a very high standard; stated that an independent engineer had been involved; and stated that final approval and permits had been given by the District of West Vancouver (the "District"). The Cardwells further say that during the second viewing of the home Mr. Perthen permitted them to review certain documents such as the District's final inspection notice, a letter from an engineering firm and what they characterize as an inaccurate disclosure of condition of property statement. According to the Cardwells, in reliance upon these "representations", they were induced to enter into the contract of purchase and sale and chose to proceed with the transaction without having the house inspected.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Perthen raises a number of defences of both a legal and factual nature. He denies making any negligent misrepresentation (except for a minor incorrect statement in the disclosure of condition of property statement) and, in particular, insists that he did not hold himself out as an engineer nor commit any fraud. Mr. Perthen contends that the residence was a used, completed house and therefore no warranty can be implied. In broader terms, he says that the Cardwells' allegations of poor and negligent workmanship are either false or grossly exaggerated.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Perthen does acknowledge that due to his error there were construction deficiencies in relation to the sub-floors which he laid in two rooms: the family room, and master bedroom, but says he was unaware of their impact at the time of sale. He also says that the Cardwells' own expert indicated that those deficiencies could have been remedied for approximately $10,000. Mr. Perthen contends that the majority of the other so-called defects were patent and would have come to the plaintiffs' attention had they carried out a reasonable inspection. It is his position that based on the long-standing doctrine of caveat emptor, the Cardwells have no remedy in respect of those patent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Perthen's counsel describes the Cardwells' decision to sell the house for its lot value as an utterly "bizarre" way to address the manageable problems they faced and argues that the damages flowing from such bizarre conduct must not be visited upon Mr. Perthen.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addition to suing the Perthens, this action was originally brought against the Perthen's real estate agent, the realty company for whom she worked, the District, the engineering company retained by the Perthens and one of its engineers. The Cardwells settled their claims against those defendants before trial. The settlement amount was not revealed, however, the Cardwells' counsel confirmed, quite properly, that they do not seek excess recovery in the event that Mr. Perthen's liability is established and will not look to Mr. Perthen for any damages that may be found attributable to any former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Mrs. Perthen passed away prior to the trial. No steps were taken to add her estate as a party or to have a representative appointed for her estate in this action. Mr. Perthen's counsel made it clear that he does not act for Mrs. Perthen's estate.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Cardwell suffered a stroke prior to trial and was unable to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r>
        <w:rPr>
          <w:rFonts w:ascii="arial" w:eastAsia="arial" w:hAnsi="arial" w:cs="arial"/>
          <w:sz w:val="20"/>
          <w:lang w:val="en-US" w:eastAsia="en-US" w:bidi="ar-SA"/>
        </w:rPr>
        <w:cr/>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Overview of Renovations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Near the end of 1969, Mr. Perthen, who had done drafting in an engineering firm, opened his own design company. His company constructed commercial and industrial buildings and hired electrical engineers and other professionals to that end. It was successful and grew rapidly. In around 1975, Mr. Perthen moved into the property management business and eventually established a separate corporate vehicle for that undertaking. In 1985 or 1986, Mr. Perthen sold his design company in order to concentrate on the property management operation which managed 10-15 buildings at its peak. Through his company, Mr. Perthen had considerable exposure to defective building issues including the "leaky condo-crisis".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Perthens purchased the Younette Drive property in 1986. At that time, it was about a 2,000 square foot, single storey bungalow. The Perthens were fond of Santa Fe residential architecture found in places like Arizona and wished to incorporate that distinctive look in their proposed renovations to their new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Starting around 1987 or 1988, the Perthens began the construction of extensive retaining walls throughout their steeply, sloping site to support the landscaping in front, to the rear and on either side of the house. This series of walls was erected by Mr. Perthen without the benefit of an engineering design. Around the same time, the Perthens relocated the kitchen to a different area of the house, added a bar and bathroom, moved an interior wall and put a beam in the dining room and enclosed the outdoor covered patio off the living room in order to enlarge the living room area. They did so without first obtaining the necessary permits from the District. The work Mr. Perthen was doing on his house, especially the construction of the retaining walls, was a matter of consternation for his neighbours. One or more of them complained to the District and informed it Mr. Perthen had not obtained a permit for his interior work. This permit issue prompted the District to dispatch an inspector to the property and to carry out periodic inspections from that point forward. The Perthens co-operated in complying with requirements and obtaining the appropriate permits. Mr. Perthen testified, rather sheepishly, that he was simply unaware that these non-structural interior changes required a permit from the District. At the same time, he agreed it was like being caught with his "hand in the cookie jar". Given Mr. Perthen's experience in matters of general construction and property management, his evidence that he did not know he needed a permit is not believable.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1990 Mr. Perthen, working alongside a designer he had retained, sought approval from the District for a variance building permit in respect of his proposed additions to the residence. The Perthens encountered a significant degree of opposition from their neighbours and a flurry of strongly worded correspondence between them, their neighbours, and the District ensued for a time. The Perthens eventually abandoned their variance application and decided to renovate the residence within the confines of the existing bylaws.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March 1991, the District wrote to Mr. Perthen describing a number of deficiencies requiring his attention. Right away Mr. Perthen obtained positive electrical and plumbing inspection reports for the new kitchen, bar and dining areas. In addition, he retained a structural engineering firm (the "Engineering Firm") which assured the District in a letter dated April 3, 1991, that the design of the renovations proposed by Mr. Perthen conformed to the structural requirements of the current building by-law and that they would conduct structural field reviews to ascertain that the work substantially conformed in material respects to the plans and engineering documents accepted by the District for the project. Evidently, the District issued a number of permits. An early one pertained to at least some, and perhaps all, the work Mr. Perthen had carried out without a permit. Another building permit was issued on April 22, 1991. It included the new kitchen, family room, enclosure of the front patio and the roof extension over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After the April building permit was granted, the District inspectors continued to conduct site inspections where they would make a written report on progress and deficiencies. They always left a copy of the completed inspection form at the site to inform Mr. Perthen of the matters which required his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April building permit did not include a review of the westerly retaining wall. More than once the District suggested to Mr. Perthen (but did not mandate) it may be prudent to have that wall reviewed by a structural engineer. There was no evidence about whether the District had independently based concerns about the structural integrity of that wall. It was clear, however, that the neighbours of the adjacent property had complained about it to the District. In a letter dated June 3, 1991, the Engineering Firm confirmed to the District that this retaining wall along the west property line was reinforced in a particular way and grouted. The particulars of the steel rebar were stated incorrectly in this letter as being inserted every 2 feet whereas they were inserted about every 3 feet. Mr. Perthen testified that he had not provided the erroneous particulars to the engineer who wrote the letter and may not have seen that letter before the Engineering Firm sent it to the District. The engineer in question testified to the fact that he walked the length of the wall and drew his own conclusions which he then put in that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District also voiced concerns about the excessive height of another of the retaining walls. Mr. Perthen eventually lowered that over-height wall to bring it in line with the applicable bylaws. Other than the foregoing instances, the walls were not the subject of review or inspection by the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August 9, 1991, the Engineering Firm confirmed by letter to the District Building Inspector that it had carried out the supervisory duty of the structural work outlined in the April 3 letter and found all work satisfactorily completed in accordance with the plans and designs.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Around the same time, Mr. Perthen applied for a second building permit in respect of the next phase of renovations being the master bedroom and ensuite, the addition of a partial upper floor, new garage and bell tower. In a plan check document, the District identified several details of the submitted plans which required modification and requested sealed structural plans by an engineer. Mr. Perthen instructed the Engineering Firm to provide the sealed structural drawings, a site review and a letter of supervision for the renovation work. By letter of October 8, 1991, the Engineering Firm assured the District Building Inspector that the design of the proposed addition conformed to the structural requirements of the applicable bylaw and confirmed that the Engineering Firm would conduct structural field reviews.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Subsequent field inspections were carried out periodically by the District throughout 1992 and, to a lesser extent, 1993, in relation to the framing, electrical and plumbing. As well, the Engineering Firm kept Mr. Perthen informed of outstanding construction details that required his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majority of the second phase of the renovations were completed by mid-1990 and the renovation activity then tapered off significantly as Mr. Perthen shifted his focus to running his property management business. In 1996, Mr. Perthen renewed his building permit application to finish off the last of the work. Another series of field inspections by the District took place and in December 1998, final inspection and approval of the plumbing, electrical and building were issued by the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the end, the Perthens had transformed the modest bungalow into "Hacienda Del Norte": a spacious view home with a partial upper level, extensive pitched and flat roof areas, a two storey ornamental bell tower, a covered portico supported by columns and a new second garage. Mr. Perthen had added a small family room area in front of the new kitchen, a pantry and new master ensuite, converted part of the existing living room into a sitting room/office and enlarged the living room. He had carried out most of the renovations himself, although he did hire independent contractors to install skylights, the flat roofs, new gutters and aspects of the new plumbing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Some of the work was left unfinished or only partially completed. Missing were: parapet wall cap flashings; gutters; caulking and window sills in places; stuccoing on parts of the two garages; grouting of roof tiles; dry walling on the second level of the bell tower; and stuccoing of the breezeway (between the existing garage and the back of the house) and over a small roof area at the entrance. Nor had stucco been applied to a small area of the exterior of the dining room as Mr. Perthen said he intended to run a security wire through the particular spot, although he never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Perthens lived in the residence throughout the entire renovation period. In time, Mr. Perthen established a home office there where he had at least one steady employee. As well, in conjunction with their daughter, the Perthens ran an accounting business from their home which had four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According to Mr. Perthen, renovating his residence was for him a "labour of love" and his "life's work" for ten years. I believe him and accept his evidence that he and his wife fully intended to live there until their final days. Sadly, in 1998 Mrs. Perthen's health began to deteriorate and, in time, she needed a wheelchair. Within this same timeframe, the Perthens' increasing visits to Europe to visit Mrs. Perthen's ailing, elderly mother was becoming a financial drain. These factors prompted the Perthens to decide to downsize and sell their beloved Younette Drive property.</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Sale to the Cardwells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January 2000, the Perthens listed the residence for the price of $1,650,000. Mrs. Cardwell had lived on Younette Drive twenty years earlier and had even visited the property when the original owners resided there. It was situated in a school catchment which she considered desirable for her son. She was very interested in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Cardwells viewed the residence on two occasions in May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the first occasion, Mr. Perthen's real estate agent, Clara Hartree, did not attend and so Mr. Perthen guided the Cardwells and their son around the property. Ms. Hartree testified that because Mr. Perthen worked from an office in the home, it was convenient for him to tour prospective purchasers and he was happy to do so because he was very house proud.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Mrs. Cardwell recalls that during this first viewing Mr. Perthen described the residence as his labour of love. The Cardwells shared the Perthens' appreciation of the south western look of the home and Mr. Perthen pointed out the many unique design features of it. They viewed the interior of the home, the out buildings, orchard, dog run and grounds, to varying extents. Mrs. Cardwell took a cursory look over the railing at the front of the house but as there was no access down the steep frontage, she did not go down. She did not recall going inside the bell tower or the two garages but believes that her husband may have entered the older garage. They discussed the plants, arbour, and the unique electrical aspects of the house which included a special low voltage lighting system. Mr. Perthen also showed the Cardwells the extensive interior and exterior sound system which included about 40 speakers with karaoke capability. He also pointed out other high-end features such as the heated marble floor in the master ensuite bathroom and full security system. At some point, Mr. Perthen stated there was no crawl space. Mrs. Cardwell recalls that Mr. Perthen mentioned that there was a supply of stucco in the garage for the partially stuccoed breezeway and showed it to her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It was all very pleasant and the Cardwells were not concerned about anything they saw.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Mrs. Cardwell testified that Mr. Perthen represented that he was a retired engineer who was now in property management. The Cardwells' real estate agent, Allan Angell, who was also present, testified along the same lines saying that while Mr. Perthen escorted them throughout the property he told the Cardwells that he was a retired engineer.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Perthen denies that he made this statement to the Cardwells. He says that Mrs. Cardwell asked him how he had come to design the home and that he told her that he had owned an engineering firm which employed architects and that he had met an architect in Arizona who had some hacienda design ideas of interest and he pursued it from there. Mr. Perthen stated that he was always careful never to represent himself as an engineer. Yet, it was revealed that Mr. Perthen had permitted himself to be described as such on land title documents in the past and as recently as 2000, and in the city directory. Mr. Angell was a most credible witness and has never been a party to these proceedings. On balance, I find that Mr. Perthen did indeed refer to himself as an engineer in his discussions with the Cardwells during the initial viewing of the property. The evidence does not establish that he emphasized the point or explicitly connected it to the condition of the residence. I find it was a casual reference made once.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Part of the new second floor addition was constructed over an existing wood burning chimney in the sitting room. Mr. Perthen testified that he decided not to convert that fireplace to gas because he predicted it would overheat the small sitting room area in which it was located. He therefore did not complete the ventilation of the chimney flue up through the roof. According to Mr. Perthen, he had placed a post-it note warning "don't use fireplace" on this unventilated fireplace and had pointed that out to the Cardwells. He said that he reminded the Cardwells again at some point during the second meeting. Mr. Perthen testified that he had similarly placed post-it notes on his lighting system to alert prospective purchasers that it was a special low voltage lighting system. According to him, on the possession date he showed the Cardwells the chimney ventilation piece which was packed in a box stored in the older garage. Mrs. Cardwell testified that he did not post any of these notes until after the contract of purchase and sale was entered into. She did not persuade me of this: I conclude she has misremembered this small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About a week after their first showing of the home, the Cardwells and Mr. Angell returned for a second look. The Perthens' agent, Ms. Hartree, was present this time. They retoured the grounds. At one stage, the Cardwells and Mr. Perthen stood on an elevated point at the backside of the property where they had a view of the roof in its entirety except for a small bit over the kitchen and dining area. As well, because of the sloped nature of the lot, much of the roof areas could be seen from the ground. Mr. Perthen says that the unfinished side of one of the garages was also clearly visible from this upper vantage point. Mrs. Cardwell testified that, likely in the context of discussing the roof, she asked Mr. Perthen whether there were any builder's guarantees, and Mr. Perthen told her he had worked with an engineering company throughout the project. That statement was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According to Mrs. Cardwell, during the one week interim between the two viewings, she and her husband recalled an unpleasant encounter with the City of Vancouver in relation to permits and they had decided that they would ask Mr. Perthen about permits at the second meeting and she says that they did so. She testified that Mr. Perthen showed her the District's 1998 final inspection document for the building, electrical and plumbing and a survey of the property. She said that she also saw a copy of the letter dated April 3, 1991 from the Engineering Firm to the District Building Inspector. Her recollection was that this letter was clipped to a drawing or a roll of drawings. Mrs. Cardwell stated that Mr. Perthen promised he would leave all of the drawings for them if they purchased the home. Mr. Angell also recalled that Mr. Perthen made available to the Cardwells and himself a variety of documentation about "what had been done to the home", and remembers seeing pieces of paper or correspondence with the name of the Engineering Firm (a name which he recognized) including the April 3, 1991 letter. Ms. Hartree recalls a "concentration of people in Mr. Perthen's office around papers". Mr. Perthen says that except for the survey and some tracings he had made of the renovations, there were no papers out for the Cardwells to review during this meeting because he had put them into storage in anticipation of his move. However, the combined evidence of Mrs. Cardwell, Mr. Angell and Ms. Hartree satisfy me that the various papers identified by Mrs. Cardwell had been laid out for review and were, as intended, perused by the Cardwells.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 second point of controversy is whether the Cardwells read the condition of property disclosure statement (the "Disclosure Statement") at the second showing. Mrs. Cardwell says she read at least the top page of it. Mr. Angell likewise remembers reading it during the second meeting and believes that it was Clara Hartree who provided the copy of it. He explained that he never takes a copy of the Disclosure Statement away with him from a viewing and did not do so in this instance and nor did the Cardwells. Mr. Angell testified that Mrs. Cardwell noticed that the Disclosure Statement described the roof as being three years old and yet the listing advertisement had said it was five years old. He said that Ms. Hartree went off to discuss that discrepancy with Mr. Perthen to provide clarification, but does not recall her response. Ms. Hartree was not specifically questioned about this point at trial. According to Mrs. Cardwell, Ms. Hartree clarified that the description of the roof being three years old was in reference to the roof over the newly constructed second storey. Mrs. Cardwell also stated that Ms. Hartree told her that the older garage which existed when Mr. Perthen purchased the property encroached slightly over the property line and that the neighbours affected had given their permission for it to remain there. Ms. Hartree could not recall having brought the Disclosure Statement with her to the second viewing stating that it was not her usual practice to do so. Nor did she recall providing a copy to Mr. Angell or the Cardwells at that time. Ms. Hartree does recall faxing a copy of the Disclosure Statement to Mr. Angell some months later after the deal had closed when he called her asking for it in a "panic". Mr. Perthen says it was not reviewed at the second showing.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degree of specificity of recollection of Mrs. Cardwell and Mr. Angell surrounding the review of the Disclosure Statement at the second viewing is credible. Bearing that in mind, and given that Mr. Perthen was not able to accurately recollect that various other documents had been laid out for the Cardwells to see at this second meeting, I accept the evidence of Mrs. Cardwell on the matter. Accordingly, I conclude Mrs. Cardwell indeed read the top page of the Disclosure Statement during the second viewing of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Shortly after the second viewing, the Cardwells made an offer to purchase the property at $1,250,000. Their offer was what is known colloquially in real estate circles as "a clean offer", meaning that it did not contain any subject clauses, such as subject to obtaining a satisfactory inspection of the property. The Cardwells had previously purchased roughly eight to nine homes in Canada and they had never before omitted a "subject to inspection clause" in an offer to purchase. Mr. Angell admitted that he told the Cardwells that a clean deal would be an advantage in negotiating the price with the Perthens.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Perthens rejected the Cardwell's first offer without countering. It was around this time that Mr. Angell received, likely from Ms. Hartree, a two page summary of the special features of the property prepared by Mr. Perthen. This feature sheet emphasized the spectacular views, Jacuzzi bath, gold plated faucets, indoor/outdoor sound system, gold plated dining room chandelier from Austria, partial air-conditioning, the half-acre of beautifully landscaped grounds, three fountains, two built-in vacuum cleaner units and the like. Mr. Angell showed the sheet to the Cardwells. The Cardwells then increased their offer to $1,350,000, again with no subjects.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Perthen testified that he told Mr. Angell that $1,350,000 was not enough but that Mr. Angell had emphasized that it was an all cash, clean offer with no subjects. This is consistent with Mr. Angell's evidence. According to Mr. Perthen, Mr. Angell also mentioned that the Cardwells would take the house "as is" which to Mr. Perthen was a reference to some of the unfinished work such as stuccoing on the side of the new garage. Mr. Angell did not dispute this in his evidence and I accept it as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Perthens accepted the offer and the deal became binding. The Disclosure Statement was not appended to the contract of purchase and sale. On this point, Mr. Angell testified that the Disclosure Statement contained nothing remarkable and thus he thought no purpose would be served in incorporating it into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As it turns out, the Cardwells never did move in to the property.</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Cardwells' Nightmare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Cardwells intended to have some cosmetic updates made to their new home before they moved in. The first project was to replace the living room carpet with tile. The tile company they hired to do the work raised some concerns about the capacity of the living room sub-floor to hold the tile. The Cardwells decided to replace the existing sub-floor with a sturdier one. Removal of the sub-floor revealed broken up drywall and other construction debris jammed in between the joists with wires laying over, rather than going through, the joists. Below the joists was green indoor/outdoor carpeting glued directly onto the concrete. The Cardwells hired an electrician to deal with the wiring concerns. They next proceeded to remove the carpet in Mr. Perthen's office located off the main living room area and encountered much the same problem. Underneath the joists were linoleum and shag carpeting. Further flaws were discovered when the Cardwells removed the sub-floor in the master bedroom. There, the wood timbers were wet and spongy and a black fuzzy substance, later confirmed to be mold, was present on some of the joists. There was no concrete slab underneath.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As each of the sub-floors were removed, the Cardwells became increasingly distressed about the state of their new home. They contacted the District building department which responded by sending a chief building inspector to have a look. He inspected the three areas where the sub-floor had been removed and suggested to the Cardwells that they expand their investigations. They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Underneath the sub-floor in the family room, there was only soil - no concrete slab on grade. Black water was dripping out of the joists and there appeared to be mold. The Cardwells soon sought advice from an architect who, in turn, suggested that they retain the engineering consulting firm of Gordon Spratt &amp; Associates to continue the investigation and review the apparent deficiencies. The Cardwells' two principal contacts at Gordon Spratt &amp; Associates were Mr. Trundle and Mr. van Blankenstein. These gentlemen performed investigations throughout August, September, and to a lesser degree, in October 2000. Mrs. Cardwell attended the residence on a nearly daily basis during those months. At the suggestion of West Coast Safety, she wore a mask to protect her from any airborne mold particles for a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Trundle found evidence of water build up around the floor joists in the master bathroom and signs of water ingress in the master bedroom. He and Mr. van Blankenstein also brought concerns about the condition of the retaining walls to the Cardwells'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Mrs. Cardwell observed what she understood were deficiencies with the Spanish style pitched tile roof. She said she encountered leaking and swelling of walls in the main floor bathroom. Mushrooms appeared on the ceiling in the family room and damp patches on another part of the ceiling. Mold was present behind a ceramic pot on a small nook in the wall between the dining room and kitchen. There was also mold in the bell tower. Some electrical wires were bare and needed capping. The ceiling of the old garage was sodden and mold was present. The hot tub was not operational. The water in the kitchen sink came out black. Mrs. Cardwell was later told this was due to the lack of a back flow preventer valve.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the process of the investigation, Mrs. Cardwell hired a company to remove and prune some of the thick bushes and vegetation to make the retaining walls, garages and other areas more visible thereby revealing what she alleges were further defects and areas in an incomplete state. She also retained third parties to test for mold and examine the electrical and mechanical aspects of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Perthen happened by the house near the end of August 2000. He appeared to be shocked at the state of the exposed areas under the sub-floors. According to Mrs. Cardwell, he said that a "German employee" had constructed the living room floor. When asked about the lack of floor ventilation in the family room and master bedroom he said the District had never mentioned to him such a requirement. He denied ever noticing leaking in the bathroom. Mrs. Cardwell testified that he said that there was no back flow preventer for the kitchen but Mr. Perthen denied that and testified there was one. He said he had never seen the hot tub in such rough shape.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Perthen testified that he was completely shocked when he saw what lay underneath the living room floor. He said that the previous owners must have laid the plywood over the indoor/outdoor green carpeting. He certainly denied doing so and denied raising the lower patio area in order to make it level with the floor elevation in the existing living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 one-time neighbour, Phyllis Grady, testified that she was present when the original owners, the Jones, had laid a grey coloured carpet over the entire concrete patio area. At the time, the patio area was a step down from the living room. Mrs. Grady's evidence was that this step-down patio remained in the same state for the entire time that the next owners, the Moores, lived in the home. She was present near to the last day that Mrs. Moore lived in the house. Specifically she stated that there had never been any green indoor/outdoor carpet in that area while the Moores - who sold the home to the Perthens - lived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While I recognize that Mrs. Grady and her husband were among the larger group of neighbours who had opposed the Perthens' variance application and complained about aspects of the renovations in the past, there was no suggestion that her evidence, most unhelpful to Mr. Perthen, was in some way motivated by lingering ill-feelings created by that past bickering. Mrs. Grady had no personal interest in the outcome of this litigation and her testimony was persuasive and credible. I believe her. The corollary is that I disbelieve Mr. Perthen. This is not a matter where he could have been genuinely mistaken or had simply forgotten. His deceit on this issue tainted his overall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van Blankenstein prepared a written report of his perceived deficiencies dated October 10, 2000. A slightly edited version of that report was admitted at trial as his expert report on behalf of the Cardwells (the "Spratt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van Blankenstein advised the Cardwells to obtain a cost analysis to compare the costs of repair with those of rebuilding. To that end, they hired Helyar &amp; Associates, quantity surveyors, which prepared a costing report dated November 10, 2000 itemizing Gordon Spratt &amp; Associate's recommended remediations to address the deficiencies. Taken together, the Spratt Report and Helyar analysis outlined the enormous cost and uncertainty (uncertainly of both cost and whether repair was even possible in some areas) that would be entailed in attempting to repair the property and retaining walls. Helyar &amp; Associates indicated that repairs and renovations would likely exceed the cost of demolition and rebuilding. It estimated the cost to implement the recommendations made in the Spratt Report in the magnitude of $1,091,600. This figure was based on the assumption that the best approach was that the majority of Mr. Perthen's additions should be demolished and rebuilt along with major modifications to the roof and floor structures. The calculations and companion assumptions were as follows: the walls of all of the additions were to be completely rebuilt from the foundations up and 50% of the windows would be replaced ($214,100); 50% of the roof structure needed to be demolished and reframed with new gutters ($83,800); the two garages would be completely replaced ($88,000); total replacement of retaining walls ($433,400); the demolition and rebuilding of addition floors ($35,000) and; general deficiencies ($235,500). This estimate included a general contractor's fee and general requirements at 5% as well as a construction contingency allowance of 20% to cover unforeseen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cost and uncertainty in undertaking massive repairs were overwhelming to the Cardwells. To Mrs. Cardwell's mind these reports essentially left her with two realistic choices: (1) rebuild the home at a high cost; (2) sell and cut her losses. The Cardwells opted for the second course of action. Mrs. Cardwell emphasized that the presence of toxic mold in the premises was a dominant factor in deciding to sell.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Cardwells listed the property for sale with Mr. Angell on January 12, 2001. They marketed it at $850,000 "as is" to appeal to a builder. The property sold quickly, in late January 2001 and completed on February 20, 2001, for the sum of $700,000 which was effectively its land value. The property was purchased by an associate of Mr. Steve Bebek with the intent that Mr. Bebek, a builder, and his brother would cosmetically restore it for resale.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At no time did the Cardwells take any steps to seal off or remove the joist timbers which had mold or otherwise contain the mold in the premises or fumigate.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around October 2001 the Cardwells purchased a new home for approximately $1,725,000. Mr. Cardwell had to return to work for a time to pay the mortgage which was eventually paid out.</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Subsequent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Bebek testified that he saw mold in the open floors of the family room, in spots on the ceiling behind the kitchen near the skylight, in the master bedroom and the adjacent sitting room and in both garages. Mr. Bebek and others working in the house all experienced respiratory problems for a period of time which he attributed to the exposed mold. He believes he was able to effectively rid the property of mold except possibly in one area, but he did not hire a specialist to confirm that it had been eradicated.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Bebek testified that the single most persistent problem with respect to the residence was a leak in the ceiling around or near the skylight in the kitchen. Eventually, this leak was fixed. He said that there were other leaks including around the skylight in the family room and that, for a time, he had roofers at the property to fix problems on an on-going basis. Mr. Bebek testified that he was not able to determine why the roof was leaking in some areas until he pulled up roof tile and noticed deficient flashings; this deficiency in the roof had not been apparent to him by simply observing the roof. The flat roof behind the kitchen leaked too. Mr. Bebek added flashing to the entire house and installed new gutters, but did not reconstruct the sloping roofs. He converted the wood burning fireplace in the sitting room to gas but was unaware of the flue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Bebek found that some of the floors had seepage underneath and were not properly ventilated. He rebuilt the floors throughout the entire main floor. Mr. Bebek also repaired the brick facing on the family room exterior wall and did some patching work on the flat roof above it. He testified that there were three areas of the retaining walls which, he believed, had to be rebuilt. They totalled between 150 - 200 square feet which represented a relatively small portion of the walls overall. He did not employ a geotechnical engineer to examine his repair work on the retaining walls. He re-drywalled portions of the garage walls and did some repairs to their flat roofs. Mr. Bebek also did repairs on the upper most wall that held the patio at the front of the house and rebuilt the patio which he saw to be leaning. Mr. Bebek also had the exterior and interior of the home repainted, renovated the kitchen including adding new cupboards and appliances, renovated one of the bathrooms and installed new parapet caps.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Bebek did not keep track of the monies he expended in repairing and cosmetically upgrading the property. At trial, he gave a rough estimate of $270,000. Included within that figure was the approximate cost of $45,000 to remodel the kitchen and furnish it with new appliances, and $5,000 spent on cosmetic enhancements to the bathroom. Mr. Bebek agreed that the cost of flashing would have been in the area of $2,000 and that he would have spent about $20,000 for the partially copper parapet caps. He did not break out the cost of painting or provide any further breakdown except to say that the $270,000 estimate represented his out-of-pocket expenses and did not include any wages for himself or his brother who was assisting him, or any management fees. He testified that the Cardwells would have had to pay roughly 10-15% over and above the $270,000 (less the $50,000 for the kitchen and bathroom upgrades) to have had the work carried out by contractors.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August 2003, Mr. Bebek's associate sold the property for the sum of $1,265,000 to the McLoughlins, with possession in October 2003. Mr. Bebek was living in the home at the time. Before they bought, the McLoughlins had the property inspected. The inspection report mentioned that some flashing had to be added as well as some other minor work but nothing of consequence.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After the McLoughlins took possession of the property they encountered two main leaks in the roof. The most troublesome spot was between the living and family rooms which the McLoughlins discovered was due to a dime-sized hole in the roof. The other area was around the kitchen skylight near the back door. They also experienced a minor plumbing issue. They experienced no difficulties with the retaining walls and had no electrical wiring problems. Ms. McLoughlin mentioned, however, that a window on the second floor never did open even after they replaced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McLoughlins replaced one of the portico columns which had been sitting on a rock outside and had thereby absorbed moisture. They also re-drywalled the portico near the bell tower. According to Ms. McLoughlin they had plans drawn up to add an extra bedroom in anticipation of having another child, replaced the hot water tank, installed gates, fences and a full camera security system and purchased a new washer and dryer. They painted the entire interior to change the colour from the stark white applied by Mr. Bebek and because they had removed and patched over many electrical receptacles which they did not plan to use. They also repainted the exterior to change the colour. Ms. McLoughlin estimated that they spent about $100,000 in respect of these repairs, improvements and purchases, but did not break it down. She did not specify how much was expended to repair the leaks in the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Because the McLoughlins wished to add another bedroom and enlarge the space, they approached the District which gave them some kind of verbal approval or possibly a permit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McLoughlin forcefully testified that the biggest problem about the house was this court case and the annoyances it brought. They were unaware of the litigation when they purchased. She said the parties and their representatives as well as people from the District were forever showing up on her doorstep uninvited. She testified that it had not been a nice experience living in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McLoughlins decided to sell the home after owning it for only nine months. On account of this pending litigation they considered it prudent to have the property inspected before they sold. In this respect, they thought it logical to retain Derrick Smith, a structural engineer, who had been previously retained in around February 2001 by Mr. Bebek to advise on the repairs of the sub-floors and to provide an engineer's letter of assurance. Mr. Smith, who testified at trial for the defence, conducted a non-destructive visual inspection for the McLoughlins. He concluded that the house was structurally sound and that the building structure appeared to be in good condition with no noticeable signs of deterioration from physical damage, fire, weather or neglect. He saw no signs of settlement or failure of the foundations.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McLoughlins sold the property in 2001 for $1,350,000. Ms. Mc Loughlin testified that they had received an earlier offer for $1,450,000 from the very same individual. That individual had initially requested a "comfort letter" of some kind from the District which the District was not willing to provide because of this lawsuit. Not appreciating that they would have any difficulty selling, the McLoughlins had already committed to purchase a new house and were therefore under tremendous pressure to sell. Ms. McLoughlin believes that the individual who had made the initial offer basically took advantage of their pressing circumstances and reoffered at the lower price of $1,350,000. Given their predicament, the McLoughlins felt compelled to accept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cross-examination Ms. McLoughlin persuasively denied that she had experienced unexpected and significant problems with the house which she was not disclosing in her evidence. She was a credible and forthright witness and I accept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Curiously, there was never any evidence in this trial, other than an unsolicited comment from Clara Hartree, about the real estate market conditions and their impact on market price at this time, or at the time it was bought and sold by the Cardwells or by Mr. Bebek's friend.</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Details of the Principal Alleged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overview, the Spratt Report is a strongly worded condemnation of the construction quality of practically the entire residence and every out-building and the retaining walls. It describes work as being crude and unprofessional at times achieving an appalling workmanship standard. With a broad brush it paints a picture of a grievously flawed residence, with massive leaking or potential for significant water ingress, mold, structural defects and settlement concerns. In effect, it advocates demolition of much of the house. Also in evidence were videos capturing Mr. van Blankenstein's criticisms on site taken just before the Cardwells sold and one taken by Mr. Perthen during a weekend break of trial showing the current exterior condition. I will discuss below, under separate headings, the main areas of concern.</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Wall and Sub-Floor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One of the general observations made by Mr. van Blankenstein about the wall construction is that there are numerous detail failings and incomplete areas of work leaving exposure to ultraviolet degradation and weather, with water penetration at those locations. The defence expert, Pierre Gallant, an architect with considerable experience in building envelope troubles, testified that only the old garage was incomplete in this way. He disagreed there were numerous failings for the main house or bell tower as reported by Mr. van Blankenstein.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the Spratt Report, Mr. van Blankenstein writes that the sub-sill area in the living room is subject to rot and decay due to moisture in the joists from the original terrace concrete (which enclosed the floor) with no ventilation provided to the sub-floor crawl space. The presence of rot in the living room was never actually identified in the Spratt Report even though the joist framing complained of had been in contact with the stamped concrete terrace for several years. Under cross-examination, Mr. van Blankenstein became surprisingly equivocal on the moisture issue. He agreed he did not see evidence of water ingress in the areas of the doors and windows of the living room. He ultimately agreed that one might want to leave the living room walls erected.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Mr. van Blankenstein made small criticisms of the pantry, most pointedly of the unsatisfactory detailing of the parapet walls. His criticisms were not disputed by Mr. Gallant.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family room addition was of severe concern to Mr. van Blankenstein. Both experts agreed that the rot in the sill plate of the south east corner of this room originated from poor detailing with water penetrating through the low brick exterior wall. Extreme rot and decay were identified in the wall plates, sheathing and studs of the wall. The parapet wall had inadequate capping and the sill flashing was described by Mr. van Blankenstein as inadequate. In Mr. Gallant's opinion, the cause of wood decay was the moisture due to the finished grade being higher than the wood frame of the wall and not from the roof. I accept that. For some reason, the Cardwells did not provide an estimate of the cost of remediating the wall in the family room. The only evidence of the cost for that repair came from Mr. Gallant who put it at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van Blankenstein concluded that the standard of workmanship to the exterior envelope of the home and out-buildings was extremely poor with many details left unfinished and open to weather. He says these should have been observable to a professional and would certainly have been known to a contractor achieving these works. I take this comment to apply to the failing exterior brick wall in the family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floor in the family room was in no better shape than the wall. It had been constructed directly over the original aggregate top soil without a vapour barrier providing no ventilation to the sub-floor and no resistance to vapour emanating from the soil beneath the floor. The situation had been exacerbated by the inclusion of a sheeting under the plywood and over the joists thereby entrapping moisture. The Spratt Report stated that moisture had been entrapped in the sub-floor with rot and decay to approximately 50% of the depth of the supporting floor structure. It makes the point that the drawings show an existing foundation for the family room and questions how an existing foundation could be present when there had been no building previously on that area. The report raises the same foundation issue in relation to other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van Blankenstein stated that the floor in the master bedroom was suffering along the same lines as the one in the family room due to the same poor construction. It was not as severe probably because the sheeting had not been laid above the joists thereby entrapping moisture but at the same time had likely been worsened by water spilling into that area from an old, unconnected drain tile laying beneath the master ensuite floor. In cross-examination, Mr. van Blankenstein agreed that unlike the compromised brick wall in the family room, there was no evidence that the walls around the master bedroom and sitting room had ever leaked.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van Blankenstein observed similar deficiencies in the master bathroom. It too had rot and decay in the sub-floor structure although the extent of it is not particularized. He did not determine whether there were any performance problems with the ensuite walls.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evidence established that the walls of the new additions had been built in accordance with the plans reviewed and approved by the Engineering Firm and the District. Aside from the brick wall in family room at the floor level, there was no cogent evidence that any of the walls of the renovated areas had failed to perform or were about to. The sub-floors in the living and sitting rooms were constructed on concrete slab and were performing. In contrast, the sub-floors of the family room master bedroom and ensuite suffered from a lack of concrete slab and had begun to rot and support mold growth due to excessive moisture.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Although no sills had been installed on the windows, there was no evidence of water ingress in those areas.</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Roof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roof area is massive covering approximately 6,500 square feet; 5,500 of which is pitched and the remainder flat. A considerable segment of the Spratt Report is devoted to describing the perceived shortcomings of the pitched and flat roofs, the soffit ventilation and flashing. Expressed generally, it concludes that the pitched roof installation is of an extremely poor and unprofessional standard and in contravention of a number of building code requirements. Mr. Gallant agrees about the poor workmanship and inappropriate flashing but points out that the pitched roof areas were not leaking. Building violations of the flashings, gutters and down-piping are also alleged by Mr. van Blankenstein.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Spratt Report states that the concrete roof tiles installed by Mr. Perthen over the existing pitched roof were done at an unacceptable slope in some areas and provide insufficient cover with openings allowing rain water to penetrate at present to numerous locations. Mr. van Blankenstein qualified this statement very significantly on cross-examination where he agreed that rain water was in fact not penetrating when he wrote his report and that his report was merely speaking to the potential of that occurring. In most cases, the roof ridge tiles were unembedded and in many instances were unsecured having just been laid in place; hip tiles were frequently not bonded with bedding mortar. Counsel for the Cardwells suggested that the unsecured tiles could detach in a high wind. There was no evidence of that ever occurring. Counsel also repeatedly suggested that by nailing some of the tiles directly onto the existing roof, Mr. Perthen had created a multitude of tiny nail holes which could be penetrated by rain. Mr. Perthen explained that he did not create additional nail holes because he had, for the most part, first connected wooden runners onto the roof rafters and then nailed the tiles on to those runners or directly onto the existing wooden rafters. That evidence was not contradicted.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Mr. van Blankenstein's view the installation of flashings were crudely carried out and were partially incomplete with openings observable to the sub-strait beneath in many instances leaving it exposed to weather and in contravention of the building code. This observation was supported, in part, by Mr. Bebeck who discovered leaks which he attributed to inadequate flashing installation.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Spratt Report observed that the chimney flashings were incorrectly lapped allowing rainwater to penetrate. But at trial, Mr. van Blankenstein admitted that he did not actually detect any such water penetration.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Spratt Report states the gutter installation was incomplete or set too low in a number of locations and gutter and down pipes are of extremely poor quality and contravene the building code. In areas which were not easily observable due to high vegetation growth, gutters were omitted altogether.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Spratt Report points out that all of the building permit applications contain notes on the drawings for soffit ventilation but, with one exception, no ventilation to the soffits was included. There was no evidence these permits had ever been varied. Evidently Mr. van Blankenstein made no effort to determine whether the roof venting was actually causing any moisture problems in the attic and the Spratt Report does not identify any damage per se caused by this omission. The evidence indicates that there has been no additional roof venting installed since the Cardwells sold the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Spratt Report remarks that the flat portions of the garage roofs are in poor condition and have had a roofing sealant applied to make good areas where leakage was apparently occurring.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Spratt Report predicted that many areas of the roof would leak. Yet under pressing cross-examination, Mr. van Blankenstein reluctantly agreed that actual leakage was largely confined to three isolated areas and that he knew of no other roof leaks. Mr. van Blankenstein appeared distressed at his own answers in this part of his cross-examination. These three areas of leakage are:</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near the skylight in the family room</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near the kitchen skylight at the back of the house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near the entrance between the family and living rooms.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Perthen testified that he had experienced leaking between the family and living rooms and the rear kitchen skylight some years earlier but believed he had remedied them. Mr. Bebeck and the McLoughlins also faced leaking in certain of those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Gallant notes that all of Mr. van Blankenstein's observations of what he says are roof deficiencies, including the venting of roof spaces, could have been identified by a reasonably qualified home inspector prior to purchase. The evidence of Mr. van Blankenstein and Mr. Trundle under cross-examination, in essence, supports Mr. Gallant's statement. Mr. Bebeck, however, offered some evidence to the contrary in that he had been unable to detect one of the leaks (although not made clear which leak) until he pulled back the roof tiles and saw the poor flashings.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Foundations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 recurring concern expressed by Mr. van Blankenstein is the settlement of the residence. He said there was considerable settlement in the family room which was readily apparent just from walking across the room. He does not explain how he believes such settlement had occurred, whether it was settlement of the frame or shrinkage of some kind, or whether it was on-going. I conclude, no settlement was demonstrated beyond what one would reasonably expect given that the floor boards and a portion of the sill had rotted.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 factor which Mr. van Blankenstein considered a significant indicator of structural failure was that the columns supporting the portico were severely out of plumb and had gaps between their capitals and the overhang. Mr. Perthen testified that in keeping with the Santa Fe home style he had tried to achieve, these columns were very deliberately installed out of plumb to look imperfect. There was no evidence that these gaps had changed in anyway since the columns were installed and as stated by Mr. Gallant and Mr. Smith there was no indication that any remedial work had ever occurred in relation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van Blankenstein raised the question as to whether the footings were sufficient to carry the new second storey but went no further. Specifically, he did not carry out any tests or load calculations to determine whether the worry about which he speculated, had any basis. That portion of the work had been checked by a structural engineer prior to completion.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van Blankenstein's evidence was insufficient to show that the foundations were inadequate or failing or that there was systemic problems with the walls, roof or floors.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Retaining Walls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residence is accessed from Younette Drive by a brick paved driveway which traverses the lot east to west as it rises from street level to the parking area. There are four retaining walls below the driveway (Walls 1-4) and two major walls (Walls 5 and 6) and two series of minor walls above the driveway. There is also a retaining wall along the west property line and another along the breezeway between the house and garage.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majority of the retaining walls were constructed using mortared concrete masonry blocks (which are more typically used for building construction), bearing on re-enforced concrete footings.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With the exception of Wall 1 which was erected by a contractor, the walls were all built by Mr. Perthen himself between 1987 and 1992. He concedes that the walls were not designed using geotechnical and structural engineering procedures. They were built in an unconventional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van Blankenstein's essential conclusion was that all of the walls indicated failure to a greater or lesser extent and stated they did not comply with certain sections of the building code. Mr. van Blankenstein did not recommend complete demolition of the walls, although Helyar &amp; Associates estimated the cost of doing so. Mr. van Blankenstein advised the Cardwells to have a report prepared by a geotechnical engineer. The Cardwells chose not to do so before they decided to sell the property. It was only after they sold that they retained Louis Lui, a geotechnical engineer, to assess the integrity and design of the retaining walls.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Lui was qualified as an expert in his field at trial. He made three site visits and expressed his opinion in two separate reports. He observed distresses, cracks, movements (such as tilting) and deflections in most of the existing walls. Mr. Lui attributed those apparent deficiencies to be the likely result of poor design and/or construction defects. He noted that the non-uniform appearance and inconsistent workmanship of the walls were tell-tale signs that they were "owner-built".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Lui concluded that the visible cracks and distresses in Walls 3, 4, 5, and 6 indicated that they would require strengthening and major repair or complete reconstruction to improve structural integrity in order to meet current building codes, district by-laws and engineering industry standards, and to prevent failure. He did not observe any cracks in the retaining wall along the west property line but cautioned that it ought to be strengthened because sections of it stand in excess of 4 feet in height. The most compromised walls were 5 and 6 above the main driveway. Mr. Lui reported that the details concerning reinforcing of the footings of Wall 5 were unknown and he did not observe a footing at the base of Wall 6. Tapping of the blocks led him to infer that the cavities in some of the blocks of Wall 6 were hollow and not filled with concrete. He could not see a weep hole for drainage.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Mr. Lui testified that while the walls were not in good condition and could fail, he was not prepared to go so far as to say they were about to imminently collapse. He agreed that the walls presented no immediate safety concerns. Mr. Lui was not able to predict how long the walls might last and agreed it could be a day, six months, one year, or as much as fifteen to twenty years from now. It was established on cross-examination that his opinion that the walls violated certain building codes and by-laws was probably wrong and stemmed, it would seem, from confusion about the differing requirements of walls set within and those set without a specified property set back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defendants' geotechnical engineer expert, Mr. Hill, made the interesting point - which was not disputed - that walls less than four feet high are typically not required to be designed by a professional engineer. Except for Walls 5 and 6, the retaining walls were by and large at or under that four foot mark. Mr. Hill's inspection revealed that Walls 1 through 4 showed only minor cracking in the mortar with only one area of distress. Like Mr. Lui, he opined that Walls 1 to 4 are not in a state of imminent failure. Both experts expressed their opinions in late 2004, many years after the Spratt Report was penned.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Mr. Hill found that due to the low heights of Walls 1-4, the reinforced concrete construction of Wall 1 and the location of the walls on landscaped benches where the consequence of failure is minor, Walls 1-4 posed no safety hazard. Mr. Lui did not give a contrary opinion. Both experts agreed that Walls 5 and 6 were the most problematic and posed the highest risk of failure. Mr. Hill described Wall 5 as marginally stable and agreed that it may fail at some time in the future. Even so, he noted that there was little physical evidence of distress citing only three visible cracks along 36 metres of that wall. Mr. Hill observed evidence of bulging in some areas of Wall 6 but found there to be insufficient information to analyze the bulging to any greater degree. Another factor supporting Mr. Hill's opinion that failure of the walls was not imminent was the simple but compelling fact that they had already performed for between twelve to sixteen years, with some relatively minor work done by Mr. Bebek. Mr. Lui also acknowledged the importance of the factor of solid past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Neither expert advocated demolition and replacement of the walls as the only acceptable remedial measure. Mr. Hill suggested that in order to have a higher degree of confidence in the life expectancy of Walls 5 and 6, an owner should consider remedial work aimed at reinforcing them at some point in the future. According to Mr. Hill, setting up a simple monitoring system to identify lateral movement (if any) of Walls 5 and 6 should provide adequate warning of imminent collapse. Neither expert recommended that the walls be cordoned off or replaced immediately due to any safety concerns. Mrs. Cardwell was not advised to keep her distance.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It was common ground between these geotechnical experts, as well as Mr. van Blankenstein, that the cracks and other signs of distress of the walls were readily observable by visual inspection. In the Spratt Report, Mr. van Blankenstein says: "that Disclosure Statement confirms that the Owner was not aware of any structural problems with the premises, but I believe the failure of the retaining walls to be observable as they were quite apparent". He and Mr. Trundle had concluded that the walls were failing without conducting any destructive testing which further supports the fact that the perceived deficiencies were patent.</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Miscellaneous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According to Mr. van Blankenstein, the bell tower was in a dilapidated state due to vermin ingress and was incomplete with the southwest face unfinished, an unfinished roof and was dry walled only in the lower but not the upper level. The decorative tile was failing at its base. Mr. Perthen does not really dispute this but testified that the bell tower was intended to be an ornamental out building which he used for storage.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old garage was built to an appalling standard in Mr. van Blankenstein's eyes, but he did not do enough investigation to determine what remedial work had to be done to it. He stated that the new garage was totally unserviceable but on cross-examination, was unable to recollect just what it was that made it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Maki, a supervisor of inspections for the District who was involved in the inspection of the home when Mr. Perthen owned it, testified that as part of the inspection process the District does not examine the slab on grade; the inspectors look only at the form into which the foundation is cast. He was therefore unable to say whether the concrete slab on grade under the family room had been installed. Mr. Maki testified that they checked the work against the floor plans only and not the actual construction drawings. He further clarified that the District does not review all of the areas of construction. Apparently this practice has since been changed. Mr. Maki stated that the District does not examine the roof and that they "just can't know everything". He explained that the inspections are all meant to correlate to the type of permit applied for. In the Perthens' case, the inspector inspected the beams, studs, plumbing, electrical, framing, installation and vapour barrier under the drywall.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Kwan of the Engineering Firm testified that they had prepared the detailed drawings showing the slab on grade and vapour barrier in the master bedroom but did not ensure that the actual construction conformed in that regard to the plans. He testified that the sub-floor was not part of the structural element of the work. Mr. Kwan explained that the ambit of his retainer with Mr. Perthen was to review all structural design elements (e.g. beams, foundations for loading etc.) which he did. Review of the actual construction was not within the scope of his retainer. He did not inspect any of the retaining walls.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the late summer and fall of 2000, the Cardwells commissioned separate inspection reports about the electrical, mechanical and irrigation systems and testing for the level of indoor mold. In my view, many of the flaws identified in the reports pertaining to electrical and mechanical aspects are of no consequence in this case. I found also that Mr. Perthen was able to adequately explain a number of the criticisms raised. That is not to say that no genuine concerns were raised. However, nearly all of them were visible without destructive or intrusive testing. In this regard, I note that the electrical report explicitly states it is based on electrical systems "that were visible and accessible at the time of the inspection" and further states that it "assumes no responsibility for any wiring or electrical systems that were covered up, inaccessible or not obvious at the time of inspection". The report on the mechanical systems also makes clear it is based on a visual inspection. The only matter of any consequence raised by these two reports which would not have been visible when the Cardwells toured the property was that in the living room, loomex cables were run along the top of the floor joists with plywood flooring laid directly on top, whereas they are normally run through drilled holes in the joists. Even so, there was no cogent evidence that this deficiency posed any safety hazard to the occupants or otherwise had a negative impact on habitability.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Gindl of West Coast Safety was qualified as the plaintiffs' expert in occupational health and safety. He discovered the presence of a significant level of airborne mold in the premises. Mr. Gindl identified mold in the sub-floors of the master bedroom and family room, and in the dining room, the sitting room, master bathroom, and old garage. He believes that he also saw signs of mold in the stairwell but did not do sampling there so could not say for 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Mr. Gindl agreed that as a matter of common sense it would have been prudent to get rid of the mold timbers in the home but says he did not recommend removal of those joists to the Cardwells because no one was living there at the time so he did not consider it an immediate hazard. Mr. Gindl agreed that the longer the molded joists were exposed, the more likely the mold would spread into the air. He would not agree with the suggestion made by Mr. Perthen's counsel that the open floor in the master bedroom was the primary source of the mold.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carefully weighing the evidence, I have concluded that the Spratt Report conjures a deeply misleading impression of the true state of the property. I have already referred to a number of instances where Mr. van Blankenstein's criticisms were exaggerated or without factual foundation altogether. Those previously articulated examples do not amount to an exhaustive list. There were many instances in Mr. van Blankenstein's cross-examination where he attempted to resile from the recommendation in the Spratt Report that the house be torn down. In the end, he admitted that a wholesale demolition might not be required. Mr. van Blankenstein failed to distinguish between areas of the house that had simply gotten worn out (e.g. the flat roofs of the garage) from areas that are alleged to be constructed in a negligent manner. Allegations of shoddy workmanship are not put in perspective. While Mr. van Blankenstein agreed that the Spratt Report painted a very bleak picture of the situation for the Cardwells at the same time he agreed that the next step in the process would have been to conduct a more intrusive investigation. His inspection did not involve any destructive testing except for a hole put through the lower brick wall of the family room and in the ceiling between the family and living rooms.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It would appear that the standards applied by Mr. van Blankenstein in respect of a substantial number of identified shortcomings were whether the work had been carried out to a high standard for a residence of such cost and whether it re-presented best practices. Indeed, at the close of the unedited version of the Spratt Report originally provided to the Cardwells, it states that Helyar &amp; Associates' costings, which were based on the deficiencies highlighted by Mr. van Blankenstein, were for "remediation, to return 835 Younette Drive into a habitable residence to the high standard which Mr. and Mrs. Cardwell believed they purchased."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all the circumstances, I consider it unsafe to rely on much of the contents of the Spratt Report and give it little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The doctrine of caveat emptor, meaning "let the buyer beware", continues to endure with validity and effect in allocating responsibility between a vendor and purchaser in the context of the purchase and sale of real property. Its efficacy was confirmed by the Supreme Court of Canada in the leading case of Fraser-Reid v. Droumtsekas (1979), </w:t>
      </w:r>
      <w:hyperlink r:id="rId645" w:history="1">
        <w:r>
          <w:rPr>
            <w:rFonts w:ascii="arial" w:eastAsia="arial" w:hAnsi="arial" w:cs="arial"/>
            <w:i/>
            <w:color w:val="0077CC"/>
            <w:sz w:val="20"/>
            <w:u w:val="single"/>
            <w:shd w:val="clear" w:color="auto" w:fill="FFFFFF"/>
            <w:lang w:val="en-US" w:eastAsia="en-US" w:bidi="ar-SA"/>
          </w:rPr>
          <w:t>[1980] 1 S.C.R. 720</w:t>
        </w:r>
      </w:hyperlink>
      <w:r>
        <w:rPr>
          <w:rFonts w:ascii="arial" w:eastAsia="arial" w:hAnsi="arial" w:cs="arial"/>
          <w:color w:val="000000"/>
          <w:sz w:val="20"/>
          <w:lang w:val="en-US" w:eastAsia="en-US" w:bidi="ar-SA"/>
        </w:rPr>
        <w:t xml:space="preserve"> at 723, </w:t>
      </w:r>
      <w:hyperlink r:id="rId645" w:history="1">
        <w:r>
          <w:rPr>
            <w:rFonts w:ascii="arial" w:eastAsia="arial" w:hAnsi="arial" w:cs="arial"/>
            <w:i/>
            <w:color w:val="0077CC"/>
            <w:sz w:val="20"/>
            <w:u w:val="single"/>
            <w:shd w:val="clear" w:color="auto" w:fill="FFFFFF"/>
            <w:lang w:val="en-US" w:eastAsia="en-US" w:bidi="ar-SA"/>
          </w:rPr>
          <w:t>103 D.L.R. (3d) 385</w:t>
        </w:r>
      </w:hyperlink>
      <w:r>
        <w:rPr>
          <w:rFonts w:ascii="arial" w:eastAsia="arial" w:hAnsi="arial" w:cs="arial"/>
          <w:color w:val="000000"/>
          <w:sz w:val="20"/>
          <w:lang w:val="en-US" w:eastAsia="en-US" w:bidi="ar-SA"/>
        </w:rPr>
        <w:t xml:space="preserve"> [Fraser-Reid]: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the common law doctrine of caveat emptor has long ceased to play any significant part in the sale of goods, it has lost little of its pristine force in the sale of land. In 1931, a breach was created in the doctrine that the buyer must beware, with recognition by an English Court of an implied warranty of fitness for habitation in the sale of an </w:t>
      </w:r>
      <w:r>
        <w:rPr>
          <w:rFonts w:ascii="arial" w:eastAsia="arial" w:hAnsi="arial" w:cs="arial"/>
          <w:i/>
          <w:color w:val="000000"/>
          <w:sz w:val="20"/>
          <w:lang w:val="en-US" w:eastAsia="en-US" w:bidi="ar-SA"/>
        </w:rPr>
        <w:t>uncompleted</w:t>
      </w:r>
      <w:r>
        <w:rPr>
          <w:rFonts w:ascii="arial" w:eastAsia="arial" w:hAnsi="arial" w:cs="arial"/>
          <w:color w:val="000000"/>
          <w:sz w:val="20"/>
          <w:lang w:val="en-US" w:eastAsia="en-US" w:bidi="ar-SA"/>
        </w:rPr>
        <w:t xml:space="preserve"> house ... Otherwise, notwithstanding new methods of house merchandising and, in general, increased concern for consumer protection, caveat emptor remains a force to be reckoned with by the credulous or indolent purchaser of housing property. Lacking express warranties, he may be in difficulty because there is no implied warranty of fitness for human habitation upon the purchase of a house already completed at the time of sale. The rationale stems from the laissez-faire attitudes of the eighteenth and nineteenth centuries and the notion that a purchaser must fend for himself, seeking protection by express warranty or by independent examination of the premises. If he fails to do either, he is without remedy either at law or in equity in the absence of fraud or fundamental difference between that which was bargained for and that obtained.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Caveat emptor has been described as operating passively because the vendor need not do anything to inform himself about the state of the property being sold or the existence of any defects: that burden falls to the purchaser. A vendor therefore has no obligation to review the condition of the home in order to be able to describe to prospective purchasers which areas are worn out, in need of repair, were constructed in a shoddy fashion or to the highest standard. Partly for historical reasons and in part because the buyer is in the best position to determine the quality of the home he wishes to purchase, the law has put the onus on the purchaser to determine the state and quality of the property being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Although on its face caveat emptor appears to offer a vendor a complete defence to any claims made by a purchaser regarding defects in the property (absent specific contractual terms), the doctrine has been attenuated by a number of exceptions. Circumstances where caveat emptor will not operate to deny a plaintiff recovery were summarized by Bennett J. in McCluskie v. Reynolds </w:t>
      </w:r>
      <w:hyperlink r:id="rId646" w:history="1">
        <w:r>
          <w:rPr>
            <w:rFonts w:ascii="arial" w:eastAsia="arial" w:hAnsi="arial" w:cs="arial"/>
            <w:i/>
            <w:color w:val="0077CC"/>
            <w:sz w:val="20"/>
            <w:u w:val="single"/>
            <w:shd w:val="clear" w:color="auto" w:fill="FFFFFF"/>
            <w:lang w:val="en-US" w:eastAsia="en-US" w:bidi="ar-SA"/>
          </w:rPr>
          <w:t>(1998), 65 B.C.L.R. (3d) 191</w:t>
        </w:r>
      </w:hyperlink>
      <w:r>
        <w:rPr>
          <w:rFonts w:ascii="arial" w:eastAsia="arial" w:hAnsi="arial" w:cs="arial"/>
          <w:color w:val="000000"/>
          <w:sz w:val="20"/>
          <w:lang w:val="en-US" w:eastAsia="en-US" w:bidi="ar-SA"/>
        </w:rPr>
        <w:t xml:space="preserve">, </w:t>
      </w:r>
      <w:hyperlink r:id="rId646" w:history="1">
        <w:r>
          <w:rPr>
            <w:rFonts w:ascii="arial" w:eastAsia="arial" w:hAnsi="arial" w:cs="arial"/>
            <w:i/>
            <w:color w:val="0077CC"/>
            <w:sz w:val="20"/>
            <w:u w:val="single"/>
            <w:shd w:val="clear" w:color="auto" w:fill="FFFFFF"/>
            <w:lang w:val="en-US" w:eastAsia="en-US" w:bidi="ar-SA"/>
          </w:rPr>
          <w:t>19 R.P.R. (3d) 218</w:t>
        </w:r>
      </w:hyperlink>
      <w:r>
        <w:rPr>
          <w:rFonts w:ascii="arial" w:eastAsia="arial" w:hAnsi="arial" w:cs="arial"/>
          <w:color w:val="000000"/>
          <w:sz w:val="20"/>
          <w:lang w:val="en-US" w:eastAsia="en-US" w:bidi="ar-SA"/>
        </w:rPr>
        <w:t xml:space="preserve"> at para. 53 (S.C.) [McCluskie]:</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vendor fraudulently misrepresents or conceals;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vendor knows of a latent defect rendering the house unfit for human habitation;</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vendor is reckless as to the truth or falsity of statements relating to the fitness of the house for habitation;</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vendor has breached his duty to disclose a latent defect which renders the premises dangerous.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The distinction between patent and latent defects is central to a vendor's obligation of disclosure under the doctrine. Patent defects are those that can be discovered by conducting a reasonable inspection and making reasonable inquiries about the property. The authorities provide some guidance about the extent of the purchaser's obligation to inspect and make inquiries. The extent of that obligation is, in some respects, the demarcation of the distinction between latent and patent defects. In general, there is a fairly high onus on the purchaser to inspect and discover patent defects. This means that a defect which might not be observable on a casual inspection may nonetheless be patent if it would have been discoverable upon a reasonable inspection by a qualified person: 44601 B.C. Ltd. v. Ashcroft (Village), </w:t>
      </w:r>
      <w:hyperlink r:id="rId647" w:history="1">
        <w:r>
          <w:rPr>
            <w:rFonts w:ascii="arial" w:eastAsia="arial" w:hAnsi="arial" w:cs="arial"/>
            <w:i/>
            <w:color w:val="0077CC"/>
            <w:sz w:val="20"/>
            <w:u w:val="single"/>
            <w:shd w:val="clear" w:color="auto" w:fill="FFFFFF"/>
            <w:lang w:val="en-US" w:eastAsia="en-US" w:bidi="ar-SA"/>
          </w:rPr>
          <w:t>[1998] B.C.J. No. 1964</w:t>
        </w:r>
      </w:hyperlink>
      <w:r>
        <w:rPr>
          <w:rFonts w:ascii="arial" w:eastAsia="arial" w:hAnsi="arial" w:cs="arial"/>
          <w:color w:val="000000"/>
          <w:sz w:val="20"/>
          <w:lang w:val="en-US" w:eastAsia="en-US" w:bidi="ar-SA"/>
        </w:rPr>
        <w:t xml:space="preserve"> (S.C.) [Ashcroft]; Bernstein v. James Dobney &amp; Associates, </w:t>
      </w:r>
      <w:hyperlink r:id="rId648" w:history="1">
        <w:r>
          <w:rPr>
            <w:rFonts w:ascii="arial" w:eastAsia="arial" w:hAnsi="arial" w:cs="arial"/>
            <w:i/>
            <w:color w:val="0077CC"/>
            <w:sz w:val="20"/>
            <w:u w:val="single"/>
            <w:shd w:val="clear" w:color="auto" w:fill="FFFFFF"/>
            <w:lang w:val="en-US" w:eastAsia="en-US" w:bidi="ar-SA"/>
          </w:rPr>
          <w:t>[2003] B.C.J. No. 1495</w:t>
        </w:r>
      </w:hyperlink>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2003 BCSC 986</w:t>
        </w:r>
      </w:hyperlink>
      <w:r>
        <w:rPr>
          <w:rFonts w:ascii="arial" w:eastAsia="arial" w:hAnsi="arial" w:cs="arial"/>
          <w:color w:val="000000"/>
          <w:sz w:val="20"/>
          <w:lang w:val="en-US" w:eastAsia="en-US" w:bidi="ar-SA"/>
        </w:rPr>
        <w:t xml:space="preserve"> [Bernstein]. In some cases, it necessitates a purchaser retaining the appropriate experts to inspect the property (see for example Eberts v. Aitchison </w:t>
      </w:r>
      <w:hyperlink r:id="rId649" w:history="1">
        <w:r>
          <w:rPr>
            <w:rFonts w:ascii="arial" w:eastAsia="arial" w:hAnsi="arial" w:cs="arial"/>
            <w:i/>
            <w:color w:val="0077CC"/>
            <w:sz w:val="20"/>
            <w:u w:val="single"/>
            <w:shd w:val="clear" w:color="auto" w:fill="FFFFFF"/>
            <w:lang w:val="en-US" w:eastAsia="en-US" w:bidi="ar-SA"/>
          </w:rPr>
          <w:t>(2000), 4 C.L.R. (3d) 248</w:t>
        </w:r>
      </w:hyperlink>
      <w:r>
        <w:rPr>
          <w:rFonts w:ascii="arial" w:eastAsia="arial" w:hAnsi="arial" w:cs="arial"/>
          <w:color w:val="000000"/>
          <w:sz w:val="20"/>
          <w:lang w:val="en-US" w:eastAsia="en-US" w:bidi="ar-SA"/>
        </w:rPr>
        <w:t xml:space="preserve">, </w:t>
      </w:r>
      <w:hyperlink r:id="rId649" w:history="1">
        <w:r>
          <w:rPr>
            <w:rFonts w:ascii="arial" w:eastAsia="arial" w:hAnsi="arial" w:cs="arial"/>
            <w:i/>
            <w:color w:val="0077CC"/>
            <w:sz w:val="20"/>
            <w:u w:val="single"/>
            <w:shd w:val="clear" w:color="auto" w:fill="FFFFFF"/>
            <w:lang w:val="en-US" w:eastAsia="en-US" w:bidi="ar-SA"/>
          </w:rPr>
          <w:t>2000 BCSC 1103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In Tony's Broadloom &amp; Floor Covering Ltd. v. NMC Canada Inc. </w:t>
      </w:r>
      <w:r>
        <w:rPr>
          <w:rFonts w:ascii="arial" w:eastAsia="arial" w:hAnsi="arial" w:cs="arial"/>
          <w:i/>
          <w:color w:val="000000"/>
          <w:sz w:val="20"/>
          <w:lang w:val="en-US" w:eastAsia="en-US" w:bidi="ar-SA"/>
        </w:rPr>
        <w:t>(1996), 141 D.L.R. (4th) 394</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6 R.P.R. (3d) 143</w:t>
      </w:r>
      <w:r>
        <w:rPr>
          <w:rFonts w:ascii="arial" w:eastAsia="arial" w:hAnsi="arial" w:cs="arial"/>
          <w:color w:val="000000"/>
          <w:sz w:val="20"/>
          <w:lang w:val="en-US" w:eastAsia="en-US" w:bidi="ar-SA"/>
        </w:rPr>
        <w:t xml:space="preserve"> at para 19, the Ontario Court of Appeal noted that the plaintiff, the purchaser of contaminated industrial lands, could have determined that the land was contaminated prior to purchase: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I am wrong and the presence of the contaminant was a defect, I agree with the conclusion of White J. (at pp. 35-37) that the defect was a patent one. It would have been readily discoverable by the appellants had they exercised reasonable vigilance in the circumstances. In deciding whether the appellants exercised reasonable vigilance, it must be remembered that the appellants were buying industrial land on which they proposed to build a residential condominium. A reasonable inspection of the property, reasonable inquiries of the respondents, reasonable inquiries of the local and provincial authorities would have put the appellants on notice of the existence of the contaminant. Indeed, had the appellants pursued the taking of soil samples with reasonable diligence after the respondents had permitted them to take those samples, they would have learned of the existence of the contaminant before closing. Instead, the appellants chose not to disclose their intended use of the property and to take no steps to satisfy themselves that the property could be used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Bernstein the court found at para. 9, that the rot in the structure was a patent defect at the time of sale because it was readily discoverable due to "suspicions that arose from the presence of visible cracks, discolorations, patching and staining on columns and beams on the interior of the house". At para. 17 Stromberg-Stein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authority Khaira v. Nelson </w:t>
      </w:r>
      <w:hyperlink r:id="rId650" w:history="1">
        <w:r>
          <w:rPr>
            <w:rFonts w:ascii="arial" w:eastAsia="arial" w:hAnsi="arial" w:cs="arial"/>
            <w:i/>
            <w:color w:val="0077CC"/>
            <w:sz w:val="20"/>
            <w:u w:val="single"/>
            <w:shd w:val="clear" w:color="auto" w:fill="FFFFFF"/>
            <w:lang w:val="en-US" w:eastAsia="en-US" w:bidi="ar-SA"/>
          </w:rPr>
          <w:t>(2002), 1 R.P.R. (4th) 76</w:t>
        </w:r>
      </w:hyperlink>
      <w:r>
        <w:rPr>
          <w:rFonts w:ascii="arial" w:eastAsia="arial" w:hAnsi="arial" w:cs="arial"/>
          <w:color w:val="000000"/>
          <w:sz w:val="20"/>
          <w:lang w:val="en-US" w:eastAsia="en-US" w:bidi="ar-SA"/>
        </w:rPr>
        <w:t xml:space="preserve"> (B.C.S.C.), </w:t>
      </w:r>
      <w:hyperlink r:id="rId650" w:history="1">
        <w:r>
          <w:rPr>
            <w:rFonts w:ascii="arial" w:eastAsia="arial" w:hAnsi="arial" w:cs="arial"/>
            <w:i/>
            <w:color w:val="0077CC"/>
            <w:sz w:val="20"/>
            <w:u w:val="single"/>
            <w:shd w:val="clear" w:color="auto" w:fill="FFFFFF"/>
            <w:lang w:val="en-US" w:eastAsia="en-US" w:bidi="ar-SA"/>
          </w:rPr>
          <w:t>2002 BCSC 1045</w:t>
        </w:r>
      </w:hyperlink>
      <w:r>
        <w:rPr>
          <w:rFonts w:ascii="arial" w:eastAsia="arial" w:hAnsi="arial" w:cs="arial"/>
          <w:color w:val="000000"/>
          <w:sz w:val="20"/>
          <w:lang w:val="en-US" w:eastAsia="en-US" w:bidi="ar-SA"/>
        </w:rPr>
        <w:t xml:space="preserve"> provides that there is no duty on the part of a vendor to disclose patent defects to the purchasers, patent defects being those which are discoverable by conducting a reasonable inspection of the premises and making reasonable inquiries into its qualities. In the case of patent defects, the rule of caveat emptor strictly applies. It is also the case that a purchaser will be held to a fairly high standard of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the Khaira case cited by the court in Bernstein, the defect complained of was a slope of some twelve inches across the width of a house of forty-eight feet. The court concluded that the defective slope was patent because it was visible to the eye on a reasonable inspection, and accordingly, the vendor was not obligated to bring it to the purchaser's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In Bracic v. Prior </w:t>
      </w:r>
      <w:hyperlink r:id="rId651" w:history="1">
        <w:r>
          <w:rPr>
            <w:rFonts w:ascii="arial" w:eastAsia="arial" w:hAnsi="arial" w:cs="arial"/>
            <w:i/>
            <w:color w:val="0077CC"/>
            <w:sz w:val="20"/>
            <w:u w:val="single"/>
            <w:shd w:val="clear" w:color="auto" w:fill="FFFFFF"/>
            <w:lang w:val="en-US" w:eastAsia="en-US" w:bidi="ar-SA"/>
          </w:rPr>
          <w:t>(2003), 7 R.P.R. (4th) 262</w:t>
        </w:r>
      </w:hyperlink>
      <w:r>
        <w:rPr>
          <w:rFonts w:ascii="arial" w:eastAsia="arial" w:hAnsi="arial" w:cs="arial"/>
          <w:color w:val="000000"/>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2003 BCSC 106</w:t>
        </w:r>
      </w:hyperlink>
      <w:r>
        <w:rPr>
          <w:rFonts w:ascii="arial" w:eastAsia="arial" w:hAnsi="arial" w:cs="arial"/>
          <w:color w:val="000000"/>
          <w:sz w:val="20"/>
          <w:lang w:val="en-US" w:eastAsia="en-US" w:bidi="ar-SA"/>
        </w:rPr>
        <w:t xml:space="preserve"> at para. 45, Warren J. found that water ingress into the basement of a home possibly caused by the lack of a perimeter drainage system was a patent defect: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in contract requires that she establish a defect and, once established, it must be determined whether the defect is latent or patent. There is no remedy at law for a patent defect and the rule of caveat emptor is still the law. [Citations omitted]. The defect alleged by the plaintiff is the lack of a perimeter drainage system, but the plaintiff has not proven there was no perimeter drainage system. Even if there were no such system it would not be a defect as the home did not require such a system at the time it was constructed. In any event, it was patently obvious that the down spouts emptied onto the ground and everyone, including the plaintiff and her realtor saw that. Further enquiries could have addressed any concerns the plaintiff may have had, but none were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Latent defects - being ones which are not discoverable by observation and reasonable inquiry - are treated differently. A vendor who is aware of and fails to disclose and/or conceals or makes non-innocent misrepresentations with regard to a latent defect may well become liable to the purchaser for damages suffered as a result of that latent defect. This principle is sound because, unlike a patent defect, a latent defect is not discoverable by a purchaser on appropriate inquiries and inspection and thus, as a matter of fairness in the commercial transaction, the obligation to disclose and to not misrepresent will rest with the party who knows about the deficiency.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Every imperfection or deficiency which a reasonably careful inspection and inquiry will not reveal cannot amount to a latent defect of the kind capable of displacing the doctrine of caveat emptor. In order to qualify as such, the defect must carry with it a consequence of substance; that is, it must be of such a nature as to render the house uninhabitable or dangerous: McCluskie. Beyond that, the vendor has no obligation to disparage his own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It is clear that subjective knowledge of an undisclosed latent defect which may be dangerous or make the property uninhabitable is sufficient to negate a vendor's defence of caveat emptor. In McCluskie at para. 54, Bennett J. suggests that something less than actual knowledge may be sufficient to ground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conclusion, I find that although the law of vendor and purchaser has long relied on the principal of caveat emptor to distribute losses in real estate cases, the rule is not without exception. Two major exceptions are in the case of fraud, and in cases where the vendor is aware of latent defects which he does not disclose. The law also supports the imposition of a duty to disclose latent defects on the vendor where he is not subjectively aware of those defects, but where he is reckless as to whether or not they exist. It is up to the plaintiff to prove this degree of knowledge or recklessness.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Bennett J. came to this conclusion after reviewing a number of authorities which suggested that a reckless disregard of the existence of a latent defect would be sufficient to establish liability. In particular her Ladyship, at para. 50, cited a decision of the Ontario Court of Appeal: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McGrath v. MacLean </w:t>
      </w:r>
      <w:hyperlink r:id="rId652" w:history="1">
        <w:r>
          <w:rPr>
            <w:rFonts w:ascii="arial" w:eastAsia="arial" w:hAnsi="arial" w:cs="arial"/>
            <w:i/>
            <w:color w:val="0077CC"/>
            <w:sz w:val="20"/>
            <w:u w:val="single"/>
            <w:shd w:val="clear" w:color="auto" w:fill="FFFFFF"/>
            <w:lang w:val="en-US" w:eastAsia="en-US" w:bidi="ar-SA"/>
          </w:rPr>
          <w:t>(1979), 22 O.R. (2d) 784</w:t>
        </w:r>
      </w:hyperlink>
      <w:r>
        <w:rPr>
          <w:rFonts w:ascii="arial" w:eastAsia="arial" w:hAnsi="arial" w:cs="arial"/>
          <w:color w:val="000000"/>
          <w:sz w:val="20"/>
          <w:lang w:val="en-US" w:eastAsia="en-US" w:bidi="ar-SA"/>
        </w:rPr>
        <w:t xml:space="preserve"> (Ont. C.A.), Dubin J.A., speaking for the majority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prepared to assume that, in an appropriate case, a vendor may be liable to a purchaser with respect to premises which are not new if he knows of a latent defect which renders the premises unfit for habitation ... in such a case it is incumbent upon the purchaser to establish that the latent defect was known to the vendor, or that the circumstances were such that it could be said that the vendor was guilty of concealment or a reckless disregard of the truth or falsity of any representations made by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It strikes me as sensible and fair that a vendor ought not to escape liability in a situation where he is reckless as to whether or not certain latent deficiencies exist that would render the property dangerous or uninhabitable. This is especially the case where, as here, the vendor was also the chief builder, operated a successful building design business for many years and had run a property management business for 25 years in which he periodically encountered defective building issues such as building envelope failings.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my opinion, the sub-floors of the family room, master bedroom and master ensuite bathroom clearly had latent defects negatively affecting the habitability of the premises. Although Mr. Perthen testified credibly in some aspects, he also demonstrated a willingness to be dishonest about the scope of his involvement in the enlargement of the living room space and about his understanding as to whether he required a building permit for his initial interior renovations. In light of his impaired credibility and given that he was hardly unsophisticated in relation to construction matters, I conclude that, despite his denial, he knew full well at the time of sale and when he had constructed the sub-floors in the family room, master bedroom and master ensuite defectively, and that he knew or was utterly reckless as to whether his sub-standard construction would cause moisture, rot and mold problems rendering the home unfit for human habitation and, as to the mold, unsafe.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 Perthen admitted to having experienced leak troubles in two spots in the past: one of the skylight areas and between the living and family room. Those areas continued to leak when the Cardwells owned the home and when Mr. Bebek was in possession and at least one such leak continued when the McLoughlins had possession. Although the evidence does not establish on balance that Mr. Perthen actively concealed any water mark stains or other outward indications of leakage, I do not accept that he knew of no leaking occurring when he sold the property to the Cardwells. It strikes me as inconceivable that the leaks in the roof, including those previously experienced by Mr. Perthen, suddenly manifested when the Cardwells took possession and continued during Mr. Bebek's possession and, to a lesser extent, when the McLoughlins bought. I conclude that from time to time Mr. Perthen experienced, at a minimum, leaks in the roof at a skylight area and between the living and family rooms. They were problematic, persistent leaks. He knew or was reckless about whether these leaks would bring mold into the premises. In my estimation, these leaks did not consist of water streaming through in any obvious way and therefore would not have necessarily been noticeable by his employee, Ms. Angela Uruski, who worked from Mr. Perthen's home office, and testified she saw no signs of leaking.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my view, the remainder of the deficiencies complained of by the Cardwells could have been discoverable upon a reasonable inspection and making reasonable inquiries. As mentioned earlier, an exception to this is the loomex cables resting on top of the joists of the living rooms sub-floor. However, there was no evidence such wiring made the premises unsafe or uninhabitable. Many of the so-called defects more accurately amount to poor observations of workmanship falling below the high quality standard Mr. van Blankenstein expected of such an expensive residence. Mr. van Blankenstein repeatedly noted that the areas of work he was criticizing were visible: a point he demonstrated with force in his video. The Cardwells' geotechnical engineer, Mr. Lui, admitted that the cracks in the landscaping retaining walls would have put him on notice that there may be a reason for concern. One of the most compromised of the walls was Wall 5 which ran along side of the driveway and plainly observable to all who used that access to the property including Mrs. Cardwell. I reject the contention that bushes and overgrown vegetation obscured the view of the retaining walls to the extent of converting otherwise patently visible deficiencies into concealed, latent ones. The poor shape of the hot tub could have been easily discovered and, by Mr. van Blankenstein's own evidence, so too could the exterior brick wall of the family room and most of the roofs.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Cardwells contend that in reliance on certain alleged misrepresentations made to them by Mr. Perthen, they were induced to enter the contract and did not have an inspection conducted. What bearing does the Cardwells' decision to forego obtaining a property inspection have in relation to the legal principles at play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In Queen v. Cognos Inc., </w:t>
      </w:r>
      <w:hyperlink r:id="rId653"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99 D.L.R. (4th) 626</w:t>
        </w:r>
      </w:hyperlink>
      <w:r>
        <w:rPr>
          <w:rFonts w:ascii="arial" w:eastAsia="arial" w:hAnsi="arial" w:cs="arial"/>
          <w:color w:val="000000"/>
          <w:sz w:val="20"/>
          <w:lang w:val="en-US" w:eastAsia="en-US" w:bidi="ar-SA"/>
        </w:rPr>
        <w:t>, the Supreme Court of Canada definitively summarized the five general requirements for imposing liability for negligent representations: (1) there must be a duty of care based on a "special relationship" between the representor and the representee; (2) the representation in question must be untrue, inaccurate, or misleading; (3) the representor must have acted negligently in making said representation; (4) the representee must have relied, in a reasonable manner, on the said negligent misrepresentation; and (5) the reliance must have been detrimental to the representee in the sense that damages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In Hercules Managements Ltd. v. Ernst &amp; Young, </w:t>
      </w:r>
      <w:hyperlink r:id="rId654" w:history="1">
        <w:r>
          <w:rPr>
            <w:rFonts w:ascii="arial" w:eastAsia="arial" w:hAnsi="arial" w:cs="arial"/>
            <w:i/>
            <w:color w:val="0077CC"/>
            <w:sz w:val="20"/>
            <w:u w:val="single"/>
            <w:shd w:val="clear" w:color="auto" w:fill="FFFFFF"/>
            <w:lang w:val="en-US" w:eastAsia="en-US" w:bidi="ar-SA"/>
          </w:rPr>
          <w:t>[1997] 2 S.C.R. 165</w:t>
        </w:r>
      </w:hyperlink>
      <w:r>
        <w:rPr>
          <w:rFonts w:ascii="arial" w:eastAsia="arial" w:hAnsi="arial" w:cs="arial"/>
          <w:color w:val="000000"/>
          <w:sz w:val="20"/>
          <w:lang w:val="en-US" w:eastAsia="en-US" w:bidi="ar-SA"/>
        </w:rPr>
        <w:t xml:space="preserve">, </w:t>
      </w:r>
      <w:hyperlink r:id="rId654" w:history="1">
        <w:r>
          <w:rPr>
            <w:rFonts w:ascii="arial" w:eastAsia="arial" w:hAnsi="arial" w:cs="arial"/>
            <w:i/>
            <w:color w:val="0077CC"/>
            <w:sz w:val="20"/>
            <w:u w:val="single"/>
            <w:shd w:val="clear" w:color="auto" w:fill="FFFFFF"/>
            <w:lang w:val="en-US" w:eastAsia="en-US" w:bidi="ar-SA"/>
          </w:rPr>
          <w:t>146 D.L.R. (4th) 577</w:t>
        </w:r>
      </w:hyperlink>
      <w:r>
        <w:rPr>
          <w:rFonts w:ascii="arial" w:eastAsia="arial" w:hAnsi="arial" w:cs="arial"/>
          <w:color w:val="000000"/>
          <w:sz w:val="20"/>
          <w:lang w:val="en-US" w:eastAsia="en-US" w:bidi="ar-SA"/>
        </w:rPr>
        <w:t>, the Supreme Court elaborated that the duty of care is based generally on "foreseeable reasonable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According to Mrs. Cardwell, the "representations" consist of:</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Perthen making available for review the Engineering Firm's April 3, 1991 letter;</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Perthen stating that an engineer had been involved in the construction and that he had obtained permits from the District and making available for review, the final approval issued by the District;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Perthen stating that renovating his home had been a "labour of love" and he was proud of it;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Perthen describing himself as an engineer;</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contents of the Disclosure Statement;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Perthen stating the renovations had been done to a very high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statements referenced in items 1 through 3 were neither false nor mis-leading. As such they cannot form part of the misrepresentation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 have found that Mr. Perthen casually mentioned to the Cardwells that he was an engineer. The evidence by no means establishes that he emphasized the point, connected it to any representation about the quality of the home or made it in response to any pointed inquiries of the Cardwells concerning the quality of the home. His representation was completely untrue and I have little trouble in finding that Mr. Perthen was negligent in representing himself as such.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Among other things, the Disclosure Statement indicated "no" to the following questions:</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you aware of any roof leakage or unrepaired damage.</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you aware of any structural problems with the premises or other buildings on the property.</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you aware of any problems with the plumbing or electrical systems.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you aware of any encroachments, unregistered easements or unregistered rights of way.</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you aware of any problems with swimming pool and/or hot tub.</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Are you aware of any additions or alterations made without a required permit.</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Are you aware of any infestation by insects or rodents.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 well, the Disclosure Statement indicated the answers "no" and "does not apply" to the question: "Are you aware of any moisture and/or water problems in the basement or crawl 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There is no doubt there were inaccuracies in the Disclosure Statement. Some of them were discussed and clarified among the parties before the Cardwells made their offer to purchase, such as the matter of the old garage encroaching on the neighbour's property and the reason the roof was shown as being three years old. I accept Mr. Perthen's explanation that he did not consider the small crawlspace underneath some of the sub-floors - a space so small even a cat would have difficulty accessing it - to amount to a crawl space of the kind contemplated in the Disclosure Statement and for that reason answered as he did. It was to my mind accurate to answer as he did the question about alterations being made without a permit as his unauthorized works were largely or completely subsumed under a separate subsequently issued permit. In that the electrical wires around the hot tub did not appear to be grounded, I conclude that the Disclosure Statement was inaccurate in indicating no problems with the electrical system. It was similarly inaccurate to note a lack of awareness of any roof leakage. While Mr. Perthen testified that he was aware that rodents liked to nest and climb about in his kiwi vines, it was not established that he had any awareness of any actual infestation of rodents in the bell tower.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Not only is the notion of reliance the foundation for establishing the duty of care, it is also material to the issue of causation in a claim for negligent misrepresentation. It is in establishing factual reliance in this context and inducement to enter the contract where the Cardwells' claim based on negligent and fraudulent misrepresentation runs into an insurmountable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Mrs. Cardwell's evidence fell short of demonstrating that the inaccurate contents of the Disclosure Statement induced the Cardwells to enter into the contract or that they relied on it in reaching the decision to do without a proper inspection. And their conduct suggests otherwise. Neither she nor her real estate agent asked for a copy of it at the second meeting and more importantly, although it was open to them to do so, the Cardwells did not incorporate the Disclosure Statement into the terms of the contract of purchase and sale even though they were foregoing an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In her evidence, Mrs. Cardwell did not place much emphasis of having relied on Mr. Perthen's self-description as an engineer. Nor did she give evidence to the effect that Mr. Perthen stated that the house was built to a high standard. Her evidence was that Mr. Perthen advised her that the renovations were his labour of love and that it was clear he was very proud of his home. The evidence does not show that Mr. Perthen said anything that would amount to a representation that the house had been built to any particular standard. This is a case where the Cardwells drew their own conclusions about the quality of workmanship.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Mrs. Cardwell testified that the two factors influencing the decision not to proceed with an inspection were that (i) the renovations had involved engineers and had been inspected by the District; and (ii) the belief, based on past experience, that there was a limit to what a home inspection could accomplish since nothing destructive could be done to examine the structure of a home. According to Mrs. Cardwell, she and her husband reasoned that an inspection would add little to the involvement of engineers and city inspections which had occurred when the renovations were ongoing. I am persuaded that a third compelling factor was that the Cardwells wished to secure the home at the lowest possible price by submitting a "clean offer": The preponderance of the evidence shows that it was these factors which caused the Cardwells to forego an inspection and make a "clean offer". Mrs. Cardwell mentioned further in cross-examination that the feature sheet describing the many quality features of "Hacienda Del Norte" also played a role. Those features were not false or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To the extent that the Cardwells placed any degree of reliance on Mr. Perthen's misrepresentation that he was an engineer, I consider such reliance to be completely unreasonable in the circumstances. In my view, what is reasonable in this context is informed in part by reference to a purchaser's obligations of inspection under the doctrine of caveat emptor. As stated earlier a relatively high standard of inspection and diligence is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In summary, I conclude there was no misrepresentation made by Mr. Perthen upon which the Cardwells can be said to have reasonably relied in choosing not to bother with an inspection or otherwise inducing them to enter the contract of purchase and sale. Accordingly, the claims of fraudulent and negligent misrepresentation are not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It is sometimes said that the ordinary rule of caveat emptor does not apply in the case of an incomplete house and that, in such instances, there is an implied warranty that the house be fit for habitation. This is an oversimplification of the rule in that it suggests that in every case where a house is "incomplete" in a physical sense, a warranty of fitness will arise. As will be seen, that suggestion is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Put generally, a newly constructed house which is not complete when the time the contract of purchase and sale is concluded is subject to an implied warranty. Strata Plan NW 2294 v. Oak Tree Construction Inc. </w:t>
      </w:r>
      <w:hyperlink r:id="rId655" w:history="1">
        <w:r>
          <w:rPr>
            <w:rFonts w:ascii="arial" w:eastAsia="arial" w:hAnsi="arial" w:cs="arial"/>
            <w:i/>
            <w:color w:val="0077CC"/>
            <w:sz w:val="20"/>
            <w:u w:val="single"/>
            <w:shd w:val="clear" w:color="auto" w:fill="FFFFFF"/>
            <w:lang w:val="en-US" w:eastAsia="en-US" w:bidi="ar-SA"/>
          </w:rPr>
          <w:t>(1994), 93 B.C.L.R. (2d) 50</w:t>
        </w:r>
      </w:hyperlink>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[1994] 8 W.W.R. 49</w:t>
        </w:r>
      </w:hyperlink>
      <w:r>
        <w:rPr>
          <w:rFonts w:ascii="arial" w:eastAsia="arial" w:hAnsi="arial" w:cs="arial"/>
          <w:color w:val="000000"/>
          <w:sz w:val="20"/>
          <w:lang w:val="en-US" w:eastAsia="en-US" w:bidi="ar-SA"/>
        </w:rPr>
        <w:t>, (C.A.). [Oak Tree]. The implied warranty is three-fold:</w:t>
      </w:r>
      <w:r>
        <w:rPr>
          <w:rFonts w:ascii="arial" w:eastAsia="arial" w:hAnsi="arial" w:cs="arial"/>
          <w:sz w:val="20"/>
          <w:lang w:val="en-US" w:eastAsia="en-US" w:bidi="ar-SA"/>
        </w:rPr>
        <w:cr/>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house will be reasonably fit for habitation;</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work, including the work done before execution of the contract, will be performed in a good and workmanlike manner, and;</w:t>
      </w:r>
    </w:p>
    <w:p>
      <w:pPr>
        <w:numPr>
          <w:numId w:val="2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vendor will provide good and proper materials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(Liddell) v. Van-City Electric Ltd., </w:t>
      </w:r>
      <w:hyperlink r:id="rId656" w:history="1">
        <w:r>
          <w:rPr>
            <w:rFonts w:ascii="arial" w:eastAsia="arial" w:hAnsi="arial" w:cs="arial"/>
            <w:i/>
            <w:color w:val="0077CC"/>
            <w:sz w:val="20"/>
            <w:u w:val="single"/>
            <w:shd w:val="clear" w:color="auto" w:fill="FFFFFF"/>
            <w:lang w:val="en-US" w:eastAsia="en-US" w:bidi="ar-SA"/>
          </w:rPr>
          <w:t>[1992] B.C.J. No. 2074</w:t>
        </w:r>
      </w:hyperlink>
      <w:r>
        <w:rPr>
          <w:rFonts w:ascii="arial" w:eastAsia="arial" w:hAnsi="arial" w:cs="arial"/>
          <w:color w:val="000000"/>
          <w:sz w:val="20"/>
          <w:lang w:val="en-US" w:eastAsia="en-US" w:bidi="ar-SA"/>
        </w:rPr>
        <w:t xml:space="preserve"> (S.C.) aff'd by </w:t>
      </w:r>
      <w:hyperlink r:id="rId657" w:history="1">
        <w:r>
          <w:rPr>
            <w:rFonts w:ascii="arial" w:eastAsia="arial" w:hAnsi="arial" w:cs="arial"/>
            <w:i/>
            <w:color w:val="0077CC"/>
            <w:sz w:val="20"/>
            <w:u w:val="single"/>
            <w:shd w:val="clear" w:color="auto" w:fill="FFFFFF"/>
            <w:lang w:val="en-US" w:eastAsia="en-US" w:bidi="ar-SA"/>
          </w:rPr>
          <w:t>(1994) 91 B.C.L.R. (2d) 331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warranty does not apply to work already completed before execution of the contract of purchase and sale and visible on inspection about which the purchaser does not complain at the time of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Whether or not a house is complete is a question of fact: Oak Tree. This criterion has been widely criticized as being irrational because it produces incongruous results depending on whether the "magic moment" of completion has or has not occurred. Many scenarios are capable of illustrating this irrationality. In Fraser-Reid Dickson J. provided these examples at 729: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same time, it must be observed that the decided English and Canadian cases in this area point out the irrationality and odd results derived from the rigid "completed/incomplete" distinction. Take the case of a prospective home buyer who views a model home in a sub-division development and decides to buy a house yet to be built on a lot in that subdivision. In his case, the Courts will be willing to imply a warranty as to fitness for habitation and workmanship. But the unfortunate who buys the "show" home is without warranty, even if both models reveal the same structural defects. Or, take the case of the buyer who enters into a contract for a home that is "99 per cent complete". The Courts will imply a warranty: Perry v. Sharon Dev. Co., [1937] 4 All E.R. 390 (C.A.). Had the contract been entered into the next day, when the work was completed, there is no warranty. One can easily multiply the incongruities.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Despite the irrationality, the Court in Fraser-Reid, and in numerous Court of Appeal decisions following it, including Oak Tree, have declined to extend the warranty to a completed home. There appears to be judicial consensus with the sentiment expressed by Dickson J. in Fraser-Reid that any tampering with the doctrine is best left to legislative intervention given the potential far-reaching impact such a change would have on the home building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In my opinion, the authorities clearly support another critical limitation of the doctrine. That limitation is that the rule is restricted to newly constructed homes only; used homes which have been previously occupied, even those which have undergone extensive renovations by the vendor, are not subject to an implied warranty.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Expression of the notion that the implied warranty only applies to newly constructed homes can be found by the words used to describe the warranty in a many cases such as Trimble Hill Properties Ltd. v. Zaharko </w:t>
      </w:r>
      <w:hyperlink r:id="rId658" w:history="1">
        <w:r>
          <w:rPr>
            <w:rFonts w:ascii="arial" w:eastAsia="arial" w:hAnsi="arial" w:cs="arial"/>
            <w:i/>
            <w:color w:val="0077CC"/>
            <w:sz w:val="20"/>
            <w:u w:val="single"/>
            <w:shd w:val="clear" w:color="auto" w:fill="FFFFFF"/>
            <w:lang w:val="en-US" w:eastAsia="en-US" w:bidi="ar-SA"/>
          </w:rPr>
          <w:t>(1996), 22 B.C.L.R. (3d) 121</w:t>
        </w:r>
      </w:hyperlink>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1 R.P.R. (3d) 161</w:t>
        </w:r>
      </w:hyperlink>
      <w:r>
        <w:rPr>
          <w:rFonts w:ascii="arial" w:eastAsia="arial" w:hAnsi="arial" w:cs="arial"/>
          <w:color w:val="000000"/>
          <w:sz w:val="20"/>
          <w:lang w:val="en-US" w:eastAsia="en-US" w:bidi="ar-SA"/>
        </w:rPr>
        <w:t xml:space="preserve"> at para. 42 (C.A.) [Trimble Hill] and Oak Tree.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Further support can be found in Wong v. Ng </w:t>
      </w:r>
      <w:hyperlink r:id="rId659" w:history="1">
        <w:r>
          <w:rPr>
            <w:rFonts w:ascii="arial" w:eastAsia="arial" w:hAnsi="arial" w:cs="arial"/>
            <w:i/>
            <w:color w:val="0077CC"/>
            <w:sz w:val="20"/>
            <w:u w:val="single"/>
            <w:shd w:val="clear" w:color="auto" w:fill="FFFFFF"/>
            <w:lang w:val="en-US" w:eastAsia="en-US" w:bidi="ar-SA"/>
          </w:rPr>
          <w:t>(1998), 16 R.P.R. (3d) 136</w:t>
        </w:r>
      </w:hyperlink>
      <w:r>
        <w:rPr>
          <w:rFonts w:ascii="arial" w:eastAsia="arial" w:hAnsi="arial" w:cs="arial"/>
          <w:color w:val="000000"/>
          <w:sz w:val="20"/>
          <w:lang w:val="en-US" w:eastAsia="en-US" w:bidi="ar-SA"/>
        </w:rPr>
        <w:t xml:space="preserve"> para. 23 (B.C.S.C.) where Levine J. (as she was then)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Before a warranty of fitness will be implied in the sale of a </w:t>
      </w:r>
      <w:r>
        <w:rPr>
          <w:rFonts w:ascii="arial" w:eastAsia="arial" w:hAnsi="arial" w:cs="arial"/>
          <w:color w:val="000000"/>
          <w:sz w:val="20"/>
          <w:u w:val="single"/>
          <w:lang w:val="en-US" w:eastAsia="en-US" w:bidi="ar-SA"/>
        </w:rPr>
        <w:t>new house</w:t>
      </w:r>
      <w:r>
        <w:rPr>
          <w:rFonts w:ascii="arial" w:eastAsia="arial" w:hAnsi="arial" w:cs="arial"/>
          <w:color w:val="000000"/>
          <w:sz w:val="20"/>
          <w:lang w:val="en-US" w:eastAsia="en-US" w:bidi="ar-SA"/>
        </w:rPr>
        <w:t xml:space="preserve">, it must be established that the house was incomplete at the time the contract of purchase and sale was entered into. A warranty of fitness will not be implied in the purchase of a </w:t>
      </w:r>
      <w:r>
        <w:rPr>
          <w:rFonts w:ascii="arial" w:eastAsia="arial" w:hAnsi="arial" w:cs="arial"/>
          <w:color w:val="000000"/>
          <w:sz w:val="20"/>
          <w:u w:val="single"/>
          <w:lang w:val="en-US" w:eastAsia="en-US" w:bidi="ar-SA"/>
        </w:rPr>
        <w:t>newly constructed</w:t>
      </w:r>
      <w:r>
        <w:rPr>
          <w:rFonts w:ascii="arial" w:eastAsia="arial" w:hAnsi="arial" w:cs="arial"/>
          <w:color w:val="000000"/>
          <w:sz w:val="20"/>
          <w:lang w:val="en-US" w:eastAsia="en-US" w:bidi="ar-SA"/>
        </w:rPr>
        <w:t xml:space="preserve"> house which was complete at the time of purchase.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 his often quoted lecture delivered to the Law Society of Upper Canada in 1960, Professor Bora Laskin (as he was then) made it clear that the implied warranty was only available to newly constructed houses and that previously occupied homes were still subject to the doctrine of caveat emptor. In Professor Laskin's words, as cited in Trimble Hill at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is good reason hence to say that an implied obligation of good workmanship and fitness for habitation extends to the sale of a </w:t>
      </w:r>
      <w:r>
        <w:rPr>
          <w:rFonts w:ascii="arial" w:eastAsia="arial" w:hAnsi="arial" w:cs="arial"/>
          <w:color w:val="000000"/>
          <w:sz w:val="20"/>
          <w:u w:val="single"/>
          <w:lang w:val="en-US" w:eastAsia="en-US" w:bidi="ar-SA"/>
        </w:rPr>
        <w:t>new house</w:t>
      </w:r>
      <w:r>
        <w:rPr>
          <w:rFonts w:ascii="arial" w:eastAsia="arial" w:hAnsi="arial" w:cs="arial"/>
          <w:color w:val="000000"/>
          <w:sz w:val="20"/>
          <w:lang w:val="en-US" w:eastAsia="en-US" w:bidi="ar-SA"/>
        </w:rPr>
        <w:t xml:space="preserve"> as well as to the sale of a house to be completed. There is English authority, Hoskins v. Woodham, [1938] 1 All E.R. 692, against the contention I am making, but I am not persuaded merely because a buyer has a full opportunity of inspection of a hitherto unoccupied, newly completed house he should assume all of the risks of defects of quality and fitness. It would be reasonable to bind him to defects discoverable on reasonable inspection but this would not extend to things like dampness or porousness which only occupation for some period would disclose. </w:t>
      </w:r>
      <w:r>
        <w:rPr>
          <w:rFonts w:ascii="arial" w:eastAsia="arial" w:hAnsi="arial" w:cs="arial"/>
          <w:color w:val="000000"/>
          <w:sz w:val="20"/>
          <w:u w:val="single"/>
          <w:lang w:val="en-US" w:eastAsia="en-US" w:bidi="ar-SA"/>
        </w:rPr>
        <w:t>On my view, caveat emptor in its complete rigour should be confined, so far as quality and fitness are concerned, to the sale of "second hand" or "used" housing</w:t>
      </w:r>
      <w:r>
        <w:rPr>
          <w:rFonts w:ascii="arial" w:eastAsia="arial" w:hAnsi="arial" w:cs="arial"/>
          <w:color w:val="000000"/>
          <w:sz w:val="20"/>
          <w:lang w:val="en-US" w:eastAsia="en-US" w:bidi="ar-SA"/>
        </w:rPr>
        <w:t>.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Fraser-Reid at 728-29, Dickson J. describes the way in which the American case law has extended the doctrine of implied warranty to include completed houses. In addition to declining to move the Canadian jurisprudence down the same path, Dickson J. makes it clear that even the extension of the law in America applied only to completed houses that were newly constructed: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shift countenanced in the American Courts has been to take the English principles applicable to a home under construction and to extend those principles to completed houses, but only where the seller of the house is also the developer or builder and the house is a new unoccupied house: [citations omitted]. It has specifically not been extended to the case of an unoccupied home sold by one owner to a new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More recently, after reviewing the academic comment and jurisprudence on the doctrine of implied warranty, the Newfoundland Court of Appeal in Jenkins v. Foley </w:t>
      </w:r>
      <w:hyperlink r:id="rId660" w:history="1">
        <w:r>
          <w:rPr>
            <w:rFonts w:ascii="arial" w:eastAsia="arial" w:hAnsi="arial" w:cs="arial"/>
            <w:i/>
            <w:color w:val="0077CC"/>
            <w:sz w:val="20"/>
            <w:u w:val="single"/>
            <w:shd w:val="clear" w:color="auto" w:fill="FFFFFF"/>
            <w:lang w:val="en-US" w:eastAsia="en-US" w:bidi="ar-SA"/>
          </w:rPr>
          <w:t>(2002), 2 R.P.R. (4th) 214</w:t>
        </w:r>
      </w:hyperlink>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2002 NFCA 46</w:t>
        </w:r>
      </w:hyperlink>
      <w:r>
        <w:rPr>
          <w:rFonts w:ascii="arial" w:eastAsia="arial" w:hAnsi="arial" w:cs="arial"/>
          <w:color w:val="000000"/>
          <w:sz w:val="20"/>
          <w:lang w:val="en-US" w:eastAsia="en-US" w:bidi="ar-SA"/>
        </w:rPr>
        <w:t xml:space="preserve"> at para. 30 explicitly confirmed that the implied warranty applies to newly constructed homes only: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Thus, </w:t>
      </w:r>
      <w:r>
        <w:rPr>
          <w:rFonts w:ascii="arial" w:eastAsia="arial" w:hAnsi="arial" w:cs="arial"/>
          <w:color w:val="000000"/>
          <w:sz w:val="20"/>
          <w:u w:val="single"/>
          <w:lang w:val="en-US" w:eastAsia="en-US" w:bidi="ar-SA"/>
        </w:rPr>
        <w:t>in the sale of a previously occupied completed house, the common law, in Canada, does not recognize an implied warranty as to fitness or suitability of the premises for the purpose intended by the purchaser</w:t>
      </w:r>
      <w:r>
        <w:rPr>
          <w:rFonts w:ascii="arial" w:eastAsia="arial" w:hAnsi="arial" w:cs="arial"/>
          <w:color w:val="000000"/>
          <w:sz w:val="20"/>
          <w:lang w:val="en-US" w:eastAsia="en-US" w:bidi="ar-SA"/>
        </w:rPr>
        <w:t>. Absent fraud (including acts of concealment), or fundamental difference between that which was bargained for and that obtained, (such as premises later discovered to be dangerous), a purchaser is not entitled to claim against the vendor either for rescission or damages.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In addition to the home being new and incomplete, Taylor J.A. in his concurring minority reasons in Oak Tree noted that the purchasers had to establish that the vendor was expected to do the further work required to be done in order to render the house complete, and that the warranty was not expressly excluded by the terms of the contract of purchase. Recognizing that Mr. Justice Dickson's appeal for a legislative solution in Fraser-Reid had gone unanswered for fourteen years, Mr. Justice Taylor went on to clarify the state of the common law at para. 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importance of the nature of the agreements between the parties arises from the fact that it is only in cases in which a vendor has not only sold the real property but assumed an obligation to perform further work on it that the warranty will be implied. If there is no obligation to do further work, then the principle caveat emptor necessarily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Although the Court of Appeal in Trimble Hill, decided after Oak Tree, does not explicitly discuss the matter of the agreement between the parties highlighted by Mr. Justice Taylor in Oak Tree, it by no means challenges his statements of the law and indeed quotes him at some length. It is my opinion that, in addition to the home being incomplete and new, it is essential that the vendor has assumed a contractual obligation to carry out the further work which is not capable of being inspected when the contract for sale is made in order to trigger the implied warranty of fitness. This further compulsory element does not originate in Oak Tree but can be traced back to the earlier English cases such as Perry v. Sharon Development Co. (1937), 4 All E.R. 390 at 395 and Miller v. Cannon Hill Estates Ltd. (1931) All E.R. 93, cited in Fraser-Reid.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It is not uncommon for used homes which are sold to have some aspect of construction left "incomplete". It may have been left unfinished by the present owner or a previous one. It is not the current state of the law and ought not to be, that every time there is a sale of a used home where, for example, the basement has only been partly drywalled or the converted attic has not been fully insulated (to give but two random examples) a warranty of fitness will be implied in the absence of an agreement to complete such work. Extending the doctrine of implied warranty to used, previously occupied houses, even those which have undergone extensive renovations by the vendor, in the absence of a contractual obligation by the vendor to complete the work, is not supported in the jurisprudence.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There was no evidence that Mr. Perthen was going to be doing any further work on the house or outbuildings for the Cardwells. The preponderance of the evidence goes the other way and indicates that he was selling it in its "as is" state. If a warranty of fitness were to be implied on the facts of this case it would represent a significant change in the law with wide repercussions. There is no legitimate basis to imply a warranty of fitness into the contract of purchase and sale between these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The Cardwells assert that as the builder of the renovations, Mr. Perthen is liable for pure economic loss flowing from his negligent construction. It is well settled that a plaintiff may concurrently pursue remedies in contract and in tort unless the contract negatives the tort liability: BG Checo Int. Ltd. v. British Columbia Hydro &amp; Power Authority, </w:t>
      </w:r>
      <w:hyperlink r:id="rId661" w:history="1">
        <w:r>
          <w:rPr>
            <w:rFonts w:ascii="arial" w:eastAsia="arial" w:hAnsi="arial" w:cs="arial"/>
            <w:i/>
            <w:color w:val="0077CC"/>
            <w:sz w:val="20"/>
            <w:u w:val="single"/>
            <w:shd w:val="clear" w:color="auto" w:fill="FFFFFF"/>
            <w:lang w:val="en-US" w:eastAsia="en-US" w:bidi="ar-SA"/>
          </w:rPr>
          <w:t>[1993] 1 S.C.R. 12</w:t>
        </w:r>
      </w:hyperlink>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75 B.C.L.R. (2d) 145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In 1995, the Supreme Court of Canada decided the landmark case of Winnipeg Condominium Corporation No. 36 v. Bird Construction Co. Ltd., </w:t>
      </w:r>
      <w:hyperlink r:id="rId662" w:history="1">
        <w:r>
          <w:rPr>
            <w:rFonts w:ascii="arial" w:eastAsia="arial" w:hAnsi="arial" w:cs="arial"/>
            <w:i/>
            <w:color w:val="0077CC"/>
            <w:sz w:val="20"/>
            <w:u w:val="single"/>
            <w:shd w:val="clear" w:color="auto" w:fill="FFFFFF"/>
            <w:lang w:val="en-US" w:eastAsia="en-US" w:bidi="ar-SA"/>
          </w:rPr>
          <w:t>[1995] 1 S.C.R. 85</w:t>
        </w:r>
      </w:hyperlink>
      <w:r>
        <w:rPr>
          <w:rFonts w:ascii="arial" w:eastAsia="arial" w:hAnsi="arial" w:cs="arial"/>
          <w:color w:val="000000"/>
          <w:sz w:val="20"/>
          <w:lang w:val="en-US" w:eastAsia="en-US" w:bidi="ar-SA"/>
        </w:rPr>
        <w:t xml:space="preserve">, </w:t>
      </w:r>
      <w:hyperlink r:id="rId662" w:history="1">
        <w:r>
          <w:rPr>
            <w:rFonts w:ascii="arial" w:eastAsia="arial" w:hAnsi="arial" w:cs="arial"/>
            <w:i/>
            <w:color w:val="0077CC"/>
            <w:sz w:val="20"/>
            <w:u w:val="single"/>
            <w:shd w:val="clear" w:color="auto" w:fill="FFFFFF"/>
            <w:lang w:val="en-US" w:eastAsia="en-US" w:bidi="ar-SA"/>
          </w:rPr>
          <w:t>43 R.P.R. (2d) 1</w:t>
        </w:r>
      </w:hyperlink>
      <w:r>
        <w:rPr>
          <w:rFonts w:ascii="arial" w:eastAsia="arial" w:hAnsi="arial" w:cs="arial"/>
          <w:color w:val="000000"/>
          <w:sz w:val="20"/>
          <w:lang w:val="en-US" w:eastAsia="en-US" w:bidi="ar-SA"/>
        </w:rPr>
        <w:t xml:space="preserve"> [Winnipeg Condominium], in which it imposed a duty of care on a negligent contractor to a subsequent purchaser with whom there was no contractual probity, and held it responsible for the cost of repairing dangerous defects arising out of its negligent construction. In that case, a multi-storey building was found to have a structural defect consisting of improperly anchored masonry cladding installed by a subcontractor which enabled portions of the cladding to dislodge and fall to the ground. A four inch thick stone cladding, one storey high, had dropped nine storeys to the ground. By chance it occurred in the middle of the night and caused no harm. The owner remedied the defect at a considerable cost and then pursued the general contractor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The Court held that the contractor would owe a duty in tort to subsequent purchasers if it could be shown that it was foreseeable that a failure to take reasonable care in constructing the building would create defects that pose a substantial danger to the health and safety of the occupants. The Court drew a distinction on a policy level between cases where the negligent workmanship created latent defects posing a substantial danger to the safety of the occupants, from those where the workmanship was "merely shoddy or substandard", but not dangerously defective. It remains somewhat an open question as to whether recovery for pure economic loss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will ever be extended to non-dangerous defects. As pointed out by the author in seventh edition of Canadian Tort Law, Allen M. Linden, (Toronto: Butterworths, 2001 at 439), the cases which appeared to have endorsed such an extension, have misinterpreted Winnipeg Condominium.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Mr. Perthen's counsel asserts that the case of Sergius et al. v. Janax Design &amp; Drafting Services Ltd. et al. </w:t>
      </w:r>
      <w:hyperlink r:id="rId663" w:history="1">
        <w:r>
          <w:rPr>
            <w:rFonts w:ascii="arial" w:eastAsia="arial" w:hAnsi="arial" w:cs="arial"/>
            <w:i/>
            <w:color w:val="0077CC"/>
            <w:sz w:val="20"/>
            <w:u w:val="single"/>
            <w:shd w:val="clear" w:color="auto" w:fill="FFFFFF"/>
            <w:lang w:val="en-US" w:eastAsia="en-US" w:bidi="ar-SA"/>
          </w:rPr>
          <w:t>(1992), 64 B.C.L.R. (2d) 176</w:t>
        </w:r>
      </w:hyperlink>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9 C.C.L.T. (2d) 257</w:t>
        </w:r>
      </w:hyperlink>
      <w:r>
        <w:rPr>
          <w:rFonts w:ascii="arial" w:eastAsia="arial" w:hAnsi="arial" w:cs="arial"/>
          <w:color w:val="000000"/>
          <w:sz w:val="20"/>
          <w:lang w:val="en-US" w:eastAsia="en-US" w:bidi="ar-SA"/>
        </w:rPr>
        <w:t xml:space="preserve"> [Sergius] may limit or prevent recovery in tort in the case of the sale of a used home by an amateur builder who is also the vendor. In Sergius, the defendant had added to his home for his own requirements, but five years later sold it due to a marriage break-up. When viewing the home, the plaintiffs noticed a crack in a foundation wall as well as other defects. They made pointed inquiries of the defendant who gave his assurance that the house would not sink further. The defendant also told the plaintiffs that he had used professionals in the site preparation and construction process. In reality, the defendant had done most of the work himself consulting with, but not always following the advice of, an engineer who had designed the pre-load site. The Court in Sergius held that there was no close or uniquely proximate relationship between the parties to support a duty of care needed to justify liability for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In its analysis, the Court in Sergius relied heavily on the decision of the House of Lords in Murphy v. Brentwood District Council, [1990] 2 All E.R. 908 [Murphy], which explicitly rejected Lord Wilberforce's two prong test established in Anns v. Merton London Borough Council, [1978] A.C. 728 [Anns] in favour of restoring the traditional broad exclusionary rule against permitting recovery for pure economic loss in tort, in the absence of a special relationship of reliance. In Winnipeg Condominium, decided after Sergius, the Supreme Court chose not to join the House of Lords in Murphy in repudiating the test in Anns.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Although not explicitly overturned, the finding in Sergius of no duty of care may no longer be sound. Indeed that sentiment was expressed by our Court even before Winnipeg Condominium, in Hudson v. Hudson, </w:t>
      </w:r>
      <w:hyperlink r:id="rId664" w:history="1">
        <w:r>
          <w:rPr>
            <w:rFonts w:ascii="arial" w:eastAsia="arial" w:hAnsi="arial" w:cs="arial"/>
            <w:i/>
            <w:color w:val="0077CC"/>
            <w:sz w:val="20"/>
            <w:u w:val="single"/>
            <w:shd w:val="clear" w:color="auto" w:fill="FFFFFF"/>
            <w:lang w:val="en-US" w:eastAsia="en-US" w:bidi="ar-SA"/>
          </w:rPr>
          <w:t>[1994] B.C.J. No. 231</w:t>
        </w:r>
      </w:hyperlink>
      <w:r>
        <w:rPr>
          <w:rFonts w:ascii="arial" w:eastAsia="arial" w:hAnsi="arial" w:cs="arial"/>
          <w:color w:val="000000"/>
          <w:sz w:val="20"/>
          <w:lang w:val="en-US" w:eastAsia="en-US" w:bidi="ar-SA"/>
        </w:rPr>
        <w:t xml:space="preserve"> (S.C.). There the plaintiffs claimed against the defendant for the negligent construction of a residence stemming from careless excavation and construction of footings and foundations. The defendant sought dismissal of the plaintiffs' claim pursuant to Rules 18 and 18A of the Rules of Court relying largely on Sergius. Mr. Justice Robinson was persuaded that Murphy was not the law in Canada based on the dicta of LaForest J. and McLachlin J. (as she was then) in the Supreme Court of Canada decision, Canadian National Railway v. Norsk Pacific Steamship Co., </w:t>
      </w:r>
      <w:hyperlink r:id="rId665" w:history="1">
        <w:r>
          <w:rPr>
            <w:rFonts w:ascii="arial" w:eastAsia="arial" w:hAnsi="arial" w:cs="arial"/>
            <w:i/>
            <w:color w:val="0077CC"/>
            <w:sz w:val="20"/>
            <w:u w:val="single"/>
            <w:shd w:val="clear" w:color="auto" w:fill="FFFFFF"/>
            <w:lang w:val="en-US" w:eastAsia="en-US" w:bidi="ar-SA"/>
          </w:rPr>
          <w:t>[1992] 1 S.C.R. 1021</w:t>
        </w:r>
      </w:hyperlink>
      <w:r>
        <w:rPr>
          <w:rFonts w:ascii="arial" w:eastAsia="arial" w:hAnsi="arial" w:cs="arial"/>
          <w:color w:val="000000"/>
          <w:sz w:val="20"/>
          <w:lang w:val="en-US" w:eastAsia="en-US" w:bidi="ar-SA"/>
        </w:rPr>
        <w:t xml:space="preserve">, </w:t>
      </w:r>
      <w:hyperlink r:id="rId665" w:history="1">
        <w:r>
          <w:rPr>
            <w:rFonts w:ascii="arial" w:eastAsia="arial" w:hAnsi="arial" w:cs="arial"/>
            <w:i/>
            <w:color w:val="0077CC"/>
            <w:sz w:val="20"/>
            <w:u w:val="single"/>
            <w:shd w:val="clear" w:color="auto" w:fill="FFFFFF"/>
            <w:lang w:val="en-US" w:eastAsia="en-US" w:bidi="ar-SA"/>
          </w:rPr>
          <w:t>91 D.L.R. (4th) 289</w:t>
        </w:r>
      </w:hyperlink>
      <w:r>
        <w:rPr>
          <w:rFonts w:ascii="arial" w:eastAsia="arial" w:hAnsi="arial" w:cs="arial"/>
          <w:color w:val="000000"/>
          <w:sz w:val="20"/>
          <w:lang w:val="en-US" w:eastAsia="en-US" w:bidi="ar-SA"/>
        </w:rPr>
        <w:t xml:space="preserve"> [C.N.R.].. He remarked that the views of McLachlin J., in particular, were "indicative of a growing relaxation of the parameters of the relationship between the parties in conflict, so as to possibly allow success to the plaintiffs here" (para. 12). C.N.R. had come down shortly after Sergius and had therefore not been considered by Newberry J. (as she was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Another example of this Court's preparedness to find the necessary proximity to give rise to a duty of care as between a vendor/builder and purchaser is found in Brar v. Mutti, </w:t>
      </w:r>
      <w:hyperlink r:id="rId666" w:history="1">
        <w:r>
          <w:rPr>
            <w:rFonts w:ascii="arial" w:eastAsia="arial" w:hAnsi="arial" w:cs="arial"/>
            <w:i/>
            <w:color w:val="0077CC"/>
            <w:sz w:val="20"/>
            <w:u w:val="single"/>
            <w:shd w:val="clear" w:color="auto" w:fill="FFFFFF"/>
            <w:lang w:val="en-US" w:eastAsia="en-US" w:bidi="ar-SA"/>
          </w:rPr>
          <w:t>[1994] B.C.J. No. 2426</w:t>
        </w:r>
      </w:hyperlink>
      <w:r>
        <w:rPr>
          <w:rFonts w:ascii="arial" w:eastAsia="arial" w:hAnsi="arial" w:cs="arial"/>
          <w:color w:val="000000"/>
          <w:sz w:val="20"/>
          <w:lang w:val="en-US" w:eastAsia="en-US" w:bidi="ar-SA"/>
        </w:rPr>
        <w:t xml:space="preserve"> (S.C) where Davies J. held that such a duty existed for the purposes of a claim of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In the more recent case of Roy v. Thiessen, </w:t>
      </w:r>
      <w:hyperlink r:id="rId667" w:history="1">
        <w:r>
          <w:rPr>
            <w:rFonts w:ascii="arial" w:eastAsia="arial" w:hAnsi="arial" w:cs="arial"/>
            <w:i/>
            <w:color w:val="0077CC"/>
            <w:sz w:val="20"/>
            <w:u w:val="single"/>
            <w:shd w:val="clear" w:color="auto" w:fill="FFFFFF"/>
            <w:lang w:val="en-US" w:eastAsia="en-US" w:bidi="ar-SA"/>
          </w:rPr>
          <w:t>[2003] 10 W.W.R. 662</w:t>
        </w:r>
      </w:hyperlink>
      <w:r>
        <w:rPr>
          <w:rFonts w:ascii="arial" w:eastAsia="arial" w:hAnsi="arial" w:cs="arial"/>
          <w:color w:val="000000"/>
          <w:sz w:val="20"/>
          <w:lang w:val="en-US" w:eastAsia="en-US" w:bidi="ar-SA"/>
        </w:rPr>
        <w:t xml:space="preserve">, </w:t>
      </w:r>
      <w:hyperlink r:id="rId667" w:history="1">
        <w:r>
          <w:rPr>
            <w:rFonts w:ascii="arial" w:eastAsia="arial" w:hAnsi="arial" w:cs="arial"/>
            <w:i/>
            <w:color w:val="0077CC"/>
            <w:sz w:val="20"/>
            <w:u w:val="single"/>
            <w:shd w:val="clear" w:color="auto" w:fill="FFFFFF"/>
            <w:lang w:val="en-US" w:eastAsia="en-US" w:bidi="ar-SA"/>
          </w:rPr>
          <w:t>2003 SKQB 249</w:t>
        </w:r>
      </w:hyperlink>
      <w:r>
        <w:rPr>
          <w:rFonts w:ascii="arial" w:eastAsia="arial" w:hAnsi="arial" w:cs="arial"/>
          <w:color w:val="000000"/>
          <w:sz w:val="20"/>
          <w:lang w:val="en-US" w:eastAsia="en-US" w:bidi="ar-SA"/>
        </w:rPr>
        <w:t xml:space="preserve">, aff'd on this point </w:t>
      </w:r>
      <w:hyperlink r:id="rId668" w:history="1">
        <w:r>
          <w:rPr>
            <w:rFonts w:ascii="arial" w:eastAsia="arial" w:hAnsi="arial" w:cs="arial"/>
            <w:i/>
            <w:color w:val="0077CC"/>
            <w:sz w:val="20"/>
            <w:u w:val="single"/>
            <w:shd w:val="clear" w:color="auto" w:fill="FFFFFF"/>
            <w:lang w:val="en-US" w:eastAsia="en-US" w:bidi="ar-SA"/>
          </w:rPr>
          <w:t>(2005), 252 D.L.R. (4th) 475</w:t>
        </w:r>
      </w:hyperlink>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2005 SKCA 45</w:t>
        </w:r>
      </w:hyperlink>
      <w:r>
        <w:rPr>
          <w:rFonts w:ascii="arial" w:eastAsia="arial" w:hAnsi="arial" w:cs="arial"/>
          <w:color w:val="000000"/>
          <w:sz w:val="20"/>
          <w:lang w:val="en-US" w:eastAsia="en-US" w:bidi="ar-SA"/>
        </w:rPr>
        <w:t xml:space="preserve">, the Saskatchewan Court of Queen's Bench found, on the authority of Winnipeg Condominium, there was sufficient proximity between a vendor, with no construction experience who had acted as a general contractor while building a dream home for himself and his wife, and the purchaser so as to establish a duty of care in respect of latent defects which presented a real and substantial danger. The broad exclusionary cause contained in the agreement of purchase and sale was strictly construed and found not to preclude the purchaser from pursuing a remedy in tort for negligent construction. In that case, the chief defect was improper insulation in a multitude of ways and areas of the home causing massive condensation with water running out of light fixtures. No facet of the work had been properly inspected. On appeal, the Saskatchewan Court of Appeal held that while the exclusion clause protected vendors against claims in contract or based on negligent mis-representation, it did not preclude an action in construction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arose out of a different time frame (i.e. the construction of the home rather than its sale). The Court of Appeal further concluded that the trial judge properly applied the principles set out in Winnipeg Condominium and on that basis it was open to the court to find that a duty of care was owed to the plaintiffs despite their construction inexperience.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Leaving aside the question of whether a duty of care has arisen in the case at hand, it is clear that the negligent construction defects about which the authorities are concerned are dangerous latent defects, not patent ones. In the absence of fraud or negligent misrepresentation or active concealment by a builder or similar reprehensible conduct, there is no basis in the jurisprudence, as it presently stands, to hold a negligent builder liable to a purchaser for patent construction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For the purpose of resolving the dispute between these parties, it is unnecessary for me to go beyond this general discussion and make a finding about whether a duty of care has arisen. This is because I have already found that Mr. Perthen knew about and/or was reckless as to, and failed to disclose, the existence of certain latent defects that rendered his property unfit for human habitation and, as concerns the mold, also posed a significant risk. He is liable to the Cardwells based on these recognized exceptions to the doctrine of caveat emptor. In this case, pursuing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afford no greater remedy to the Cardwells. In particular, it would not entitle them to damages flowing from the alleged negligent construction of the retaining walls because I have concluded that there were more than sufficient visible symptoms to have put them on notice of potential problems and therefore amount to patent defects. As an aside I would add that the effect, if any, of the conduct of the District and Engineering Firm on any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Perthen was underdeveloped in both the evidence and submissions. There was suggestion that the District and the Engineering Firm fell below the expected standard of care, but there was a paucity of evidence upon which such a finding could be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Cardwells are entitled to the reasonable costs of repairs to the sub-floors of the family room, master bedroom and master ensuite bathroom. John Charlesworth, of Helyar &amp; Associates, was qualified as an expert in quantity surveying for the plaintiffs. He estimated the cost of the sub-floor repairs for these three areas to be roughly $10,000. Based on the evidence of Mr. Bebek and Ms. McLoughlin I would add to that, an amount to cover repairs the dime-sized hole in the roof and rectifying inadequate flashing identified by Mr. Bebek as a cause for some leaking and the persistent leaking around the skylight. A significant part of the mold problem would have been eradicated by replacing the affected sub-floor areas. Though there was no reliable evidence about the cost of rectifying the mold issue including fumigating beyond replacing the sub-floors, I consider it reasonable to allocate some amount toward the eradication of the airborne mold in the premises. I am not prepared to find that the Cardwells failed to mitigate by allowing the affected sub-floors to remain exposed for many months, as the mold expert they retained did not recommend they do so. In addition to the foregoing, I also award certain costs pertaining to the latent defect areas as outlined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In sum, the damages to which the Cardwells are entitled consist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4914"/>
        <w:gridCol w:w="1672"/>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Repairs to the three sub-floor areas</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$10,000.00</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8"/>
        <w:gridCol w:w="3346"/>
        <w:gridCol w:w="3241"/>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Roof repairs</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$ 3,500.00</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4495"/>
        <w:gridCol w:w="2091"/>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Invoices of West Coast Safety</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$ 2,918.42</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973"/>
        <w:gridCol w:w="1464"/>
        <w:gridCol w:w="1150"/>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protective face mask</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48.57</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46"/>
        <w:gridCol w:w="238"/>
        <w:gridCol w:w="4231"/>
        <w:gridCol w:w="2064"/>
        <w:gridCol w:w="247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additional mold removal and</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fumigation</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$ 2,000.00</w:t>
            </w:r>
          </w:p>
        </w:tc>
        <w:tc>
          <w:tcPr>
            <w:tcW w:w="245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8"/>
        <w:gridCol w:w="4809"/>
        <w:gridCol w:w="1778"/>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Portion of architect's invoice re:</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defective sub-floors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$ 1,100.00</w:t>
            </w:r>
          </w:p>
        </w:tc>
        <w:tc>
          <w:tcPr>
            <w:tcW w:w="245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8"/>
        <w:gridCol w:w="4914"/>
        <w:gridCol w:w="523"/>
        <w:gridCol w:w="1150"/>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Home Insurance - cost of additional</w:t>
            </w:r>
          </w:p>
        </w:tc>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vacancy rider June 29 - November 21,</w:t>
            </w:r>
          </w:p>
        </w:tc>
        <w:tc>
          <w:tcPr>
            <w:tcW w:w="51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2000</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375.00</w:t>
            </w:r>
          </w:p>
        </w:tc>
        <w:tc>
          <w:tcPr>
            <w:tcW w:w="245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4914"/>
        <w:gridCol w:w="1672"/>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Adco Pools - portion of invoices re:</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removal of tile, exposure of</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sub-floors and part of cost of</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purchased tile</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$15,500.00</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$35,441.99</w:t>
            </w:r>
          </w:p>
        </w:tc>
        <w:tc>
          <w:tcPr>
            <w:tcW w:w="245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Cardwells are also entitled to prejudgment interest pursuant to the Court Order Interest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The claim against the late Helga G. Perthen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If counsel are unable to agree on costs, they are at liberty to provide written submissions. Counsel for the Cardwells is to provide them within sixty days of these reasons, with a copy provided contemporaneously to counsel for Mr. Perthen, who will then have forty-five days to make his submissions; submissions in reply are to be provided twenty-one days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BALLANCE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5" style="position:absolute;z-index:2518497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69"/>
          <w:headerReference w:type="default" r:id="rId670"/>
          <w:footerReference w:type="even" r:id="rId671"/>
          <w:footerReference w:type="default" r:id="rId672"/>
          <w:headerReference w:type="first" r:id="rId673"/>
          <w:footerReference w:type="first" r:id="rId67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75" w:history="1">
        <w:r>
          <w:rPr>
            <w:rFonts w:ascii="arial" w:eastAsia="arial" w:hAnsi="arial" w:cs="arial"/>
            <w:b/>
            <w:bCs/>
            <w:i/>
            <w:color w:val="0077CC"/>
            <w:kern w:val="32"/>
            <w:sz w:val="28"/>
            <w:szCs w:val="32"/>
            <w:u w:val="single"/>
            <w:shd w:val="clear" w:color="auto" w:fill="FFFFFF"/>
            <w:lang w:val="en-US" w:eastAsia="en-US" w:bidi="ar-SA"/>
          </w:rPr>
          <w:t>Carvalho v. Angotti, [2007] B.C.J. No. 2637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N.H.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5-9,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11,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M055028 and M072427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2637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2007 BCSC 1760</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Maria Raquel Carvalho, Plaintiff, and Ralph Angotti, Grace Angotti and John Carvalho, Defendants And between Maria Raquel Carvalho, Plaintiff, and Qiao Huang and Xiao Liu,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6"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3" w:name="Keywords_37"/>
      <w:bookmarkEnd w:id="243"/>
      <w:r>
        <w:rPr>
          <w:rFonts w:ascii="arial" w:eastAsia="arial" w:hAnsi="arial" w:cs="arial"/>
          <w:b/>
          <w:color w:val="000000"/>
          <w:sz w:val="20"/>
          <w:lang w:val="en-US" w:eastAsia="en-US" w:bidi="ar-SA"/>
        </w:rPr>
        <w:t>Damages — General damages — For personal injuries — Cost of future care — Non-pecuniary damages, including pain and suffering — Retroactive loss of income — Plaintiff injured in two automobile accidents awarded $25,000 in non-pecuniary damages, $15,000 for loss of income, and $1,700 for costs of future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injuries — Body injuries — Neck — Head injuries — Jaws — Leg injuries — Knee — Non-pecuniary award — Considerations impacting on award — Pre-existing injury — $20,001 to $40,000 — Plaintiff injured in two automobile accidents awarded $25,000 in non-pecuniary damages — The injuries caused by the two accidents resulted in pain and suffering that was separate and distinct from the plaintiff's pre-existing wrist injury.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Action where liability was in issue — Defendants claimed that the plaintiff was not involved in the accident — Liability in a subsequent accident was admitted — Judgment for plaintiff — On the balance of probabilities, the vehicle in which the plaintiff was a passenger swerved to the right and hit the curb when her husband saw the vehicle of the defendant either in his lane or in the process of entering it.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4" w:name="Case Summary_34"/>
            <w:bookmarkEnd w:id="24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Carvalho for damages for injuries in two motor vehicle accidents -- Liability for the first accident was in issue, as one set of defendants alleged that Carvalho was not involved in the accident at all -- Liability for the second accident was admitted, but all defendants contended that any injuries Carvalho suffered in either accident were minor and that any ongoing disability was the result of pre-existing conditions -- The first defendants attacked Carvalho's credibility based, in part, on various contradictions and inconsistencies within her evidence at trial and between that evidence and her discovery evidence, documents she prepared for other purposes, or statements recorded in clinical records -- HELD: Angotti was solely responsible for the first accident -- On the balance of probabilities, the Carvalho vehicle swerved to the right and hit the curb when Carvalho's husband saw the vehicle of the defendant Angotti either in his lane or in the process of entering it -- The injuries caused by the two accidents resulted in pain and suffering that was separate and distinct from Carvalho's pre-existing wrist injury -- In the first accident, Carvalho suffered injuries to her jaw, and had headaches, bruising and pain in her right knee, and pain and stiffness in her right shoulder and neck -- These injuries were exacerbated by the second accident -- Carvalho was awarded $25,000 for non pecuniary damages, $15,000 (gross) for past wage loss, $1,700 for the cost of future care, and $3,756 for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5" w:name="Counsel_38"/>
      <w:bookmarkEnd w:id="24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7"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W.D. MacLeod.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Ralph Angotti and Grace Angotti: K. Armstrong.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John Carvalho: W. Serné.</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Qiao Huang and Xiao Liu: K. Armstrong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6" w:name="Judgment_38"/>
      <w:bookmarkEnd w:id="246"/>
      <w:r>
        <w:pict>
          <v:line id="_x0000_s1208" style="position:absolute;z-index:2518005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7" w:name="N.H. SMITH J."/>
            <w:bookmarkEnd w:id="247"/>
            <w:r>
              <w:rPr>
                <w:rFonts w:ascii="arial" w:eastAsia="arial" w:hAnsi="arial" w:cs="arial"/>
                <w:b/>
                <w:color w:val="000000"/>
                <w:sz w:val="30"/>
                <w:lang w:val="en-US" w:eastAsia="en-US" w:bidi="ar-SA"/>
              </w:rPr>
              <w:t>N.H.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Maria Raquel Carvalho seeks damages for injuries in two motor vehicle accidents. Liability for the first accident is in issue, with one set of defendants alleging that the plaintiff was not involved in the accident at all. Liability for the second accident is admitted, but all defendants say that any injuries the plaintiff suffered in either accident were minor and that any ongoing disability is the result of pre-existing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February 19, 2005, when the first accident at issue occurred, the plaintiff was 46 years old and had been employed as a medical office assistant at the same location for approximately 28 years. That job was being terminated effective February 28, 2005, because the office was closing. Almost a year earlier, in March 2004, the plaintiff injured her right wrist at work. This injury resulted in only brief absences from work, but the plaintiff had returned to work from one such absence only days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Before she injured her wrist, the plaintiff had been very fit. Her major recreational activity was a martial arts class that she attended three times a week. She had achieved a high red belt in Tae Kwan Do and was working toward her brown and ultimately black belts. Even to attain a high red belt she had to be able to do 70 push ups. At the time of the accident, she had been unable to participate in Tae Kwan Do since April, 2004 because of her wrist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The First Accident --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first accident occurred on February 19, 2005, on Como Lake Road in Coquitlam. Como Lake Road is a major east-west street, with two traffic lanes in each direction. The plaintiff was a front seat passenger in a pick-up truck driven by her husband, the defendant John Carvalho.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Grace Angotti was driving a car owned by the defendant Ralph Angotti. Ms. Angotti was leaving a church parking lot, intending to make a left (eastbound) turn onto Como Lake Road. A sign at the exit from the parking lot stated that left turns were prohibited. Ms. Angotti attended the church regularly and was aware of the sign, but frequently turned left when leaving because it was more convenient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order to make the left turn, Ms. Angotti had to first cross the two westbound lanes. Before she could complete the turn, her car was struck by a car traveling in the westbound lane nearest the centre line. That car was driven by Doreen Baxter, who is not a party to this action. Ms. Baxter testified that her car hit the Angotti vehicle just ahead of the driver's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Carvalho was traveling in the westbound curb lane. He testified that he suddenly saw the Angotti vehicle in front of him and, in order to avoid a collision, swerved to the right while applying his brakes. He said his right front wheel hit the curb, went onto the sidewalk and came back down onto the road surface before the truck came to a stop. Although he was able to stop in time to avoid a collision, Mr. Carvaho said he realized a collision had occurred in the lane to his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was not watching the road at the time, but testified that she suddenly felt the truck swerve and hit the curb. She said she was thrown from left to right within the truck and hit the passenger-side window and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Angotti's recollection of the events is very different. She said she had not yet pulled out of the church driveway to begin her left turn when a vehicle in the westbound curb lane stopped and the driver waved his hand in what she took to be a gesture telling her to proceed. Although Ms. Angotti described that vehicle as a van, rather than a pick-up truck, her description of its colour is consistent with the Carvalho vehicle and there is no evidence of any other vehicle that it could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Angotti's description of the accident was supported by the evidence of Mr. and Ms. Rzen, who were approaching the scene in a car traveling east on Como Lake Road. Mr. Rzen, who was driving, said he had accelerated away from an intersection and had reached a speed of 50 to 60 kilometers per hour. He said he saw a woman attempting to make a left turn, while her car was stopped in the driveway and partially onto the adjoining sidewalk. He said he also saw a stopped pick up truck in the curb lane, with a line of vehicles stopped behind it, and the driver of the pickup truck moving his hand several times in what Mr. Rzen took to be a waving motion. Mr. Rzen said he told his wife this was "an accident waiting to happen" because the driver coming out of the church parking lot would be unable to see oncoming traffic in the other westbound lane. He said that as he came closer, he saw the car pull out of the driveway and saw the collision with the Baxter vehicle. Ms. Rzen said that her attention was drawn to the scene by her husband's comment about an accident waiting to happen and she gave essentially the same description of events, including the stopped truck and the waving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the other hand, the evidence of Ms. Baxter is more consistent with the evidence of Mr. Carvalho. Ms. Baxter said that as she drove westbound on Como Lake Road, she was aware of a vehicle to her right. She said her car was "see-sawing" with this vehicle, with one vehicle or the other being slightly ahead, until almost the moment of impact. The same vehicle was beside her after the collision. In order for the Carvalho vehicle to have been stopped for any length of time before the collision, as described by the Rzens, it would have to have been well ahead of, not approximately beside, Ms. Baxter's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cases of this kind, parties and other witnesses regularly give detailed evidence about positions and movement of vehicles, distances, speeds and the precise sequence of events. Counsel understandably seek as much information as possible and witnesses do their best to answer the questions. But the witnesses are attempting to give detailed descriptions of events that happened suddenly and were over in seconds or split seconds. There is a great deal of room for error or for reconstruction based upon what the witness believes must have happened rather than what he or she actually saw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Those frailties are inherent in the evidence of all witnesses in this case, but I have particular difficulty with the evidence of Mr. and Mrs. Rzen. I accept that they were honestly attempting to tell the truth as they recall it but, given the speed at which they were approaching the scene and the distance they would cover at that speed, they could have had only a very brief time to see, interpret and comment on the events prior to impact. The level of detail in their evidence is simply not consistent with that very brief opportunity for observation.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Counsel for the Angottis submits that the evidence of the plaintiff and her husband is not merely mistaken, inaccurately reconstructed or even exaggerated, but entirely and deliberately fabricated. He asks the Court to find that the Carvalho vehicle stopped safely, without swerving or hitting the curb, before Ms. Angotti left the driveway. Although he does not phrase it in these terms, counsel in effect seeks a finding that the Carvalhos have conspired to commit fraud and perjury. In my view, nothing in their evidence or the in the way they gave it justifies such a harsh adverse finding on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attack on the plaintiff's credibility is based, in part, on various contradictions and inconsistencies within her evidence at trial and between that evidence and her discovery evidence, documents she prepared for other purposes, or statements recorded in clinical records. It is a rare case of this kind where such inconsistencies cannot be found. By the time a personal injury case gets to trial, the plaintiff typically will have provided information to a number of people - including doctors, adjusters and disability insurers - on a number of occasions over a period of years. This provides fertile ground for cross-examination precisely because very few people will have perfect and identical recollection on each of those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record created on many of those earlier occasions may consist of answers a plaintiff gave to questioners who were primarily interested in only part of what the plaintiff had to say. For example, a doctor treating a plaintiff for a specific injury may seek only very general information about aspects of the plaintiff's medical history unrelated to the injury that doctor is treating. The information recorded may only be a brief summary or paraphrase of what the plaintiff said. The plaintiff will usually have no specific recollection of what he or she said on that occasion, but, when confronted with the record on cross-examination, will usually agree with the suggestion: "That is what you told Dr. X, isn't it?" The danger of giving too much weight to such inconsistencies was noted by Parrett J. in </w:t>
      </w:r>
      <w:r>
        <w:rPr>
          <w:rFonts w:ascii="arial" w:eastAsia="arial" w:hAnsi="arial" w:cs="arial"/>
          <w:b/>
          <w:i/>
          <w:color w:val="000000"/>
          <w:sz w:val="20"/>
          <w:lang w:val="en-US" w:eastAsia="en-US" w:bidi="ar-SA"/>
        </w:rPr>
        <w:t>Burke-Pietramala v. Samad</w:t>
      </w:r>
      <w:r>
        <w:rPr>
          <w:rFonts w:ascii="arial" w:eastAsia="arial" w:hAnsi="arial" w:cs="arial"/>
          <w:color w:val="000000"/>
          <w:sz w:val="20"/>
          <w:lang w:val="en-US" w:eastAsia="en-US" w:bidi="ar-SA"/>
        </w:rPr>
        <w:t xml:space="preserve">, </w:t>
      </w:r>
      <w:hyperlink r:id="rId677" w:history="1">
        <w:r>
          <w:rPr>
            <w:rFonts w:ascii="arial" w:eastAsia="arial" w:hAnsi="arial" w:cs="arial"/>
            <w:i/>
            <w:color w:val="0077CC"/>
            <w:sz w:val="20"/>
            <w:u w:val="single"/>
            <w:shd w:val="clear" w:color="auto" w:fill="FFFFFF"/>
            <w:lang w:val="en-US" w:eastAsia="en-US" w:bidi="ar-SA"/>
          </w:rPr>
          <w:t>2004 BCSC 470</w:t>
        </w:r>
      </w:hyperlink>
      <w:r>
        <w:rPr>
          <w:rFonts w:ascii="arial" w:eastAsia="arial" w:hAnsi="arial" w:cs="arial"/>
          <w:color w:val="000000"/>
          <w:sz w:val="20"/>
          <w:lang w:val="en-US" w:eastAsia="en-US" w:bidi="ar-SA"/>
        </w:rPr>
        <w:t>, at paragraph 104: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make two observations at the outset about Dr. Keyes' criticism for the variations he finds exist in the versions of symptoms given to various doctors. First of all, the reports are those of a layperson going through a traumatic and difficult time and one for which she is seeing little, if any, hope for improvement. Secondly, the histories are those recorded by different doctors who may well have had different perspectives and different perceptions of what is important. As Dr. Samad made very clear his chart and records were a long way from being a verbatim record, indeed, some of his entries from a full appointment and an examination consisted of three or four phrases. I find little surprising in the variations of the plaintiff's history in this case, particularly given the human tendency to reconsider, review and summarize history in light of new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Although there are inconsistencies in the plaintiff's evidence, I am satisfied that she was attempting to tell the truth as she recalls it. Those inconsistencies may cause me to question the accuracy of her recollection on some points, but they come nowhere near to being a basis for a finding of outright and deliberate dishonesty.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Counsel for the Angottis argues that I should consider the fact that the plaintiff is what he describes as "quite claims conscious." That phrase was used in reference to the fact the plaintiff has pursued various claims with Workers Compensation, her disability insurer and Employment Insurance and to the fact that the plaintiff was continuing in a job that had been terminated so that she could be paid until the end of her notice period. If counsel is suggesting that the plaintiff is somehow less credible because she is inclined to pursue compensation she believes she is entitled to, I emphatically reject that suggestion.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Counsel for the Angottis also relies on the fact that, immediately after the accident, Mr. Carvalho identified himself to Ms. Baxter as a witness, but said nothing to indicate he had been directly involved in the accident. I do not see that as significant. At the time, the most important event appeared to be the impact between the Baxter and Angotti vehicles. Mr. Carvalho had not been involved in that impact, had not been injured and was not yet aware of any injury to the plaintiff. There was no particular reason for him to talk about what he had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Having considered the evidence of all witnesses, I find that, on the balance of probabilities, the Carvalho vehicle swerved to the right and hit the curb as Mr. Carvalho described. I find that occurred when Mr. Carvalho saw the Angotti vehicle either in his lane or in the process of entering it. That is consistent with the evidence of Ms. Baxter and with all of the surrounding circumstances. Mr. Carvalho was driving on a major arterial street, between intersections. There was simply no reason for him to stop if the Angotti vehicle was safely waiting in the driveway.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Ms. Angotti was required by s. 125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to obey the instructions on a "traffic control device." The sign prohibiting left turns from the driveway onto Como Lake Road met the definition of "traffic control device" in s. 119. She was aware of the sign and knowingly ignored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Even if a left turn had been allowed, Ms. Angotti would have been required by s. 176(2)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to yield the right of way to traffic approaching "so closely that it constitutes an immediate hazard." I find that Ms. Angotti, in pulling out of the driveway, failed to recognize the hazard created by the oncoming Carvalho and Baxter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Oncoming drivers such as Ms. Baxter and Mr. Carvalho were entitled to expect any vehicles leaving the church parking lot to wait until they could do so safely. They were not required to anticipate Ms. Angotti's negligent manoeuvre. The principle in </w:t>
      </w:r>
      <w:r>
        <w:rPr>
          <w:rFonts w:ascii="arial" w:eastAsia="arial" w:hAnsi="arial" w:cs="arial"/>
          <w:b/>
          <w:i/>
          <w:color w:val="000000"/>
          <w:sz w:val="20"/>
          <w:lang w:val="en-US" w:eastAsia="en-US" w:bidi="ar-SA"/>
        </w:rPr>
        <w:t>Walker v. Harmon</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at 461 (SCC), has been cited in countless cases, including </w:t>
      </w:r>
      <w:r>
        <w:rPr>
          <w:rFonts w:ascii="arial" w:eastAsia="arial" w:hAnsi="arial" w:cs="arial"/>
          <w:b/>
          <w:i/>
          <w:color w:val="000000"/>
          <w:sz w:val="20"/>
          <w:lang w:val="en-US" w:eastAsia="en-US" w:bidi="ar-SA"/>
        </w:rPr>
        <w:t>Keen v. Stene</w:t>
      </w:r>
      <w:r>
        <w:rPr>
          <w:rFonts w:ascii="arial" w:eastAsia="arial" w:hAnsi="arial" w:cs="arial"/>
          <w:color w:val="000000"/>
          <w:sz w:val="20"/>
          <w:lang w:val="en-US" w:eastAsia="en-US" w:bidi="ar-SA"/>
        </w:rPr>
        <w:t xml:space="preserve">, </w:t>
      </w:r>
      <w:hyperlink r:id="rId678" w:history="1">
        <w:r>
          <w:rPr>
            <w:rFonts w:ascii="arial" w:eastAsia="arial" w:hAnsi="arial" w:cs="arial"/>
            <w:i/>
            <w:color w:val="0077CC"/>
            <w:sz w:val="20"/>
            <w:u w:val="single"/>
            <w:shd w:val="clear" w:color="auto" w:fill="FFFFFF"/>
            <w:lang w:val="en-US" w:eastAsia="en-US" w:bidi="ar-SA"/>
          </w:rPr>
          <w:t>44 D.L.R. (2d) 350</w:t>
        </w:r>
      </w:hyperlink>
      <w:r>
        <w:rPr>
          <w:rFonts w:ascii="arial" w:eastAsia="arial" w:hAnsi="arial" w:cs="arial"/>
          <w:color w:val="000000"/>
          <w:sz w:val="20"/>
          <w:lang w:val="en-US" w:eastAsia="en-US" w:bidi="ar-SA"/>
        </w:rPr>
        <w:t xml:space="preserve"> at 367 (BCCA):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he seeks to case any portion of the blame upon B, the driver with the right of 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it origo mali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Ferguson v. All-Can Express Ltd.</w:t>
      </w:r>
      <w:r>
        <w:rPr>
          <w:rFonts w:ascii="arial" w:eastAsia="arial" w:hAnsi="arial" w:cs="arial"/>
          <w:color w:val="000000"/>
          <w:sz w:val="20"/>
          <w:lang w:val="en-US" w:eastAsia="en-US" w:bidi="ar-SA"/>
        </w:rPr>
        <w:t xml:space="preserve">, </w:t>
      </w:r>
      <w:hyperlink r:id="rId679" w:history="1">
        <w:r>
          <w:rPr>
            <w:rFonts w:ascii="arial" w:eastAsia="arial" w:hAnsi="arial" w:cs="arial"/>
            <w:i/>
            <w:color w:val="0077CC"/>
            <w:sz w:val="20"/>
            <w:u w:val="single"/>
            <w:shd w:val="clear" w:color="auto" w:fill="FFFFFF"/>
            <w:lang w:val="en-US" w:eastAsia="en-US" w:bidi="ar-SA"/>
          </w:rPr>
          <w:t>2001 BCCA 57</w:t>
        </w:r>
      </w:hyperlink>
      <w:r>
        <w:rPr>
          <w:rFonts w:ascii="arial" w:eastAsia="arial" w:hAnsi="arial" w:cs="arial"/>
          <w:color w:val="000000"/>
          <w:sz w:val="20"/>
          <w:lang w:val="en-US" w:eastAsia="en-US" w:bidi="ar-SA"/>
        </w:rPr>
        <w:t>, McEachern C.J.B.C. cited the above passage and said the driver with the right of way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could only be found to have not used reasonable care if he should have become aware of the defendant's failure to comply with the obligation cast by law upon him and if the plaintiff had sufficient opportunity to avoid the accident of which a reasonable, careful and skilful driver would have availed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Another frequently cited statement comes from </w:t>
      </w:r>
      <w:r>
        <w:rPr>
          <w:rFonts w:ascii="arial" w:eastAsia="arial" w:hAnsi="arial" w:cs="arial"/>
          <w:b/>
          <w:i/>
          <w:color w:val="000000"/>
          <w:sz w:val="20"/>
          <w:lang w:val="en-US" w:eastAsia="en-US" w:bidi="ar-SA"/>
        </w:rPr>
        <w:t>Gill v. Canadian Pacific Railway</w:t>
      </w:r>
      <w:r>
        <w:rPr>
          <w:rFonts w:ascii="arial" w:eastAsia="arial" w:hAnsi="arial" w:cs="arial"/>
          <w:color w:val="000000"/>
          <w:sz w:val="20"/>
          <w:lang w:val="en-US" w:eastAsia="en-US" w:bidi="ar-SA"/>
        </w:rPr>
        <w:t xml:space="preserve">, </w:t>
      </w:r>
      <w:hyperlink r:id="rId680" w:history="1">
        <w:r>
          <w:rPr>
            <w:rFonts w:ascii="arial" w:eastAsia="arial" w:hAnsi="arial" w:cs="arial"/>
            <w:i/>
            <w:color w:val="0077CC"/>
            <w:sz w:val="20"/>
            <w:u w:val="single"/>
            <w:shd w:val="clear" w:color="auto" w:fill="FFFFFF"/>
            <w:lang w:val="en-US" w:eastAsia="en-US" w:bidi="ar-SA"/>
          </w:rPr>
          <w:t>[1973] S.C.R. 654</w:t>
        </w:r>
      </w:hyperlink>
      <w:r>
        <w:rPr>
          <w:rFonts w:ascii="arial" w:eastAsia="arial" w:hAnsi="arial" w:cs="arial"/>
          <w:color w:val="000000"/>
          <w:sz w:val="20"/>
          <w:lang w:val="en-US" w:eastAsia="en-US" w:bidi="ar-SA"/>
        </w:rPr>
        <w:t xml:space="preserve"> at 665: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trite law that, faced with a sudden emergency for the creation of which the driver is not responsible, he cannot be held to a standard of conduct which one sitting in the calmness of a courtroom later might determine was the best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Clark v. Hebb</w:t>
      </w:r>
      <w:r>
        <w:rPr>
          <w:rFonts w:ascii="arial" w:eastAsia="arial" w:hAnsi="arial" w:cs="arial"/>
          <w:color w:val="000000"/>
          <w:sz w:val="20"/>
          <w:lang w:val="en-US" w:eastAsia="en-US" w:bidi="ar-SA"/>
        </w:rPr>
        <w:t xml:space="preserve">, </w:t>
      </w:r>
      <w:hyperlink r:id="rId681" w:history="1">
        <w:r>
          <w:rPr>
            <w:rFonts w:ascii="arial" w:eastAsia="arial" w:hAnsi="arial" w:cs="arial"/>
            <w:i/>
            <w:color w:val="0077CC"/>
            <w:sz w:val="20"/>
            <w:u w:val="single"/>
            <w:shd w:val="clear" w:color="auto" w:fill="FFFFFF"/>
            <w:lang w:val="en-US" w:eastAsia="en-US" w:bidi="ar-SA"/>
          </w:rPr>
          <w:t>2007 BCSC 883</w:t>
        </w:r>
      </w:hyperlink>
      <w:r>
        <w:rPr>
          <w:rFonts w:ascii="arial" w:eastAsia="arial" w:hAnsi="arial" w:cs="arial"/>
          <w:color w:val="000000"/>
          <w:sz w:val="20"/>
          <w:lang w:val="en-US" w:eastAsia="en-US" w:bidi="ar-SA"/>
        </w:rPr>
        <w:t xml:space="preserve">, L. Smith J. cited that passage from </w:t>
      </w:r>
      <w:r>
        <w:rPr>
          <w:rFonts w:ascii="arial" w:eastAsia="arial" w:hAnsi="arial" w:cs="arial"/>
          <w:b/>
          <w:i/>
          <w:color w:val="000000"/>
          <w:sz w:val="20"/>
          <w:lang w:val="en-US" w:eastAsia="en-US" w:bidi="ar-SA"/>
        </w:rPr>
        <w:t>Gill</w:t>
      </w:r>
      <w:r>
        <w:rPr>
          <w:rFonts w:ascii="arial" w:eastAsia="arial" w:hAnsi="arial" w:cs="arial"/>
          <w:color w:val="000000"/>
          <w:sz w:val="20"/>
          <w:lang w:val="en-US" w:eastAsia="en-US" w:bidi="ar-SA"/>
        </w:rPr>
        <w:t xml:space="preserve"> adding that a driver must still "take reasonable steps to ensure that he or she is able to react to reasonably foreseeable emergencies." In the circumstances of this case, I find that Ms. Angotti's attempt to make a left turn in front of approaching traffic was not a reasonably foreseeable emergency.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If I were being asked to decide liability as between Ms. Angotti and Ms. Baxter for the collision between their cars, there would be little doubt of Ms. Angotti's sole liability. Mr. Carvalho had the same right of way as Ms. Baxter did. His sudden swerve was a heat of the moment reaction to the dangerous situation that Ms. Angotti created.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Carvalho's evidence is that when he saw the Angotti vehicle it was directly in front of him. He cannot explain why he did not see it leaving the driveway, which suggests he was keeping a less than satisfactory lookout. But even if one assumes there was an earlier point at which he could or should have seen the Angotti vehicle moving into his lane, there is no evidence that the extra time would have been long enough to allow him to act any differently.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therefore do not assess any portion of liability against Mr. Carvalho and hold Ms. Angotti solely liable for the impact affecting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First Accident --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the days following the accident, the plaintiff had pain in her jaw and reduced ability to open her mouth. That was documented by her family physician, Dr. Lutsky, who saw her two days after the accident. She had suffered a jaw injury in an accident in 1986, but testified that she had recovered from that injury several years earlier, although she still needed to wear a dental appliance at night and while eating certain foods. In addition to her jaw symptoms, the plaintiff had headaches, bruising and pain in her right knee, and pain and stiffness in her right shoulder and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jaw injury was treated by a dental specialist, Dr. Blasberg. He diagnosed a soft tissue injury to the jaw joints and jaw muscles and identified the motor vehicle accident as the probable cause of that injury, which he said can occur without direct trauma to the jaw. On May 27, 2005, approximately three months after the accident, Dr. Blasberg measured the plaintiff's maximum mouth opening at 25 mm. with pain. (Normal pain-free opening is at least 40 mm.) The plaintiff was also complaining of pain in the jaw muscles and temporomandibular joint.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Blasberg noted mild improvement by January, 2006 and further improvement by September, 2006. On September 29, 2006, the day before the second accident at issue, her mouth opening had increased to 32 mm, although her jaw was still stiff and she still had pain in the joint and jaw muscles.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other injuries were assessed by Dr. Shuckett, a rheumatologist, in August, 2005. She noted pain and decreased range of motion in the right knee and pain in a number of locations, consistent with fibromyalgia. Dr. Shuckett attributed the plaintiff's ongoing disability primarily to the wrist injury, although she deferred to Dr. Blasberg on questions related to the jaw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September, 2005, the plaintiff's father died suddenly under tragic circumstances, which the plaintiff said caused a depression lasting into November.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last saw Dr. Shuckett in June, 2006. The knee symptoms were continuing and Dr. Shuckett described this as mechanical knee pain, which could continue "in the longer term future". However, Dr. Shuckett does not believe this will be disabling or put her at increased risk of arthritis. In her medical-legal report and her evidence at trial, Dr. Shuckett attributed the knee injury to the motor vehicle accident, but was not prepared to offer an opinion linking the fibromyalgia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Shuckett did not identify any particular difficulty with the neck or shoulder, but the plaintiff says she continued to have pain and stiffness in the neck and shoulder after that time. Based on her evidence and the complaints recorded by Dr. Lutsky, I find the plaintiff continued to have occasional, relatively minor, neck and shoulder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said that her symptoms began to improve in early 2006, as a result of an exercise program that Dr. Shuckett recommended. She also attended physiotherapy. In March, 2006, the plaintiff began a new part-time job, which became full-time in August,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By September, 2006, the plaintiff said her knee had improved, but she still had to hold onto a railing when going upstairs and twisting motions still caused pain. She thought her jaw symptoms had improved at least 80 per cent by that point, although she was still unable to eat certain foods. The neck had improved more than the jaw.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second accident occurred on Sept. 30, 2006 on Knight Street in Vancouver. The plaintiff was a back seat passenger in a car that her husband was driving. The car was stopped when it was struck from the rear by a car driven by the defendant Qiao Huang. Ms. Huang said she was attempting to stop, but skidded on the wet road. There was no substantial damage noted to either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Following the second accident, the plaintiff had severe headaches and neck pain, reduced mouth opening and increased knee pain. On the morning after the accident, she went to hospital because of headaches and neck pain. Dr. Lutsky described the plaintiff as having a "flare-up" of symptoms following the second accident. He noted that her symptoms were improving again by January, 2007, with further improvement by April. The second accident did not cause the plaintiff to lose any time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Blasberg said the jaw condition was aggravated by the second accident. By July, 2007, when Dr. Blasberg last saw the plaintiff, her ability to open her mouth had still not returned to what it had been in September, 2006. Dr. Blasberg expects the plaintiff to recover, but believes she will require treatment for another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says her knee is still tender and will not bend properly. She has difficulty squatting or kneeling and must wear supportive running shoes. She says she also still suffers from daily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defendants argue that both impacts, but particularly the impact in the second accident, were minimal and unlikely to cause significant injury. Evidence of vehicle damage may or may not be relevant in assessing the extent of a plaintiff's physical injury, but proves nothing in and of itself. In an oft-quoted passage, Thackray J. said in </w:t>
      </w:r>
      <w:r>
        <w:rPr>
          <w:rFonts w:ascii="arial" w:eastAsia="arial" w:hAnsi="arial" w:cs="arial"/>
          <w:b/>
          <w:i/>
          <w:color w:val="000000"/>
          <w:sz w:val="20"/>
          <w:lang w:val="en-US" w:eastAsia="en-US" w:bidi="ar-SA"/>
        </w:rPr>
        <w:t>Gordon v. Palmer,</w:t>
      </w:r>
      <w:r>
        <w:rPr>
          <w:rFonts w:ascii="arial" w:eastAsia="arial" w:hAnsi="arial" w:cs="arial"/>
          <w:color w:val="000000"/>
          <w:sz w:val="20"/>
          <w:lang w:val="en-US" w:eastAsia="en-US" w:bidi="ar-SA"/>
        </w:rPr>
        <w:t xml:space="preserve"> </w:t>
      </w:r>
      <w:hyperlink r:id="rId616" w:history="1">
        <w:r>
          <w:rPr>
            <w:rFonts w:ascii="arial" w:eastAsia="arial" w:hAnsi="arial" w:cs="arial"/>
            <w:i/>
            <w:color w:val="0077CC"/>
            <w:sz w:val="20"/>
            <w:u w:val="single"/>
            <w:shd w:val="clear" w:color="auto" w:fill="FFFFFF"/>
            <w:lang w:val="en-US" w:eastAsia="en-US" w:bidi="ar-SA"/>
          </w:rPr>
          <w:t>(1993), 78 B.C.L.R. (2d) 236</w:t>
        </w:r>
      </w:hyperlink>
      <w:r>
        <w:rPr>
          <w:rFonts w:ascii="arial" w:eastAsia="arial" w:hAnsi="arial" w:cs="arial"/>
          <w:color w:val="000000"/>
          <w:sz w:val="20"/>
          <w:lang w:val="en-US" w:eastAsia="en-US" w:bidi="ar-SA"/>
        </w:rPr>
        <w:t xml:space="preserve"> at 237 (BCSC):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subscribe to the view that if there is no motor vehicle damage then there is no injury. That is a philosophy that the Insurance Corporation of British Columbia may follow, but it has no application in court. It is not a legal principle of which I am aware and I have never heard it endorsed as a medical principle.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Yeh v. Ford Credit Canada Ltd.</w:t>
      </w:r>
      <w:r>
        <w:rPr>
          <w:rFonts w:ascii="arial" w:eastAsia="arial" w:hAnsi="arial" w:cs="arial"/>
          <w:color w:val="000000"/>
          <w:sz w:val="20"/>
          <w:lang w:val="en-US" w:eastAsia="en-US" w:bidi="ar-SA"/>
        </w:rPr>
        <w:t xml:space="preserve"> </w:t>
      </w:r>
      <w:hyperlink r:id="rId682" w:history="1">
        <w:r>
          <w:rPr>
            <w:rFonts w:ascii="arial" w:eastAsia="arial" w:hAnsi="arial" w:cs="arial"/>
            <w:i/>
            <w:color w:val="0077CC"/>
            <w:sz w:val="20"/>
            <w:u w:val="single"/>
            <w:shd w:val="clear" w:color="auto" w:fill="FFFFFF"/>
            <w:lang w:val="en-US" w:eastAsia="en-US" w:bidi="ar-SA"/>
          </w:rPr>
          <w:t>(1996), 25 B.C.L.R. (3d) 318</w:t>
        </w:r>
      </w:hyperlink>
      <w:r>
        <w:rPr>
          <w:rFonts w:ascii="arial" w:eastAsia="arial" w:hAnsi="arial" w:cs="arial"/>
          <w:color w:val="000000"/>
          <w:sz w:val="20"/>
          <w:lang w:val="en-US" w:eastAsia="en-US" w:bidi="ar-SA"/>
        </w:rPr>
        <w:t xml:space="preserve"> at 321 (BCSC), Taylor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Such evidence is therefore relevant with respect to what injuries resulted from the impact and to the issue of the credibility of the plaintiff who asserts such injuries, by reason of the fact that such injuries often do not have objective symptoms. Such evidence may, depending upon the extent of the property damage, either contradict or corroborate evidence of personal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this case, the plaintiff has testified to a worsening of her symptoms following the second accident and there is medical evidence documenting changes in her symptoms and clinical findings. I therefore accept the plaintiff's evidence that there was a worsening of her condition following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summary, I find that the first accident caused soft tissue injuries to the plaintiff's shoulder, neck, knee and jaw. She was unable to work for a year following the accident, although by late 2005 her ongoing, accident related symptoms were a relatively minor aggravation of a disability primarily attributable to her pre-existing wrist injury. By the time of the second accident, I find the plaintiff had almost, although not completely, recovered from the injuries she suffered in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second accident aggravated the plaintiff's soft tissue injuries. With one exception, these additional injuries largely resolved within six months. The exception is the jaw, where there has been a more significant setback and full recovery may take up to two more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injuries caused by these two accidents resulted in pain and suffering that was separate and distinct from the pre-existing wrist injury. However, the wrist injury would have curtailed many of the plaintiff's activities and interfered with her enjoyment of life in any event. I find that the plaintiff has now reached the point where her wrist is the major source of any ongoing disability or interference with her normal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have read the case authorities submitted by counsel and have taken into account the effects of the pre-existing injury. If I had been assessing damages the day before the second accident occurred, I would have awarded non-pecuniary damages of $15,000. I conclude that a fair global award for non-pecuniary damages from both accidents is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said earlier, the plaintiff is a medical office assistant who, at the time of the first accident, had been employed at the same location for approximately 28 years. Her income for 2004 was $32,300. In July, 2004, she was given notice that the office where she worked was going to be closed and her employment terminated as of February 28, 2005. The plaintiff believed that, with her experience, she would have no difficulty finding another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Although her previous work related wrist injury was interfering with her ability to handle files and medical supplies and to type, she continued to work for most of the time between the wrist injury and the first accident. She missed two weeks of work in November, 2004 which I find was likely related to the wrist injury, and a week in January, 2005, following a cortisone injection in her wrist. In February, 2005, she aggravated her wrist injury using a computer mouse at an employment agency. She was off work for a week and returned on February 16, 2005 - three days before the first accident. By that time she was simply working out her notice period in an office that had already closed and had no duties to perform.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sought work again in February, 2006 and found a job in a medical office beginning March 2, 2006. Initially she worked three days a week, with two of those days including physical duties that aggravated her wrist and knee symptoms. The third day involved mostly telephone work, booking appointments and referrals, which the plaintiff found she was able to do without pain. She has been performing those lighter duties on a full-time basis since August, 2006. She lost no additional time at work following the second accident and now earns $30,000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Shuckett's opinion is that the wrist injury, which predated the first accident, is responsible for any ongoing limitations in the plaintiff's ability to work. She does not believe the ongoing knee symptoms will cause any work-related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was unemployed for a year, losing income of approximately $30,000, but I find that only part of that loss can fairly be attributed to the first accident. Her previous position was being terminated as of February 28, 2005, but, as a very experienced medical office assistant, she would likely have had no difficulty finding a similar job if she had been healthy. However, even without the injuries suffered in the accident, she was not entirely healthy. Her previous wrist injury was still symptomatic and aggravated by many of the duties she would normally have to perform. It had not totally disabled her in the months before February, 2005 and there is no evidence it would have done so after that, but I find it would have limited her employment options and made her less attractive to some employers.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When the plaintiff returned to the work force in March, 2006, she was restricted to part-time work until she could get full-time work with duties that were less physically demanding. I find that, had she not been injured in the first accident, the wrist injury would have imposed a similar pattern. The death of her father would also have resulted in some time off work, although I think that would have been a relatively short period if the plaintiff had been employed at the time. I conclude that roughly half of the plaintiff's income loss is properly attributable to the first accident and award damages of $15,000. That is a gross figure that must be adjusted for the tax the plaintiff would have had to pay on that income. Counsel may speak to that issue if they are unable to agree on the correct figure.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plaintiff is currently employed full-time and is able to perform the duties of her current job, although those duties are much lighter than what she used to do. Her counsel submits there has been a loss of future earning capacity. That loss, if any, is to be assessed in accordance with the principles set out in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at 356,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At least the first three of those factors apply to the plaintiff, but I have found that is the result of her pre-existing wrist injury. Dr. Shuckett's report is very clear.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sedentary work she would be doing as a medical office assistant would involve repetitive strain of the right hand and wrist. However, I do not believe it would disturb her knee too much. Thus, I do not believe that an inability to work is based upon the right knee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Counsel for the plaintiff concedes that the wrist is the major reason that the plaintiff's employment options have been reduced, but argues there is a risk of the knee interfering with employment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Marcelino v. Francesutti</w:t>
      </w:r>
      <w:r>
        <w:rPr>
          <w:rFonts w:ascii="arial" w:eastAsia="arial" w:hAnsi="arial" w:cs="arial"/>
          <w:color w:val="000000"/>
          <w:sz w:val="20"/>
          <w:lang w:val="en-US" w:eastAsia="en-US" w:bidi="ar-SA"/>
        </w:rPr>
        <w:t xml:space="preserve">, </w:t>
      </w:r>
      <w:hyperlink r:id="rId683" w:history="1">
        <w:r>
          <w:rPr>
            <w:rFonts w:ascii="arial" w:eastAsia="arial" w:hAnsi="arial" w:cs="arial"/>
            <w:i/>
            <w:color w:val="0077CC"/>
            <w:sz w:val="20"/>
            <w:u w:val="single"/>
            <w:shd w:val="clear" w:color="auto" w:fill="FFFFFF"/>
            <w:lang w:val="en-US" w:eastAsia="en-US" w:bidi="ar-SA"/>
          </w:rPr>
          <w:t>2002 BCSC 1711</w:t>
        </w:r>
      </w:hyperlink>
      <w:r>
        <w:rPr>
          <w:rFonts w:ascii="arial" w:eastAsia="arial" w:hAnsi="arial" w:cs="arial"/>
          <w:color w:val="000000"/>
          <w:sz w:val="20"/>
          <w:lang w:val="en-US" w:eastAsia="en-US" w:bidi="ar-SA"/>
        </w:rPr>
        <w:t xml:space="preserve">, Chamberlist J. said there must be "some cogent evidence" to trigger any of the </w:t>
      </w:r>
      <w:r>
        <w:rPr>
          <w:rFonts w:ascii="arial" w:eastAsia="arial" w:hAnsi="arial" w:cs="arial"/>
          <w:b/>
          <w:i/>
          <w:color w:val="000000"/>
          <w:sz w:val="20"/>
          <w:lang w:val="en-US" w:eastAsia="en-US" w:bidi="ar-SA"/>
        </w:rPr>
        <w:t>Brown v. Golaiy</w:t>
      </w:r>
      <w:r>
        <w:rPr>
          <w:rFonts w:ascii="arial" w:eastAsia="arial" w:hAnsi="arial" w:cs="arial"/>
          <w:color w:val="000000"/>
          <w:sz w:val="20"/>
          <w:lang w:val="en-US" w:eastAsia="en-US" w:bidi="ar-SA"/>
        </w:rPr>
        <w:t xml:space="preserve"> considerations. That was followed in </w:t>
      </w:r>
      <w:r>
        <w:rPr>
          <w:rFonts w:ascii="arial" w:eastAsia="arial" w:hAnsi="arial" w:cs="arial"/>
          <w:b/>
          <w:i/>
          <w:color w:val="000000"/>
          <w:sz w:val="20"/>
          <w:lang w:val="en-US" w:eastAsia="en-US" w:bidi="ar-SA"/>
        </w:rPr>
        <w:t>Moore v. Cabral et al,</w:t>
      </w:r>
      <w:r>
        <w:rPr>
          <w:rFonts w:ascii="arial" w:eastAsia="arial" w:hAnsi="arial" w:cs="arial"/>
          <w:color w:val="000000"/>
          <w:sz w:val="20"/>
          <w:lang w:val="en-US" w:eastAsia="en-US" w:bidi="ar-SA"/>
        </w:rPr>
        <w:t xml:space="preserve"> </w:t>
      </w:r>
      <w:hyperlink r:id="rId684" w:history="1">
        <w:r>
          <w:rPr>
            <w:rFonts w:ascii="arial" w:eastAsia="arial" w:hAnsi="arial" w:cs="arial"/>
            <w:i/>
            <w:color w:val="0077CC"/>
            <w:sz w:val="20"/>
            <w:u w:val="single"/>
            <w:shd w:val="clear" w:color="auto" w:fill="FFFFFF"/>
            <w:lang w:val="en-US" w:eastAsia="en-US" w:bidi="ar-SA"/>
          </w:rPr>
          <w:t>2006 BCSC 920</w:t>
        </w:r>
      </w:hyperlink>
      <w:r>
        <w:rPr>
          <w:rFonts w:ascii="arial" w:eastAsia="arial" w:hAnsi="arial" w:cs="arial"/>
          <w:color w:val="000000"/>
          <w:sz w:val="20"/>
          <w:lang w:val="en-US" w:eastAsia="en-US" w:bidi="ar-SA"/>
        </w:rPr>
        <w:t>, where MacKenzie J. said that "ongoing symptoms alone do not mandate an award for loss of earning capacity" (at para.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has ongoing symptoms in her knee, but there is no evidence of any real possibility that injury, in and of itself, will impair her earning capacity. The plaintiff has failed to establish any basis for an award under this head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will require ongoing treatment of her jaw injury for up to two years. This will include physiotherapy and visits to Dr. Blasberg. The evidence supports an award of $1,700.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has submitted a list of special damages totaling $3,987.73. The defendants dispute only two items on that list. One of those items is for the purchase of running shoes and I agree with defence counsel that this is a normal living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other item in dispute is the plaintiff's claim for mileage to and from medical and therapy appointments. The plaintiff claims this at 45 cents per kilometer, which is the amount set out in Appendix C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as payable to the sheriff. Obviously, the plaintiff is not a sheriff. Defence counsel says the appropriate amount is 30 cents per kilometer, which is the amount Appendix C allows for witnesses. However, I do not find that comparison to be completely applicable because it deals with a witness attending on a single occasion, not repeated trips over a lengthy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Perhaps the best comparison would be the amount paid by employers to employees who must use their own cars from time to time in the course of their employment. However, given the small amount at issue, it would not be reasonable to expect any party to go to the trouble and expense of obtaining that evidence. I can therefore do no more than arbitrarily split the difference between the plaintiff's and defendants' positions and award 37.5 cents per kilometer. After making those adjustments, I award special damages of $3,756.97.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have found Ms. Angotti solely liable for the first accident. Liability for the second accident is admitted. The plaintiff is awarded $25,000 for non pecuniary damages, $15,000 (gross) for past wage loss, $1,700 for the cost of future care, and $3,756.97 for special damages. Counsel may speak to costs if they are unable to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N.H. SMITH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9" style="position:absolute;z-index:2518507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Colibao Chingcuangco v. Herback, [2013] B.C.J. No. 293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 Weatherill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28-31,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20,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M103203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268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Mabel Colibao Chingcuangco (now Mabel Colibao Halliday), Plaintiff, and Matthew Daniel Herback and Edgardo Limjuco Rafael,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0"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8" w:name="Keywords_38"/>
      <w:bookmarkEnd w:id="248"/>
      <w:r>
        <w:rPr>
          <w:rFonts w:ascii="arial" w:eastAsia="arial" w:hAnsi="arial" w:cs="arial"/>
          <w:b/>
          <w:color w:val="000000"/>
          <w:sz w:val="20"/>
          <w:lang w:val="en-US" w:eastAsia="en-US" w:bidi="ar-SA"/>
        </w:rPr>
        <w:t>Damages — Types of damages — For personal injuries — Loss of earning capacity — Special damages — Past loss of income — Expenses and expenditures — Dental — Therapy or rehabilitation — Non-Pecuniary loss — Pain and suffering --- Action for personal injuries suffered in 2008 motor vehicle accident allowed — Plaintiff suffered whiplash injuries to neck and back and suffered headaches — Plaintiff commenced College courses in 2009 while working but had to reduce her workload due to pain — Plaintiff awarded non-pecuniary damages of $45,000 — Plaintiff awarded lost wages from Revenue Agency of $7,942 and $1,350 for lost wages from second job — Award for lost sick leave and vacation benefits totaled $7,371 — Loss of earning capacity totaled $2,684 — Future care costs totaled $1,760 — Plaintiff awarded special damages of $2,464.</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Rules of the road — Action for personal injuries suffered in 2008 motor vehicle accident allowed — Plaintiff alleged defendant Herback's vehicle made a left turn in front of her vehicle in an intersection, thereby causing collision — Herback was solely liable for the accident — Herback's vehicle attempted to beat the plaintiff's oncoming vehicle by making a left turn across its path when it was unsafe to do so.</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9" w:name="Case Summary_35"/>
            <w:bookmarkEnd w:id="24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personal injuries suffered in a 2008 motor vehicle accident. The plaintiff, 25, was a passenger in a vehicle driven by the defendant Rafael. The plaintiff alleged that as her vehicle approached an intersection on a green light, the defendant Herback made a left hand turn in front of her car, causing the collision. Herback claimed that the plaintiff's vehicle was in the right turn only lane and, instead of turning, moved into the centre lane and went through the intersection. Rafael denied that the plaintiff's vehicle was ever in the right turn lane. As a result of the accident, the plaintiff suffered pain to her neck, back pain and headaches. When her accumulated sick leave days were exhausted, she had to take sick leave without pay. In January 2009, the plaintiff began taking courses for the psychiatric nursing program. She had to reduce her work hours at the Revenue Agency due to the pain she experienced from the accident. She was not able to focus during her college studies due to ongoing headaches and pain in her neck and lower back. The plaintiff abandoned her plans to become a psychiatric nurse. Instead, she was focussing on furthering her career at the Revenue Agency by taking accounting courses. The plaintiff continued to experience persistent pain and muscle spasms and would continue to have episodic flare-ups of pain in her lower back and cervical spine with associated headaches.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0" w:name="Holdings of Court_26"/>
            <w:bookmarkEnd w:id="250"/>
            <w:r>
              <w:rPr>
                <w:rFonts w:ascii="arial" w:eastAsia="arial" w:hAnsi="arial" w:cs="arial"/>
                <w:color w:val="000000"/>
                <w:sz w:val="20"/>
                <w:lang w:val="en-US" w:eastAsia="en-US" w:bidi="ar-SA"/>
              </w:rPr>
              <w:t>HELD: Action allowed against Herback.</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Herback was solely liable for the accident. Herback's vehicle attempted to beat the plaintiff's oncoming vehicle by making a left turn across its path when it was unsafe to do so. There was no evidence that Rafael had sufficient opportunity to avoid the collision. It was reasonable to expect the plaintiff would be fully recovered within five years. She was awarded non-pecuniary damages of $45,000. Considering the evidence that the plaintiff was an extremely energetic, conscientious and hardworking individual, the court was satisfied that the hours of work the plaintiff missed at work were due to the pain and discomfort she was in as a result of the accident and not because she was attending a few classes at College. But for the accident, the plaintiff would have worked full time while she was attending College. The plaintiff was entitled to recover net lost wages from the Revenue Agency of $7,942. She was also entitled to $1,350 for the lost wages from a second job she was unable to continue due to the accident. The plaintiff was entitled to be compensated for her lost sick leave and vacation benefits which totaled $7,371. It was reasonable to expect she would be unable to work no more than three days per year due to lower back and neck pain and muscle spasm resulting from the accident for the next five years. As a result she was entitled to loss of earning capacity of $2,684 based on an annual loss of income of $577. The plaintiff would require future massage and physiotherapy sessions to help relieve her pain flare-ups. She was entitled to future care costs of $1,760. The plaintiff was entitled to recover special damages in the amount of $2,464.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1" w:name="Counsel_39"/>
      <w:bookmarkEnd w:id="25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1"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 Marcoux.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Matthew Daniel Herback: C. Thiessen.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Edgardo Limjuco Rafael: B. Hirsch.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2" w:name="Judgment_39"/>
      <w:bookmarkEnd w:id="252"/>
      <w:r>
        <w:pict>
          <v:line id="_x0000_s1212" style="position:absolute;z-index:2518016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3" w:name="G. WEATHERILL J."/>
            <w:bookmarkEnd w:id="253"/>
            <w:r>
              <w:rPr>
                <w:rFonts w:ascii="arial" w:eastAsia="arial" w:hAnsi="arial" w:cs="arial"/>
                <w:b/>
                <w:color w:val="000000"/>
                <w:sz w:val="30"/>
                <w:lang w:val="en-US" w:eastAsia="en-US" w:bidi="ar-SA"/>
              </w:rPr>
              <w:t>G. WEATHERILL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[1] On September 15, 2008, the plaintiff was a passenger in a vehicle she owned and which was being driven by her then boyfriend, the defendant Edgardo Lumjuco Rafael ("Rafael"). At the intersection of 88th Avenue and 156th Street, Surrey, British Columbia, her vehicle collided with a vehicle owned and operated by the defendant Matthew Daniel Herback ("Herback").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[2] The plaintiff sustained various injuries as a result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[3] At issue is which of the two drivers was at fault. Also at issue is the extent of the plaintiff's injuries and the quantum of damages to which she is entitled.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[4] The following is a summary of the evidence provided by witnesses called as part of the plaintiff's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[5] At the time of the accident the plaintiff was 25 years old and was working as a data entry clerk at Canada Revenue Agency ("CRA") in Surrey. She commenced her employment there on May 3, 2004. She was also working on Saturdays at Ingledew's Shoes ("Ingledew's").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[6] As a unionized employee of CRA, the plaintiff enjoys a somewhat flexible work schedule. She must work 150 hours over a four week period. She is able to arrange her schedule such that she works 9.5 hours three days per week and 7.5 hours one day per week, making up the balance of the 150 hours as necessary. The plaintiff is also entitled to sick leave with pay, which she is able to accumulate at the rate of 9.375 hours for each calendar month in which she receives pay for at least ten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[7] The plaintiff had been conditionally accepted into a psychiatric nursing program at Douglas College. Her flexible work schedule allowed her to take the prerequisite courses she needed while still working full time for CRA.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[8] The plaintiff was also recreationally active. She hiked, worked out at the gym and took cardio kick-boxing lessons. She was generally healthy, although she experienced headaches two to four times per month that felt like migraines.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[9] On September 15, 2008, the plaintiff was picked up after work by Rafael in the plaintiff's car. They proceeded east along 88th Avenue on their way to Rafael's house. They were in the centre of three eastbound lanes. The plaintiff estimated their speed at approximately 50 kph, which is the posted speed limit. As they approached the 156th Street intersection, the light was green in their direction. A red car that was approaching them westbound along 88th Avenue turned left in front of them onto 156th Street. It had ample room to do so. As they entered the intersection, a second vehicle (driven by Herback) which was also proceeding westbound along 88th Avenue followed the red car by turning left onto 156th Street. It did not have room to do so. It turned directly in front of the plaintiff's vehicle which had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[10] The plaintiff recalls that she slammed her right foot into the front passenger floorboard in a futile attempt to apply non-existent brakes. A collision occurred. The air bags in the plaintiff's vehicle did not deploy.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[11] The impact caused the plaintiff's body to be thrown forward and, when her seatbelt engaged, then backward. She does not recall her head hitting the headrest. Initially she felt as though she couldn't breathe - like her chest had "caved in". She was crying and in shock. Her right toe felt like it was fractured. She chipped a tooth during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[12] She remained in her vehicle until an ambulance arrived. She was placed in a neck brace and on a stretcher and taken to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[13] Although x-rays of her chest and right toe were normal, her entire body felt stiff and sore. She had bruising from the seat belt which lasted for two to three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[14] In the days and weeks following the accident, she began to get severe headaches and experience some dizziness. She developed pain in her neck and lower back. Her neck was stiff and movement was restricted by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[15] She did not return to work at CRA for two weeks. She never did return to work at Ingledew's.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[16] The trauma of the accident resulted in the plaintiff being emotionally unable to drive until mid-May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[17] On September 30, 2008 she returned to work at CRA but only for three hours of her scheduled 7.5 hour shift. Thereafter, from October 1, 2008 to the end of December 2008, she worked sporadically. Her job entails sitting long hours at a desk. She found that her neck, back pain and headaches were aggravated by such long periods of sitting. She worked when she could and went home when the pain was such that she could not work any longer. Initially, she was able to take sick leave with pay but when her accumulated sick leave days were exhausted, she had to take sick leave without pay, with the exception of a few days when she used her vacation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[18] During the period September 15 to December 31, 2008, the plaintiff attended 22 physiotherapy treatment sessions. She was prescribed Tylenol 2, Tylenol 3 and Celebrex for her pain. She was also prescribed muscles relaxants and sleeping aids.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[19] The plaintiff's doctor referred her to Karp Rehabilitation, where she attended an exercise program for 12 visits. There was only marginal improvement. She was then referred to massage therapy at Legacies Sports Massage. She attended 36 massage sessions from April 29, 2011 to January 18,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[20] Commencing January 2009, the plaintiff began taking prerequisite courses at Douglas College for the psychiatric nursing program. She reduced her weekly CRA work hours from 37.5 to 27.5. Her reason for doing so was in part because she was trying to manage her course load at Douglas College and in part because she felt she was beginning to look bad in the eyes of her employer for taking so many sick leave days. She testified that she would not have reduced her work hours had the accident not occurred as she would have been able to manage her schooling without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[21] She found that she was not able to focus during her college studies due to ongoing headaches and pain in her neck and lower back. She found the courses to be a challenge. She lost interest in them. She failed her human anatomy course. She took it a second time and barely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[22] In April 2009, her family doctor, Dr. Mergens, approved her return to full time work at CRA. However, she only increased her work hours from 27.5 to 29.5 hours per week. She testified that she still needed to take time off due to pain. In June 2009 she increased her hours again to 31.5 hours per week. In September 2009, after she had completed her prerequisite courses for the nursing program, she returned to the full time equivalent of 37.5 hours per week at CRA. Even though she continued to suffer from neck and lower back pain as well as headaches, in her words "life was back to normal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[23] In September 2009, she returned to cardio kick-boxing lessons. Unfortunately, those lessons resulted in her pain flaring up and becoming intense again. This flare-up lasted four to five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[24] In February 2010 and again in the fall of 2010, the plaintiff experienced other pain flare-up episodes which lasted approximately one week on each occasion. Other than those flare-ups, 2010 was a good year for the plaintiff pain-wise. She was able to return to her pre-accident cardio kick-boxing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[25] The flare-ups returned in the spring and fall of 2011. Otherwise, 2011 was a good year pain-wise.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[26] In November 2012, the plaintiff experienced another flare-up that was so intense she was unable to go to work for one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[27] On cross-examination the plaintiff agreed the bruising from the accident was resolved within two to three months. Her chest and right toe pain were resolved by 2009. Her lower back pain was more or less resolved by late 2009/early 2010, although activities would aggravate it. Her headaches remained constant after the accident for about two weeks and then returned while she was at work. They are now infrequent. Finally, she has neck pain that flares up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[28] The plaintiff continues to have bad days. She generally feels she is getting better but she still lives with some lower back pain. She is resolute that it will not take over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[29] The plaintiff has resumed hiking, although her hikes are not as frequent or lengthy. Her gym routine is not as frequent or intense as it was prior to the accident, in part because she has less time with her school work load. She is able to perform household chores without restriction.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[30] The plaintiff has abandoned her plans to become a psychiatric nurse. Instead, she is focussing on furthering her career at CRA by taking accounting courses at Douglas College. Her plan is to become a CRA auditor.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 Violet Leeson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[31] Ms. Leeson was an employee of CRA for over 33 years until her retirement in September 2012. For the last 26 years she has been a team leader. She supervised approximately 15 employees. From 2006 until 2010 the plaintiff was part of her 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[32] Before the accident, she described the plaintiff's work as dependable and conscientious. The plaintiff was extremely efficient and she was seldom absent. She never complained of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[33] In Ms Leeson's words, the plaintiff was driven to do her very best at all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[34] Upon the plaintiff's return to work after the accident, she observed that the plaintiff was in obvious pain - she could see it in her eyes. The plaintiff would try to soldier on (she told Ms. Leeson that she did not want to let her down) but often couldn't and Ms. Leeson would tell her to rest or go home. Other team members would help the plaintiff perform her work duties when the plaintiff was suffering from debilitating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[35] Ms. Leeson arranged for an ergonomic specialist to examine the plaintiff's work station. Changes were made to her mouse, keyboard and chair.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[36] Ms. Leeson observed the plaintiff in pain and having occasional bad days right up until her retirement in September 2012.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iii. Linda Parris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[37] Ms. Parris has worked at CRA since 2007 either on the same team as the plaintiff or in the same office area. The plaintiff and Ms. Parris became friends and they worked out at the gym together. It was Ms. Parris who introduced the plaintiff to cardio kick-boxing.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[38] Ms. Parris described the plaintiff as being very social, happy and full of energy prior to the accident. She does not recall the plaintiff ever complaining of headaches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[39] When she first saw the plaintiff after the accident, the plaintiff was obviously sore. Her movement was stiff and limited. She complained of pain and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[40] Upon the plaintiff's return to work after the accident, Ms. Parris observed her in pain and she tried to assist her as best she could. The plaintiff's work days were short. She used a heating pad on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[41] As best Ms. Parris could recall, the plaintiff resumed her normal recreational activities approximately one year after the accident, including cardio kick-boxing, although she moved with care and here movements were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[42] Ms. Parris testified that she and the plaintiff work out in the gym together once every couple of weeks. They also attend kick-boxing classes. However, she can tell from the way the plaintiff moves that she has occasional pain and discomfort.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iv. Josh Halliday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[43] Mr. Halliday is the plaintiff's husband. He met the plaintiff in October 2010, two years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[44] He described the plaintiff as a confident, kind and strong woman who is devoted to her family and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[45] He testified that the plaintiff continues to struggle from time to time with neck and lower back pain and she is conscious of her condition. She also complains of headaches from time to time. He has occasionally observed her in obvious discomfort during activities such as hiking. She uses heating pads and a special pillow at night for neck support. The plaintiff is able to manage household chores.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[46] Mr. Halliday and the plaintiff plan to start a family but they are concerned that lifting a child will be a challenge for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 Dr. Mark Frobb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[47] Dr. Frobb is a pain management physician who specialized in orthopedic medicine rehabilitation, management of chronic back pain and acceleration/deceleration spinal injuries. He has worked in this specialized area for over 30 years. He was qualified to give opinion evidence on the non-surgical treatment and management of vertebral spinal column pain syndromes, including whiplash-associated disorders.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[48] Dr. Frobb examined the plaintiff on December 20, 2011. He diagnosed a "persistent biomechanical dysfunctional vertebral movement disorder affecting the spinal segmental areas of the lumbosacral spine, thoracic spine and cervical spine associated with an accompanying chronic myofascial pain syndrome". In other words, the plaintiff's back was twisted and the muscles were in spasm trying to remedy the situation. Since he was given no evidence of any symptoms affecting these areas prior to the accident and as the plaintiff's injuries were typical of those associated with acceleration/deceleration spinal injuries (whiplash-associated disorders), he opined that the plaintiff's pain syndrome is attributable to the September 15, 2008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[49] In Dr. Frobb's opinion, whatever the plaintiff had been doing in terms of exercise and therapy over the three year period between the accident and his examination of her had not worked for her. He was of the view that the plaintiff needs to address her loss of core strength and aberrant postural changes. Although the plaintiff was previously referred to a kinesiologist at Karp Rehabilitation, he recommended that she see another kinesiologist both as a "refresher" and to help motivate the plaintiff. He thought that a series of five to ten sessions would be sufficient. He agreed on cross-examination that the plaintiff will not require a kinesiologist if she becomes more diligent in doing the exercises she was previously advised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[50] It was Dr. Frobb's opinion that the plaintiff would benefit from "manual therapy" (massage) in order to address the underlying biomechanical dysfunctional vertebral movement disorder affecting the lumbosacral, thoracic and cervical spinal segments. In addition, he recommended concurrent myofascial therapy to address the associated muscle spasms. It was also his opinion, however, that such therapy may or may not help. At best it would only provide temporary relief from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[51] Dr. Frobb agreed with Dr. Mergen's assessment that the plaintiff is not likely to become disabled from her injuries, although she may indefinitely suffer intermittent symptoms of discomfort and stiffness in her neck and back as well as muscle tension headaches. He also agreed with Dr. Horlick's opinion that the plaintiff's symptoms will continue to improve over time and will not result in any significant impairment with respect to her vocational or avocational pursuits, now or in the future. He believed the plaintiff is capable of accomplishing whatever she wants so long as she is willing to "pay the price", which I take to mean both living with intermittent pain and conscientiously adhering to the fitness regime designed by either Karp Rehabilitation or a new kinesiologist.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vi. Dr. Joseph Mergens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[52] Dr. Mergens has been a family physician since 1973. The plaintiff has been his patient since 2007. He was qualified as an expert on the diagnosis and prognosis of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[53] He testified that the plaintiff had complained of headaches prior to the September 15, 2008 accident. He attributed these headaches to stress. He had prescribed Tylenol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[54] The plaintiff was seen by Dr. Garvin, with whom Dr. Mergens shares an office, on September 18, 2008, three days after the accident. Dr. Mergens first saw the plaintiff after the accident on September 23, 2008. She complained of headaches and pain across her neck and shoulders on both sides. She was sore and tender about the anterior chest wall, about the joints of her rib cartilages and on both sides of the sternum. She had an abrasion on the right and left sides of her low abdomen wall. She had pain in her lower back. She demonstrated reduced movement of the neck and back. Dr. Mergens advised her to do home exercises and he prescribed analgesics. He did not consider her fit to go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[55] Dr. Mergens saw the plaintiff again on September 26, 2008. She complained of headaches. She demonstrated reduced range of movement in her neck and back. She had pain about her neck, shoulders and chest wall. She had a bruise about her right inguinal/abdominal wall area and pain in her right foot. She was sore about the middle low back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[56] Dr. Mergens saw the plaintiff again on October 3 and October 8, 2008. She complained of pain and stiffness of her lower back which worsened when she sat for more than 30 minutes. She was tender on both sides of her lower back and her movement was guarded. She was having pain about her lower neck and shoulder. She told Dr. Mergens that she was having headaches daily which worsened after three to four hours of desk work. He recommended that she continue her home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[57] On October 13, 2008, Dr. Mergens completed a Form CL19 ICBC Medical Report in which he reported the plaintiff's current symptoms as neck and lower back pain, some tenderness and guarded range of motion. He also reported the plaintiff's complaints of headaches, neck and back myofascial pain, foot and chest pain and bruises. He diagnosed a Grade II soft tissue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[58] Dr. Mergens saw the plaintiff next on October 17, 2008. She was having headaches every day. Working four hours a day caused neck discomfort and headaches. She advised that she was receiving physiotherapy and massage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[59] The plaintiff was next seen by Dr. Mergens on October 29, 2008 for a physical examination to support her application for admission into the psychiatric nursing program at Douglas College. The plaintiff told Dr. Mergens that she was experiencing sharp pains from the neck up to the rear of her head. In his report to Douglas College, he stated that the plaintiff had no back or joint abnormalities and that she was fit to be a psychiatric nurse, which he said required only modest physical exertion. He intended for this report to be restricted to her abilities to become a psychiatric nurse.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[60] On November 7, 2008, the plaintiff advised Dr. Mergens that she would develop pain and stiffness in her neck and lower rear aspect of her head after working 4.5 to 6 hours. On November 26, 2008 she reported headaches on both sides of her head, front to back. Her headaches worsened after 6 hours of work. She felt tired.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[61] The plaintiff saw Dr. Mergens again on December 3, 2008. She advised that she was willing to increase her work hours from 5 to 6 hours to 8 hours daily if it could be tolerated.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[62] The plaintiff saw Dr. Mergens again on January 14, January 27, March 2, April 29 and November 10, 2009. In each visit she complained of shoulder pain and headaches. She was still experiencing back pain most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[63] During her visit with Dr. Mergens on January 4, 2010, she reported that her neck and back pain had not improved. Those complaints were repeated during her next visits on April 12, August 13, and October 15,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[64] She saw Dr. Mergens again on January 7, 2011, complaining of nearly daily neck pain. She was having three to four headaches per week, each of which lasted several hours. She was still experiencing mid and lower back pain after several hours of work. Those symptoms were also reported to Dr. Mergens during the following visit on February 28,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[65] During her visits with Dr. Mergens on March 16 and April 20, 2011, she complained of worsening back pain. She was referred to a physical medicine and rehabilitation specialist. Notwithstanding her complaints, on April 20, 2011, Dr. Mergens advised the plaintiff she could return to work full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[66] On August 26, 2011, the plaintiff advised Dr. Mergens that she was feeling better, although desk work caused pain across her lower neck and 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[67] During her visit on October 5, 2011, the plaintiff informed Dr. Mergens that her neck and shoulder became stiff and sore one to three times per week and that her movement was restricted. She complained of pain about her right shoulder, left side of her neck and head, lower back pain and stiffness.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[68] Dr. Mergens agreed that the plaintiff's injuries to her chest and lower abdomen, likely caused by seat belt contact, had resolved quickly. However, he opined that the collision had caused strain injuries of the muscular and fascial soft tissues of her neck, shoulders and upper and lower back. The myofascial strain injuries caused muscle tension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[69] Dr. Mergens described the plaintiff as someone who was active and hardworking with a positive attitude. In his view, the pain she was enduring as a result of the accident seriously impinged on her daily activities. He was of the opinion that the plaintiff is now able to function well but still suffers physical discomfort, anxiety, insomnia and frustration attributable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[70] Dr. Mergens opined that the plaintiff is not likely to become disabled from her injuries in the long term. Rather, she will likely suffer intermittent symptoms of discomfort and stiffness of her neck and back and muscle tension headaches for an indefinite period of time. These symptoms may continue to moderate with time and consistent physical activity. Dr. Mergens did not believe that there will be any permanent effect on the things that the plaintiff is doing or wants to do, although she may have to miss the odd day of work due to flare-ups.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[71] Dr. Mergens agreed on cross-examination that his last prescription of drugs to the plaintiff relating to the accident was on March 2,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Defendants'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[72] The following is a summary of the evidence provided by witnesses called as part of the defendants' cases: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Matthew Daniel Herback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[73] Herback described his version of the accident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[74] He testified that, on September 15, 2008, the weather was clear and dry. At approximately 5:30 pm, he was headed westbound on 88th Avenue in Surrey approaching the intersection of 156th Street. There were two westbound lanes, a through lane and a left turn lane. Eastbound there were three lanes, a left turn lane, a center through lane and a right turn only lane. The light was green in his direction.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[75] A red vehicle that was travelling westbound ahead of Herback safely turned left onto 156th Street southbound.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[76] Herback also intended to turn left on to 156th Street southbound. He saw the plaintiff's vehicle eastbound on 88th Avenue but says it was in the right turn only lane. He thought it was safe for him to turn left onto 156th Street. Instead of turning right onto 156th Street, the plaintiff's vehicle moved into the center through lane and proceeded straight through the intersection. The collision occurred. The vehicles came to a stop in the middle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[77] The attending police officer issued a ticket to Herback for making an improper left turn. He did not dispute the ticket.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[78] When it was put to him on cross-examination by counsel for Rafael that the plaintiff's vehicle was in the center lane, Herback responded by saying "I don't believe so - I saw it in the right lane and move to the center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[79] Herback admitted that he was a "New" driver and was required to have an "N" displayed on his vehicle. He did not have an "N" displayed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[80] Herback's vehicle was written off by ICBC.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 Edgardo Limjuco Rafael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[81] Rafael was driving the plaintiff's vehicle when the accident occurred. He had picked the plaintiff up at the CRA after work and was driving to his home. He proceeded along Fraser Highway and then turned left on 88th Avenue headed eastbound. This was his normal route home and he was familiar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[82] He was also familiar with the intersection of 88th Avenue and 156th Street. There were three eastbound lanes - a left turn lane, a center through lane and a right turn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[83] As he approached the intersection Rafael was driving in the center through lane. A red vehicle travelling westbound made a safe left turn onto 156th Street ahead of him. Rafael slowed down by taking his foot off the accelerator in order to allow the red vehicle to safely turn across his path. A second westbound vehicle (driven by Herback) "came out of nowhere" and followed the red vehicle, also attempting to turn left onto 156th Street right in front of the plaintiff's vehicle. The collision occurred in the middle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[84] Rafael denies that he was ever in the right turn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[85] Rafael was not issued a ticket by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[86] Rafael testified that he had a four year relationship with the plaintiff, having met her in 2006. Prior to the accident, the plaintiff was quite active. He and the plaintiff went to the gym together three to four times per week and they went hiking together on occasion. The plaintiff never complained to him of headaches or neck or back pain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[87] Rafael testified that, after the accident, the plaintiff complained of headaches and lower back and neck pain. He said the plaintiff became a "home body". It took her almost one year to return to the gym.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iii. Dr. Simon Horlick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[88] Dr. Horlick is an orthopaedic surgeon who examined the plaintiff on April 27, 2012. His expert medical-legal report was introduced in evidence without him being called to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[89] In Dr. Horlick's opinion, the plaintiff's symptom complex in her cervical spine region has gradually improved over time and should continue to do so with intermittent treatments, including massage therapy, chiropractic treatments and generalized range of motion and strengthening exercises. He also recommended judicious use of non-narcotic analgesics and gradual reduction of muscle relaxants.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[90] Dr. Horlick opined that it is unlikely the plaintiff will have significant impairment or subsequent disability associated with her cervical spine. He expects the plaintiff's symptoms will continue to improve over time and will not result in any significant impairment with respect to her vocational or avocational pursuits, now or in the near future. Unfortunately, Dr. Horlick did not explain what he meant by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[91] As Dr. Horlick was not cross-examined, his opinions are not contradicted.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[92] Rafael and the plaintiff say they were proceeding in the center through lane and that Herback's vehicle suddenly turned in front of them. Herback says he saw the plaintiff's vehicle in the right turn lane, and that he thought it was safe for him to turn left and that the plaintiff's vehicle moved to the center through lane immediately before the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[93] Herback was somewhat equivocal when giving his evidence. He stated that he "didn't believe" the plaintiff's vehicle was always in the centre through lane. He appeared to be reluctant to give his evidence in this respect with certainty.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[94] I have no reason to disbelieve the plaintiff's and Rafael's versions of the event. I found them to be credible witnesses. They were taking their normal route home from the CRA office. Rafael was familiar with the intersection of 88th Avenue and 156th Street. He would have had no reason to be in the right turn lane when, to go home, he would have to proceed through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[95] When the driver of a vehicle intends to turn left at a controlled intersection with a green light exhibited, he/she must yield the right of way to approaching traffic. In order to fix any blame on the approaching driver, he/she must establish that the approaching driver had sufficient opportunity to avoid a collision, opportunity of which a reasonable, careful and skilful driver would have availed him or herself of. Any doubt is to be resolved in favour of the approaching driver: </w:t>
      </w:r>
      <w:r>
        <w:rPr>
          <w:rFonts w:ascii="arial" w:eastAsia="arial" w:hAnsi="arial" w:cs="arial"/>
          <w:i/>
          <w:color w:val="000000"/>
          <w:sz w:val="20"/>
          <w:lang w:val="en-US" w:eastAsia="en-US" w:bidi="ar-SA"/>
        </w:rPr>
        <w:t>McCowan v. Arjune</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2002 BCCA 267</w:t>
        </w:r>
      </w:hyperlink>
      <w:r>
        <w:rPr>
          <w:rFonts w:ascii="arial" w:eastAsia="arial" w:hAnsi="arial" w:cs="arial"/>
          <w:color w:val="000000"/>
          <w:sz w:val="20"/>
          <w:lang w:val="en-US" w:eastAsia="en-US" w:bidi="ar-SA"/>
        </w:rPr>
        <w:t xml:space="preserve"> at paras 19 and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[96] I find that Herback's vehicle attempted to beat the plaintiff's oncoming vehicle by making a left turn across its path when it was unsafe to do so. There was no evidence that Rafael had sufficient opportunity to avoid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[97] Herback was negligent and is solely liable for any injury and damages suffered by the plaintiff as a result of the September 15, 2008 collision.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[98] In the assessment of non-pecuniary damages, each case is decided on its unique facts but it is helpful to consider other cases with similar factual circumstances for guidance when determining the appropriate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[99] Counsel for the plaintiff submits that non-pecuniary damages in the range of $45,000 to $50,000 are appropriate in this case. He relies on the following recent decisions in support of this submission:</w:t>
      </w:r>
      <w:r>
        <w:rPr>
          <w:rFonts w:ascii="arial" w:eastAsia="arial" w:hAnsi="arial" w:cs="arial"/>
          <w:sz w:val="20"/>
          <w:lang w:val="en-US" w:eastAsia="en-US" w:bidi="ar-SA"/>
        </w:rPr>
        <w:cr/>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Mayenburg v. Lu</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2009 BCSC 1308</w:t>
        </w:r>
      </w:hyperlink>
      <w:r>
        <w:rPr>
          <w:rFonts w:ascii="arial" w:eastAsia="arial" w:hAnsi="arial" w:cs="arial"/>
          <w:color w:val="000000"/>
          <w:sz w:val="20"/>
          <w:lang w:val="en-US" w:eastAsia="en-US" w:bidi="ar-SA"/>
        </w:rPr>
        <w:t xml:space="preserve"> ($50,000);</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Ching v. McCabel</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2006 BCSC 1589</w:t>
        </w:r>
      </w:hyperlink>
      <w:r>
        <w:rPr>
          <w:rFonts w:ascii="arial" w:eastAsia="arial" w:hAnsi="arial" w:cs="arial"/>
          <w:color w:val="000000"/>
          <w:sz w:val="20"/>
          <w:lang w:val="en-US" w:eastAsia="en-US" w:bidi="ar-SA"/>
        </w:rPr>
        <w:t xml:space="preserve"> ($50,000);</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Loeppky v. ICBC</w:t>
      </w:r>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2012 BCSC 7</w:t>
        </w:r>
      </w:hyperlink>
      <w:r>
        <w:rPr>
          <w:rFonts w:ascii="arial" w:eastAsia="arial" w:hAnsi="arial" w:cs="arial"/>
          <w:color w:val="000000"/>
          <w:sz w:val="20"/>
          <w:lang w:val="en-US" w:eastAsia="en-US" w:bidi="ar-SA"/>
        </w:rPr>
        <w:t xml:space="preserve"> ($45,000);</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Sooch v. Snell</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2012 BCSC 696</w:t>
        </w:r>
      </w:hyperlink>
      <w:r>
        <w:rPr>
          <w:rFonts w:ascii="arial" w:eastAsia="arial" w:hAnsi="arial" w:cs="arial"/>
          <w:color w:val="000000"/>
          <w:sz w:val="20"/>
          <w:lang w:val="en-US" w:eastAsia="en-US" w:bidi="ar-SA"/>
        </w:rPr>
        <w:t xml:space="preserve"> ($45,000); and</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Unger v. Bailey</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2012 BCSC 932</w:t>
        </w:r>
      </w:hyperlink>
      <w:r>
        <w:rPr>
          <w:rFonts w:ascii="arial" w:eastAsia="arial" w:hAnsi="arial" w:cs="arial"/>
          <w:color w:val="000000"/>
          <w:sz w:val="20"/>
          <w:lang w:val="en-US" w:eastAsia="en-US" w:bidi="ar-SA"/>
        </w:rPr>
        <w:t xml:space="preserve">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[100] In </w:t>
      </w:r>
      <w:r>
        <w:rPr>
          <w:rFonts w:ascii="arial" w:eastAsia="arial" w:hAnsi="arial" w:cs="arial"/>
          <w:i/>
          <w:color w:val="000000"/>
          <w:sz w:val="20"/>
          <w:lang w:val="en-US" w:eastAsia="en-US" w:bidi="ar-SA"/>
        </w:rPr>
        <w:t>Mayenburg</w:t>
      </w:r>
      <w:r>
        <w:rPr>
          <w:rFonts w:ascii="arial" w:eastAsia="arial" w:hAnsi="arial" w:cs="arial"/>
          <w:color w:val="000000"/>
          <w:sz w:val="20"/>
          <w:lang w:val="en-US" w:eastAsia="en-US" w:bidi="ar-SA"/>
        </w:rPr>
        <w:t>, the plaintiff was 20 years old at the time of the accident. She suffered from myofascial pain of mild severity as well as mechanical lower back pain. Her pain and limited mobility initially prohibited her from working and interfered with her studies. Work caused her pain, and she attempted to remedy this pain by changing jobs on several occasions. She was eventually able to resume physical activity with some modifications. At the time of trial, two years later, the prognosis for her recovery was "guarded".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[101] In </w:t>
      </w:r>
      <w:r>
        <w:rPr>
          <w:rFonts w:ascii="arial" w:eastAsia="arial" w:hAnsi="arial" w:cs="arial"/>
          <w:i/>
          <w:color w:val="000000"/>
          <w:sz w:val="20"/>
          <w:lang w:val="en-US" w:eastAsia="en-US" w:bidi="ar-SA"/>
        </w:rPr>
        <w:t>Ching</w:t>
      </w:r>
      <w:r>
        <w:rPr>
          <w:rFonts w:ascii="arial" w:eastAsia="arial" w:hAnsi="arial" w:cs="arial"/>
          <w:color w:val="000000"/>
          <w:sz w:val="20"/>
          <w:lang w:val="en-US" w:eastAsia="en-US" w:bidi="ar-SA"/>
        </w:rPr>
        <w:t>, the plaintiff was 43 years old at the time of trial. Although she did not initially experience any noteworthy symptoms, several days after the accident she awoke to the sensation of her tongue going down her throat. She was also experiencing pain on her right side behind her ear to her chin, stiffness in her shoulder and reduced mobility in her neck. She was diagnosed with soft tissue injuries to the neck, shoulder and upper back, which caused her headaches. She did not take time off work after the accident although there was evidence of a reduction in her hours. Her pain limited her ability to participate in outdoor activities and housework. It had also impacted her relationship with her husband. She had recovered substantially by the time of trial, four years later. The court found her recovery had reached a plateau.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[183] In </w:t>
      </w:r>
      <w:r>
        <w:rPr>
          <w:rFonts w:ascii="arial" w:eastAsia="arial" w:hAnsi="arial" w:cs="arial"/>
          <w:i/>
          <w:color w:val="000000"/>
          <w:sz w:val="20"/>
          <w:lang w:val="en-US" w:eastAsia="en-US" w:bidi="ar-SA"/>
        </w:rPr>
        <w:t>Loeppky</w:t>
      </w:r>
      <w:r>
        <w:rPr>
          <w:rFonts w:ascii="arial" w:eastAsia="arial" w:hAnsi="arial" w:cs="arial"/>
          <w:color w:val="000000"/>
          <w:sz w:val="20"/>
          <w:lang w:val="en-US" w:eastAsia="en-US" w:bidi="ar-SA"/>
        </w:rPr>
        <w:t>, the 36 year old plaintiff sustained injuries in his jaw, neck, mid and upper back and thigh as a result of a rear-end collision. He suffered from pain and headaches. Three to six months after the accident, he had recovered fully from his injuries with the exception of his back. The court found he was able resume his former fitness regime with some adjustments although he was forced to change positions within the Vancouver Police Department as a result of his injuries. The court held he would likely continue to suffer mild back pain and stiffness as well as flare-ups.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[184] In </w:t>
      </w:r>
      <w:r>
        <w:rPr>
          <w:rFonts w:ascii="arial" w:eastAsia="arial" w:hAnsi="arial" w:cs="arial"/>
          <w:i/>
          <w:color w:val="000000"/>
          <w:sz w:val="20"/>
          <w:lang w:val="en-US" w:eastAsia="en-US" w:bidi="ar-SA"/>
        </w:rPr>
        <w:t>Sooch</w:t>
      </w:r>
      <w:r>
        <w:rPr>
          <w:rFonts w:ascii="arial" w:eastAsia="arial" w:hAnsi="arial" w:cs="arial"/>
          <w:color w:val="000000"/>
          <w:sz w:val="20"/>
          <w:lang w:val="en-US" w:eastAsia="en-US" w:bidi="ar-SA"/>
        </w:rPr>
        <w:t>, the plaintiff was 33 years old at the time of the accident. Initially, he had experienced sharp headaches, pain in his neck and discomfort in his jaw. He also felt intense pain in his left shoulder and arm. He suffered from mild lower back pain for approximately four months. While he was still able to work, it aggravated his injuries. His ability to care for his young child was also affected. By the time of trial, four and a half years later, he had occasional headaches. However, he suffered from persistent and disabling neck and shoulder pain. The court found this pain was chronic, fluctuating between a mild and moderate level. There was a reasonable prospect of progressive diminishment.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[185] In </w:t>
      </w:r>
      <w:r>
        <w:rPr>
          <w:rFonts w:ascii="arial" w:eastAsia="arial" w:hAnsi="arial" w:cs="arial"/>
          <w:i/>
          <w:color w:val="000000"/>
          <w:sz w:val="20"/>
          <w:lang w:val="en-US" w:eastAsia="en-US" w:bidi="ar-SA"/>
        </w:rPr>
        <w:t>Unger</w:t>
      </w:r>
      <w:r>
        <w:rPr>
          <w:rFonts w:ascii="arial" w:eastAsia="arial" w:hAnsi="arial" w:cs="arial"/>
          <w:color w:val="000000"/>
          <w:sz w:val="20"/>
          <w:lang w:val="en-US" w:eastAsia="en-US" w:bidi="ar-SA"/>
        </w:rPr>
        <w:t>, the plaintiff was 33 years old at the time of trial. Prior to her accident two years earlier, the plaintiff had suffered back and neck pain from a succession of prior accidents. The accident at issue caused headaches, neck pain as well as upper and lower back pain. Her pain was aggravated by her work. At the time of trial, she claimed that her level of pain had not changed after the end of the first six months. She was able to resume physical activity although she still experienced difficulty in housekeeping. The court accepted that she experienced chronic pain and found that she would suffer from this pain indefinitely. Despite a finding that many of her difficulties were associated with the earlier accidents, the court awarded the plaintiff $50,000.00 for non-pecuniary damages. Lumped in with that award was her claim for loss of housekeeping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[186] The defendants submit that an appropriate range for non-pecuniary damages in this case is $20,000 to $40,000. They rely on the following decisions:</w:t>
      </w:r>
      <w:r>
        <w:rPr>
          <w:rFonts w:ascii="arial" w:eastAsia="arial" w:hAnsi="arial" w:cs="arial"/>
          <w:sz w:val="20"/>
          <w:lang w:val="en-US" w:eastAsia="en-US" w:bidi="ar-SA"/>
        </w:rPr>
        <w:cr/>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Bray v. Gaete,</w:t>
      </w:r>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2004 BCSC 335</w:t>
        </w:r>
      </w:hyperlink>
      <w:r>
        <w:rPr>
          <w:rFonts w:ascii="arial" w:eastAsia="arial" w:hAnsi="arial" w:cs="arial"/>
          <w:color w:val="000000"/>
          <w:sz w:val="20"/>
          <w:lang w:val="en-US" w:eastAsia="en-US" w:bidi="ar-SA"/>
        </w:rPr>
        <w:t xml:space="preserve"> ($17,000);</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Hamilton v. Vance</w:t>
      </w:r>
      <w:r>
        <w:rPr>
          <w:rFonts w:ascii="arial" w:eastAsia="arial" w:hAnsi="arial" w:cs="arial"/>
          <w:color w:val="000000"/>
          <w:sz w:val="20"/>
          <w:lang w:val="en-US" w:eastAsia="en-US" w:bidi="ar-SA"/>
        </w:rPr>
        <w:t xml:space="preserve">, </w:t>
      </w:r>
      <w:hyperlink r:id="rId699" w:history="1">
        <w:r>
          <w:rPr>
            <w:rFonts w:ascii="arial" w:eastAsia="arial" w:hAnsi="arial" w:cs="arial"/>
            <w:i/>
            <w:color w:val="0077CC"/>
            <w:sz w:val="20"/>
            <w:u w:val="single"/>
            <w:shd w:val="clear" w:color="auto" w:fill="FFFFFF"/>
            <w:lang w:val="en-US" w:eastAsia="en-US" w:bidi="ar-SA"/>
          </w:rPr>
          <w:t>2007 BCSC 1001</w:t>
        </w:r>
      </w:hyperlink>
      <w:r>
        <w:rPr>
          <w:rFonts w:ascii="arial" w:eastAsia="arial" w:hAnsi="arial" w:cs="arial"/>
          <w:color w:val="000000"/>
          <w:sz w:val="20"/>
          <w:lang w:val="en-US" w:eastAsia="en-US" w:bidi="ar-SA"/>
        </w:rPr>
        <w:t xml:space="preserve"> ($38,000);</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Fisher v. Stone</w:t>
      </w:r>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2008 BCSC 430</w:t>
        </w:r>
      </w:hyperlink>
      <w:r>
        <w:rPr>
          <w:rFonts w:ascii="arial" w:eastAsia="arial" w:hAnsi="arial" w:cs="arial"/>
          <w:color w:val="000000"/>
          <w:sz w:val="20"/>
          <w:lang w:val="en-US" w:eastAsia="en-US" w:bidi="ar-SA"/>
        </w:rPr>
        <w:t xml:space="preserve"> ($22,500);</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Chan v. Lee</w:t>
      </w:r>
      <w:r>
        <w:rPr>
          <w:rFonts w:ascii="arial" w:eastAsia="arial" w:hAnsi="arial" w:cs="arial"/>
          <w:color w:val="000000"/>
          <w:sz w:val="20"/>
          <w:lang w:val="en-US" w:eastAsia="en-US" w:bidi="ar-SA"/>
        </w:rPr>
        <w:t xml:space="preserve">, </w:t>
      </w:r>
      <w:hyperlink r:id="rId701" w:history="1">
        <w:r>
          <w:rPr>
            <w:rFonts w:ascii="arial" w:eastAsia="arial" w:hAnsi="arial" w:cs="arial"/>
            <w:i/>
            <w:color w:val="0077CC"/>
            <w:sz w:val="20"/>
            <w:u w:val="single"/>
            <w:shd w:val="clear" w:color="auto" w:fill="FFFFFF"/>
            <w:lang w:val="en-US" w:eastAsia="en-US" w:bidi="ar-SA"/>
          </w:rPr>
          <w:t>2008 BCSC 594</w:t>
        </w:r>
      </w:hyperlink>
      <w:r>
        <w:rPr>
          <w:rFonts w:ascii="arial" w:eastAsia="arial" w:hAnsi="arial" w:cs="arial"/>
          <w:color w:val="000000"/>
          <w:sz w:val="20"/>
          <w:lang w:val="en-US" w:eastAsia="en-US" w:bidi="ar-SA"/>
        </w:rPr>
        <w:t xml:space="preserve"> ($35,000);</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Guilbault v. Purser</w:t>
      </w:r>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2009 BCSC 188</w:t>
        </w:r>
      </w:hyperlink>
      <w:r>
        <w:rPr>
          <w:rFonts w:ascii="arial" w:eastAsia="arial" w:hAnsi="arial" w:cs="arial"/>
          <w:color w:val="000000"/>
          <w:sz w:val="20"/>
          <w:lang w:val="en-US" w:eastAsia="en-US" w:bidi="ar-SA"/>
        </w:rPr>
        <w:t xml:space="preserve"> ($35,000);</w:t>
      </w:r>
    </w:p>
    <w:p>
      <w:pPr>
        <w:numPr>
          <w:numId w:val="1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Ponipal v. McDonagh (Committee of)</w:t>
      </w:r>
      <w:r>
        <w:rPr>
          <w:rFonts w:ascii="arial" w:eastAsia="arial" w:hAnsi="arial" w:cs="arial"/>
          <w:color w:val="000000"/>
          <w:sz w:val="20"/>
          <w:lang w:val="en-US" w:eastAsia="en-US" w:bidi="ar-SA"/>
        </w:rPr>
        <w:t xml:space="preserve">, </w:t>
      </w:r>
      <w:hyperlink r:id="rId703" w:history="1">
        <w:r>
          <w:rPr>
            <w:rFonts w:ascii="arial" w:eastAsia="arial" w:hAnsi="arial" w:cs="arial"/>
            <w:i/>
            <w:color w:val="0077CC"/>
            <w:sz w:val="20"/>
            <w:u w:val="single"/>
            <w:shd w:val="clear" w:color="auto" w:fill="FFFFFF"/>
            <w:lang w:val="en-US" w:eastAsia="en-US" w:bidi="ar-SA"/>
          </w:rPr>
          <w:t>2009 BCSC 461</w:t>
        </w:r>
      </w:hyperlink>
      <w:r>
        <w:rPr>
          <w:rFonts w:ascii="arial" w:eastAsia="arial" w:hAnsi="arial" w:cs="arial"/>
          <w:color w:val="000000"/>
          <w:sz w:val="20"/>
          <w:lang w:val="en-US" w:eastAsia="en-US" w:bidi="ar-SA"/>
        </w:rPr>
        <w:t xml:space="preserve"> ($31,500);</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Co v. Watson</w:t>
      </w:r>
      <w:r>
        <w:rPr>
          <w:rFonts w:ascii="arial" w:eastAsia="arial" w:hAnsi="arial" w:cs="arial"/>
          <w:color w:val="000000"/>
          <w:sz w:val="20"/>
          <w:lang w:val="en-US" w:eastAsia="en-US" w:bidi="ar-SA"/>
        </w:rPr>
        <w:t xml:space="preserve">, </w:t>
      </w:r>
      <w:hyperlink r:id="rId704" w:history="1">
        <w:r>
          <w:rPr>
            <w:rFonts w:ascii="arial" w:eastAsia="arial" w:hAnsi="arial" w:cs="arial"/>
            <w:i/>
            <w:color w:val="0077CC"/>
            <w:sz w:val="20"/>
            <w:u w:val="single"/>
            <w:shd w:val="clear" w:color="auto" w:fill="FFFFFF"/>
            <w:lang w:val="en-US" w:eastAsia="en-US" w:bidi="ar-SA"/>
          </w:rPr>
          <w:t>2010 BCSC 950</w:t>
        </w:r>
      </w:hyperlink>
      <w:r>
        <w:rPr>
          <w:rFonts w:ascii="arial" w:eastAsia="arial" w:hAnsi="arial" w:cs="arial"/>
          <w:color w:val="000000"/>
          <w:sz w:val="20"/>
          <w:lang w:val="en-US" w:eastAsia="en-US" w:bidi="ar-SA"/>
        </w:rPr>
        <w:t xml:space="preserve"> ($27,500);</w:t>
      </w:r>
    </w:p>
    <w:p>
      <w:pPr>
        <w:numPr>
          <w:numId w:val="1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Sandher v. Hogg</w:t>
      </w:r>
      <w:r>
        <w:rPr>
          <w:rFonts w:ascii="arial" w:eastAsia="arial" w:hAnsi="arial" w:cs="arial"/>
          <w:color w:val="000000"/>
          <w:sz w:val="20"/>
          <w:lang w:val="en-US" w:eastAsia="en-US" w:bidi="ar-SA"/>
        </w:rPr>
        <w:t xml:space="preserve">, </w:t>
      </w:r>
      <w:hyperlink r:id="rId705" w:history="1">
        <w:r>
          <w:rPr>
            <w:rFonts w:ascii="arial" w:eastAsia="arial" w:hAnsi="arial" w:cs="arial"/>
            <w:i/>
            <w:color w:val="0077CC"/>
            <w:sz w:val="20"/>
            <w:u w:val="single"/>
            <w:shd w:val="clear" w:color="auto" w:fill="FFFFFF"/>
            <w:lang w:val="en-US" w:eastAsia="en-US" w:bidi="ar-SA"/>
          </w:rPr>
          <w:t>2010 BCSC 1152</w:t>
        </w:r>
      </w:hyperlink>
      <w:r>
        <w:rPr>
          <w:rFonts w:ascii="arial" w:eastAsia="arial" w:hAnsi="arial" w:cs="arial"/>
          <w:color w:val="000000"/>
          <w:sz w:val="20"/>
          <w:lang w:val="en-US" w:eastAsia="en-US" w:bidi="ar-SA"/>
        </w:rPr>
        <w:t xml:space="preserve"> ($40,000);</w:t>
      </w:r>
    </w:p>
    <w:p>
      <w:pPr>
        <w:numPr>
          <w:numId w:val="1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Frech v. Langley</w:t>
      </w:r>
      <w:r>
        <w:rPr>
          <w:rFonts w:ascii="arial" w:eastAsia="arial" w:hAnsi="arial" w:cs="arial"/>
          <w:color w:val="000000"/>
          <w:sz w:val="20"/>
          <w:lang w:val="en-US" w:eastAsia="en-US" w:bidi="ar-SA"/>
        </w:rPr>
        <w:t xml:space="preserve">, </w:t>
      </w:r>
      <w:hyperlink r:id="rId706" w:history="1">
        <w:r>
          <w:rPr>
            <w:rFonts w:ascii="arial" w:eastAsia="arial" w:hAnsi="arial" w:cs="arial"/>
            <w:i/>
            <w:color w:val="0077CC"/>
            <w:sz w:val="20"/>
            <w:u w:val="single"/>
            <w:shd w:val="clear" w:color="auto" w:fill="FFFFFF"/>
            <w:lang w:val="en-US" w:eastAsia="en-US" w:bidi="ar-SA"/>
          </w:rPr>
          <w:t>2012 BCSC 1230</w:t>
        </w:r>
      </w:hyperlink>
      <w:r>
        <w:rPr>
          <w:rFonts w:ascii="arial" w:eastAsia="arial" w:hAnsi="arial" w:cs="arial"/>
          <w:color w:val="000000"/>
          <w:sz w:val="20"/>
          <w:lang w:val="en-US" w:eastAsia="en-US" w:bidi="ar-SA"/>
        </w:rPr>
        <w:t xml:space="preserve"> ($35,000).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[187] In </w:t>
      </w:r>
      <w:r>
        <w:rPr>
          <w:rFonts w:ascii="arial" w:eastAsia="arial" w:hAnsi="arial" w:cs="arial"/>
          <w:i/>
          <w:color w:val="000000"/>
          <w:sz w:val="20"/>
          <w:lang w:val="en-US" w:eastAsia="en-US" w:bidi="ar-SA"/>
        </w:rPr>
        <w:t>Bray</w:t>
      </w:r>
      <w:r>
        <w:rPr>
          <w:rFonts w:ascii="arial" w:eastAsia="arial" w:hAnsi="arial" w:cs="arial"/>
          <w:color w:val="000000"/>
          <w:sz w:val="20"/>
          <w:lang w:val="en-US" w:eastAsia="en-US" w:bidi="ar-SA"/>
        </w:rPr>
        <w:t>, the plaintiff sustained minor soft tissue injuries to her neck and shoulders as well as her lower back. She was still suffering from pain four years after the motor vehicle accident. It prevented her from continuing her active lifestyle. She found working long hours as a seamstress and a designer difficult because the postures aggravated her lower back pain. The court found that in these circumstances, an award of $20,000.00 would have been appropriate. However, the plaintiff had moved to a new city a year after the accident and had failed to pursue a regime of fitness and rehabilitation there as recommended by her physiotherapist. Accordingly, her award in non-pecuniary damages was reduced to $17,000.00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[188] In </w:t>
      </w:r>
      <w:r>
        <w:rPr>
          <w:rFonts w:ascii="arial" w:eastAsia="arial" w:hAnsi="arial" w:cs="arial"/>
          <w:i/>
          <w:color w:val="000000"/>
          <w:sz w:val="20"/>
          <w:lang w:val="en-US" w:eastAsia="en-US" w:bidi="ar-SA"/>
        </w:rPr>
        <w:t>Hamilton</w:t>
      </w:r>
      <w:r>
        <w:rPr>
          <w:rFonts w:ascii="arial" w:eastAsia="arial" w:hAnsi="arial" w:cs="arial"/>
          <w:color w:val="000000"/>
          <w:sz w:val="20"/>
          <w:lang w:val="en-US" w:eastAsia="en-US" w:bidi="ar-SA"/>
        </w:rPr>
        <w:t>, the plaintiff at the time of trial was 45 years old. She had sustained soft tissue injuries to her neck, upper left shoulder and lower back, causing her pain and headaches. She also experienced pain and numbness in her left buttock, leg and toes. She suffered from significant pain in the first two months following the accident. At the date of trial, she was still suffering from pain in her upper back about her shoulder blades, her lower back and left thigh. She also had numbness in her left foot. While there was disagreement between the expert witnesses over the permanence of her condition, the court found the plaintiff had proven a permanent partial disability in her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[189] In </w:t>
      </w:r>
      <w:r>
        <w:rPr>
          <w:rFonts w:ascii="arial" w:eastAsia="arial" w:hAnsi="arial" w:cs="arial"/>
          <w:i/>
          <w:color w:val="000000"/>
          <w:sz w:val="20"/>
          <w:lang w:val="en-US" w:eastAsia="en-US" w:bidi="ar-SA"/>
        </w:rPr>
        <w:t>Fisher</w:t>
      </w:r>
      <w:r>
        <w:rPr>
          <w:rFonts w:ascii="arial" w:eastAsia="arial" w:hAnsi="arial" w:cs="arial"/>
          <w:color w:val="000000"/>
          <w:sz w:val="20"/>
          <w:lang w:val="en-US" w:eastAsia="en-US" w:bidi="ar-SA"/>
        </w:rPr>
        <w:t>, the plaintiff was 26 years old at the time of the accident. The plaintiff felt sharp pain in her hip and back area. She continued to feel stiff and sore and she suffered from radiating pain in her hip. Staying in one position for any length of time would aggravate her pain. Sometimes she suffered spasms. She had to change her job to accommodate her pain. Eventually she resumed her exercise regime, although not to the same degree of intensity. She eventually felt better about her health but in her new role as a police officer she found the physical demands of her job caused flare-ups in her pain. The court concluded it was unlikely the plaintiff would completely recover from her injuries, despite her diligent efforts to get better through fitness. The court found her injuries prevented her from excelling physically in her work but they were not of such a great magnitude as to prevent her from engaging in the activities she enjoyed. The court determined that a $30,000.00 non-pecuniary damages award would be appropriate, subject to a 25% deduction to allow for contingencies that there would have been restrictions on her future abilities regardless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[190] In </w:t>
      </w:r>
      <w:r>
        <w:rPr>
          <w:rFonts w:ascii="arial" w:eastAsia="arial" w:hAnsi="arial" w:cs="arial"/>
          <w:i/>
          <w:color w:val="000000"/>
          <w:sz w:val="20"/>
          <w:lang w:val="en-US" w:eastAsia="en-US" w:bidi="ar-SA"/>
        </w:rPr>
        <w:t>Chan</w:t>
      </w:r>
      <w:r>
        <w:rPr>
          <w:rFonts w:ascii="arial" w:eastAsia="arial" w:hAnsi="arial" w:cs="arial"/>
          <w:color w:val="000000"/>
          <w:sz w:val="20"/>
          <w:lang w:val="en-US" w:eastAsia="en-US" w:bidi="ar-SA"/>
        </w:rPr>
        <w:t>, the plaintiff was 31 years old at the time of trial. The plaintiff sustained soft tissue injuries in her upper back, neck and shoulder, which the court categorized as mild to moderate. Her injuries were complicated by myofascial pain syndrome as well as psychiatric disorders attributable to the accident. The plaintiff's pain was largely resolved within a year, although she still suffered from intermittent pain and tightness. However, her psychological condition of anxiety did not improve. The plaintiff never missed work as a result of her injuries but she was limited in her ability to return to her former active lifestyle. The court found there was no prospect of long term future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[191] In </w:t>
      </w:r>
      <w:r>
        <w:rPr>
          <w:rFonts w:ascii="arial" w:eastAsia="arial" w:hAnsi="arial" w:cs="arial"/>
          <w:i/>
          <w:color w:val="000000"/>
          <w:sz w:val="20"/>
          <w:lang w:val="en-US" w:eastAsia="en-US" w:bidi="ar-SA"/>
        </w:rPr>
        <w:t>Guilbault</w:t>
      </w:r>
      <w:r>
        <w:rPr>
          <w:rFonts w:ascii="arial" w:eastAsia="arial" w:hAnsi="arial" w:cs="arial"/>
          <w:color w:val="000000"/>
          <w:sz w:val="20"/>
          <w:lang w:val="en-US" w:eastAsia="en-US" w:bidi="ar-SA"/>
        </w:rPr>
        <w:t>, the plaintiff was 22 years old at the time of trial. She sustained soft tissue injuries in her neck, shoulder and back. She suffered from pain and "distressing" headaches. She claimed the pain impacted her participation in outdoor activities. Her pain had diminished four and a half years later because she had developed coping mechanisms. The injuries did not bear any impact on her ability to participate in physically demanding work. The court found the accident would continue to impact her capabilities to some degree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[192] In </w:t>
      </w:r>
      <w:r>
        <w:rPr>
          <w:rFonts w:ascii="arial" w:eastAsia="arial" w:hAnsi="arial" w:cs="arial"/>
          <w:i/>
          <w:color w:val="000000"/>
          <w:sz w:val="20"/>
          <w:lang w:val="en-US" w:eastAsia="en-US" w:bidi="ar-SA"/>
        </w:rPr>
        <w:t>Ponipal</w:t>
      </w:r>
      <w:r>
        <w:rPr>
          <w:rFonts w:ascii="arial" w:eastAsia="arial" w:hAnsi="arial" w:cs="arial"/>
          <w:color w:val="000000"/>
          <w:sz w:val="20"/>
          <w:lang w:val="en-US" w:eastAsia="en-US" w:bidi="ar-SA"/>
        </w:rPr>
        <w:t>, the plaintiff was 35 years old at the time of trial. She sustained soft tissue injuries in her neck, right shoulder and arm, mid-back, right leg and abdomen. She also suffered numbness, tingling and headaches. She continued to suffer pain at trial two years later although it had diminished. She had resumed her previous lifestyle subject to some limitations. She was restricted in her ability to work and to perform her household responsibilities. The court awarded $35,000.00, subject to a 10% reduction for failure to mitigate 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[193] In </w:t>
      </w:r>
      <w:r>
        <w:rPr>
          <w:rFonts w:ascii="arial" w:eastAsia="arial" w:hAnsi="arial" w:cs="arial"/>
          <w:i/>
          <w:color w:val="000000"/>
          <w:sz w:val="20"/>
          <w:lang w:val="en-US" w:eastAsia="en-US" w:bidi="ar-SA"/>
        </w:rPr>
        <w:t>Co</w:t>
      </w:r>
      <w:r>
        <w:rPr>
          <w:rFonts w:ascii="arial" w:eastAsia="arial" w:hAnsi="arial" w:cs="arial"/>
          <w:color w:val="000000"/>
          <w:sz w:val="20"/>
          <w:lang w:val="en-US" w:eastAsia="en-US" w:bidi="ar-SA"/>
        </w:rPr>
        <w:t>, the plaintiff suffered from neck and shoulder pain, spinal muscle spasm and tenderness in her left biceps and right temporalis muscles as a result of the accident. This pain limited her movement and caused headaches. She returned to work one month later half time. Three years after the accident, she still suffered from soreness in her neck and shoulders, stiffness in her lower back and occasional neck pain with muscle spasms. Her family physician concluded four years after the accident that the plaintiff had reached her best level of recovery. The court found she was able to work full time and enjoy sports. Her intermittent muscle spasms were relievable with rest. The court held the plaintiff did not suffer from chronic and continuing pain. Nor had her injuries affected her leisure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[194] In </w:t>
      </w:r>
      <w:r>
        <w:rPr>
          <w:rFonts w:ascii="arial" w:eastAsia="arial" w:hAnsi="arial" w:cs="arial"/>
          <w:i/>
          <w:color w:val="000000"/>
          <w:sz w:val="20"/>
          <w:lang w:val="en-US" w:eastAsia="en-US" w:bidi="ar-SA"/>
        </w:rPr>
        <w:t>Sandher</w:t>
      </w:r>
      <w:r>
        <w:rPr>
          <w:rFonts w:ascii="arial" w:eastAsia="arial" w:hAnsi="arial" w:cs="arial"/>
          <w:color w:val="000000"/>
          <w:sz w:val="20"/>
          <w:lang w:val="en-US" w:eastAsia="en-US" w:bidi="ar-SA"/>
        </w:rPr>
        <w:t>, the plaintiff was 23 years of age at the time of the accident and 27 at the time of trial. She sustained soft tissue injuries to her shoulder as well as her upper and lower back, which caused her persistent pain and emotional suffering. She was healthy and active at the time of the accident. After the accident, she was restricted in her ability to perform routine and recreational activities. She eventually left her position at a salon because the work aggravated her injuries and also because she had not intended to pursue this work as a career. The court concluded there was a realistic possibility she would experience significant improvement in the near future although there was also a reasonable prospect she would never fully recover.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[195] </w:t>
      </w:r>
      <w:r>
        <w:rPr>
          <w:rFonts w:ascii="arial" w:eastAsia="arial" w:hAnsi="arial" w:cs="arial"/>
          <w:i/>
          <w:color w:val="000000"/>
          <w:sz w:val="20"/>
          <w:lang w:val="en-US" w:eastAsia="en-US" w:bidi="ar-SA"/>
        </w:rPr>
        <w:t>Frech</w:t>
      </w:r>
      <w:r>
        <w:rPr>
          <w:rFonts w:ascii="arial" w:eastAsia="arial" w:hAnsi="arial" w:cs="arial"/>
          <w:color w:val="000000"/>
          <w:sz w:val="20"/>
          <w:lang w:val="en-US" w:eastAsia="en-US" w:bidi="ar-SA"/>
        </w:rPr>
        <w:t xml:space="preserve"> involved two motor vehicle accidents (April 11 and November 5, 2007). The plaintiff was 26 years old at the time of the accidents and 31 years of age at the time of trial. After the first accident, she had suffered neck and upper back soft tissue injury, causing her pain. She also suffered from right shoulder pain and right arm pain as well as tension headaches. A medical report prepared for ICBC concluded that she suffered from mild pain and that she had sustained a Grade II injury. She missed two weeks of work. The second accident occurred seven months later. It aggravated her neck and back pain and headaches. She only missed two days of work after the accident. She continued to suffer pain at the time of trial, which had limited her ability to be active. The court concluded she would never be pain free, although her pain could not be characterized as debilitating since she was still able to participate in her pre-accident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[196] As stated above, I found the plaintiff to be an honest and credible witness. The pain and other discomfort that she described from the date of the accident to the date of trial is real and not imagined. She is an energetic, strong, confident and hardworking woman who, since the accident, has done her best to get better and put her injuries behind her. She is focused and motivated to do as well as she can in both her work and exercise regimes. Despite her efforts and through no fault of her own, she has not met with complete success with respect to the latter.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[197] The plaintiff felt some immediate pain in her chest and right toe after the accident. She had no loss of consciousness. X-rays taken at the hospital shortly after the accident were negative. As the days and weeks progressed, she developed debilitating pain in her neck and lower back, with resulting headaches. She had bruising on her chest and abdomen. She was unable to go to work at CRA for two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[198] The bruises and the pain she suffered in her chest and right toe pain resolved completely within six weeks. Although she thought her lower back pain had resolved by the end of 2009, she has since experienced severe flare-ups several times since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[199] The plaintiff has tried various modalities of treatment. They have provided temporary but not permanent relief. The plaintiff continues to experience persistent pain and muscle spasms. She will continue to have episodic flare-ups of pain in her lower back and cervical spine with associated headaches. I am satisfied that such episodes have been and will continue to be the result of the injuries she suffered during the September 15, 2008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[200] I agree with the submissions of counsel for Herback that Dr. Frobb's diagnosis and prognosis should not be given significant weight, given that it was based on many assumed facts that were not in evidence. Dr. Frobb did not carry out the full investigation of the plaintiff that in my view he ought to have before providing the opinions that he did. For example, he diagnosed a thoracic spine injury without any evidence to support such a finding. He diagnosed neurocognitive and emotional changes in the plaintiff based simply on her reports to him without any verification. He opined that the plaintiff's injuries will likely affect her competitive employment capabilities without knowing what her job function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[201] I find that the plaintiff suffered a Grade II whiplash injury as a result of the September 15, 2008 accident. She also suffered contusion injuries to her chest and lower abdomen, chest wall strain and a chipped tooth. Over four years have passed since the accident and she still suffers from intermittent neck and lower back pain and tension headaches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[202] I find that it is reasonable to expect the plaintiff will be fully recovered within five years. In part, I make this finding on the basis that the plaintiff is an achiever. Dr. Mergens gave evidence that she might still suffer some muscle tension headaches for an indefinite period. He did say these symptoms may dissipate with time and conditioning. However, there is no reasonable prospect of permanent impact upon her capabilities.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[203] After considering all of the evidence, the submissions of counsel and the case authorities, I find that an appropriate award for non-pecuniary damages in this case is $45,000.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[204] The parties have agreed that the net, after tax, value of the plaintiff's hours at CRA missed without pay as a result of the accident is $7,942.83. However, the defendants argue that only the portion that was lost prior to the plaintiff commencing Douglas College in January 2009 (196 hours) is recoverable. They submit the reason the plaintiff reduced her CRA work hours from January 2009 to the end of August 2009 was because of her college workload and not the injuries she sustained in the accident. They point out that, in April 2009, the plaintiff increased her work hours from 27.5 to only 29.5 hours per week despite Dr. Mergens having approved her return to full time work. She did not return to full time work until September 2009. The defendants argue it is not coincidence that this timing coincided with the plaintiff having completed her Douglas College courses.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[205] The plaintiff was and is an extremely energetic, conscientious and hardworking individual. Ms. Leeson described how the plaintiff was suffering with pain while she was at work after the accident. I have no difficulty finding that the hours of work the plaintiff missed at CRA were due to the pain and discomfort she was in as a result of the accident and not because she was attending a few classes at Douglas College. I find that, but for the accident, the plaintiff would have worked full time at CRA while she was attending Douglas College. In fact, that is precisely what she is now doing - working full time at CRA and attending courses at Douglas College leading to an accounting diploma.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[206] The plaintiff is entitled to recover net lost wages from CRA of $7,942.83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[207] Prior to the accident the plaintiff was working six to eight hours every Saturday at Ingledew's earning approximately $15.00 per hour. I find that, but for the accident, she would have continued to work those hours until the end of 2008, after which time she started taking prerequisite courses at Douglas College for the psychiatric nursing program. Given that she likely would have continued working full time at CRA and that she was spending long hours studying, I find it is more probable than not that she would have stopped working her weekend hours at Ingledew's when she enrolled in her college programs.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[208] There were 15 Saturdays between the date of the accident and the end of 2008. The plaintiff's gross lost wages in respect of her Ingledew's employment were $1,800.00 ($15/hr x 8 hrs x 15). From that amount, the agreed tax contingency of 25% must be deducted. Accordingly, the plaintiff is entitled to recover net lost wages from Ingledew's in the amount of $1,350.00.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 Compensation for Loss of Accumulated Sick Leave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[209] During a portion of the time when the plaintiff was unable to work, she was paid the wages that she otherwise would have received by drawing on her sick leave and vacation benefits. She seeks damages to reflect the depletion of those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[210] The parties have agreed that the value of the plaintiff's hours missed (sick leave and vacation time used with pay) totals $7,371.09.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[211] The defendants argue that an award to the plaintiff in this regard will result in double recovery because she did not lose any money - she continued to receive her wages by drawing on her sick leave benefits and vacation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[212] This issue was addressed by this court in </w:t>
      </w:r>
      <w:r>
        <w:rPr>
          <w:rFonts w:ascii="arial" w:eastAsia="arial" w:hAnsi="arial" w:cs="arial"/>
          <w:i/>
          <w:color w:val="000000"/>
          <w:sz w:val="20"/>
          <w:lang w:val="en-US" w:eastAsia="en-US" w:bidi="ar-SA"/>
        </w:rPr>
        <w:t>Bjarnason v. Parks</w:t>
      </w:r>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2009 BCSC 48</w:t>
        </w:r>
      </w:hyperlink>
      <w:r>
        <w:rPr>
          <w:rFonts w:ascii="arial" w:eastAsia="arial" w:hAnsi="arial" w:cs="arial"/>
          <w:color w:val="000000"/>
          <w:sz w:val="20"/>
          <w:lang w:val="en-US" w:eastAsia="en-US" w:bidi="ar-SA"/>
        </w:rPr>
        <w:t>. In that case, Madam Justice Ballance provided a thorough and helpful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[56] This court has long recognized the loss of sick bank credits as a compensable loss (see generally: </w:t>
      </w:r>
      <w:r>
        <w:rPr>
          <w:rFonts w:ascii="arial" w:eastAsia="arial" w:hAnsi="arial" w:cs="arial"/>
          <w:b/>
          <w:i/>
          <w:color w:val="000000"/>
          <w:sz w:val="20"/>
          <w:lang w:val="en-US" w:eastAsia="en-US" w:bidi="ar-SA"/>
        </w:rPr>
        <w:t>McCready v. Munroe</w:t>
      </w:r>
      <w:r>
        <w:rPr>
          <w:rFonts w:ascii="arial" w:eastAsia="arial" w:hAnsi="arial" w:cs="arial"/>
          <w:color w:val="000000"/>
          <w:sz w:val="20"/>
          <w:lang w:val="en-US" w:eastAsia="en-US" w:bidi="ar-SA"/>
        </w:rPr>
        <w:t xml:space="preserve"> </w:t>
      </w:r>
      <w:hyperlink r:id="rId708" w:history="1">
        <w:r>
          <w:rPr>
            <w:rFonts w:ascii="arial" w:eastAsia="arial" w:hAnsi="arial" w:cs="arial"/>
            <w:i/>
            <w:color w:val="0077CC"/>
            <w:sz w:val="20"/>
            <w:u w:val="single"/>
            <w:shd w:val="clear" w:color="auto" w:fill="FFFFFF"/>
            <w:lang w:val="en-US" w:eastAsia="en-US" w:bidi="ar-SA"/>
          </w:rPr>
          <w:t>(1965), 55 D.L.R. (2d) 338</w:t>
        </w:r>
      </w:hyperlink>
      <w:r>
        <w:rPr>
          <w:rFonts w:ascii="arial" w:eastAsia="arial" w:hAnsi="arial" w:cs="arial"/>
          <w:color w:val="000000"/>
          <w:sz w:val="20"/>
          <w:lang w:val="en-US" w:eastAsia="en-US" w:bidi="ar-SA"/>
        </w:rPr>
        <w:t xml:space="preserve">, </w:t>
      </w:r>
      <w:hyperlink r:id="rId708" w:history="1">
        <w:r>
          <w:rPr>
            <w:rFonts w:ascii="arial" w:eastAsia="arial" w:hAnsi="arial" w:cs="arial"/>
            <w:i/>
            <w:color w:val="0077CC"/>
            <w:sz w:val="20"/>
            <w:u w:val="single"/>
            <w:shd w:val="clear" w:color="auto" w:fill="FFFFFF"/>
            <w:lang w:val="en-US" w:eastAsia="en-US" w:bidi="ar-SA"/>
          </w:rPr>
          <w:t>54 W.W.R. 65</w:t>
        </w:r>
      </w:hyperlink>
      <w:r>
        <w:rPr>
          <w:rFonts w:ascii="arial" w:eastAsia="arial" w:hAnsi="arial" w:cs="arial"/>
          <w:color w:val="000000"/>
          <w:sz w:val="20"/>
          <w:lang w:val="en-US" w:eastAsia="en-US" w:bidi="ar-SA"/>
        </w:rPr>
        <w:t xml:space="preserve"> (B.C.S.C.)). In </w:t>
      </w:r>
      <w:r>
        <w:rPr>
          <w:rFonts w:ascii="arial" w:eastAsia="arial" w:hAnsi="arial" w:cs="arial"/>
          <w:b/>
          <w:i/>
          <w:color w:val="000000"/>
          <w:sz w:val="20"/>
          <w:lang w:val="en-US" w:eastAsia="en-US" w:bidi="ar-SA"/>
        </w:rPr>
        <w:t>Lavigne v. Doucet</w:t>
      </w:r>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(1976), 14 N.B.R. (2d) 700</w:t>
        </w:r>
      </w:hyperlink>
      <w:r>
        <w:rPr>
          <w:rFonts w:ascii="arial" w:eastAsia="arial" w:hAnsi="arial" w:cs="arial"/>
          <w:color w:val="000000"/>
          <w:sz w:val="20"/>
          <w:lang w:val="en-US" w:eastAsia="en-US" w:bidi="ar-SA"/>
        </w:rPr>
        <w:t xml:space="preserve"> at para. 12 (C.A.), the New Brunswick Court of Appeal held that the depletion of a plaintiff's accumulated sick leave arising from injuries suffered in an accident removed a benefit that he or she would otherwise have and, therefore, constitutes a genuine loss. That conceptual approach was approved of by McLachlin J. (now the Chief Justice) in </w:t>
      </w:r>
      <w:r>
        <w:rPr>
          <w:rFonts w:ascii="arial" w:eastAsia="arial" w:hAnsi="arial" w:cs="arial"/>
          <w:b/>
          <w:i/>
          <w:color w:val="000000"/>
          <w:sz w:val="20"/>
          <w:lang w:val="en-US" w:eastAsia="en-US" w:bidi="ar-SA"/>
        </w:rPr>
        <w:t>Ratych v. Bloomer</w:t>
      </w:r>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[1990] 1 S.C.R. 940</w:t>
        </w:r>
      </w:hyperlink>
      <w:r>
        <w:rPr>
          <w:rFonts w:ascii="arial" w:eastAsia="arial" w:hAnsi="arial" w:cs="arial"/>
          <w:color w:val="000000"/>
          <w:sz w:val="20"/>
          <w:lang w:val="en-US" w:eastAsia="en-US" w:bidi="ar-SA"/>
        </w:rPr>
        <w:t xml:space="preserve"> at 972, </w:t>
      </w:r>
      <w:hyperlink r:id="rId710" w:history="1">
        <w:r>
          <w:rPr>
            <w:rFonts w:ascii="arial" w:eastAsia="arial" w:hAnsi="arial" w:cs="arial"/>
            <w:i/>
            <w:color w:val="0077CC"/>
            <w:sz w:val="20"/>
            <w:u w:val="single"/>
            <w:shd w:val="clear" w:color="auto" w:fill="FFFFFF"/>
            <w:lang w:val="en-US" w:eastAsia="en-US" w:bidi="ar-SA"/>
          </w:rPr>
          <w:t>69 D.L.R. (4th) 25</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accept that if an employee can establish that he or she has suffered a loss in exchange for obtaining wages during the time he or she could not work, the employee should be compensated for that loss. Thus in </w:t>
      </w:r>
      <w:r>
        <w:rPr>
          <w:rFonts w:ascii="arial" w:eastAsia="arial" w:hAnsi="arial" w:cs="arial"/>
          <w:i/>
          <w:color w:val="000000"/>
          <w:sz w:val="20"/>
          <w:lang w:val="en-US" w:eastAsia="en-US" w:bidi="ar-SA"/>
        </w:rPr>
        <w:t>Lavigne v. Doucet</w:t>
      </w:r>
      <w:r>
        <w:rPr>
          <w:rFonts w:ascii="arial" w:eastAsia="arial" w:hAnsi="arial" w:cs="arial"/>
          <w:color w:val="000000"/>
          <w:sz w:val="20"/>
          <w:lang w:val="en-US" w:eastAsia="en-US" w:bidi="ar-SA"/>
        </w:rPr>
        <w:t xml:space="preserve"> the New Brunswick Court of Appeal quite rightly allowed damages for loss of accumulated sick benefits.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Some years later the issue was revived before the Supreme Court of Canada in </w:t>
      </w:r>
      <w:r>
        <w:rPr>
          <w:rFonts w:ascii="arial" w:eastAsia="arial" w:hAnsi="arial" w:cs="arial"/>
          <w:b/>
          <w:i/>
          <w:color w:val="000000"/>
          <w:sz w:val="20"/>
          <w:lang w:val="en-US" w:eastAsia="en-US" w:bidi="ar-SA"/>
        </w:rPr>
        <w:t>Cunningham v. Wheeler</w:t>
      </w:r>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[1994] 1 S.C.R. 359</w:t>
        </w:r>
      </w:hyperlink>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113 D.L.R. (4th) 1</w:t>
        </w:r>
      </w:hyperlink>
      <w:r>
        <w:rPr>
          <w:rFonts w:ascii="arial" w:eastAsia="arial" w:hAnsi="arial" w:cs="arial"/>
          <w:color w:val="000000"/>
          <w:sz w:val="20"/>
          <w:lang w:val="en-US" w:eastAsia="en-US" w:bidi="ar-SA"/>
        </w:rPr>
        <w:t>, where Cory J. confirmed at 13 that an employee who uses sick leave in order to receive wages while off work and loses those sick day credits is entitled to receive compensation.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[58] In </w:t>
      </w:r>
      <w:r>
        <w:rPr>
          <w:rFonts w:ascii="arial" w:eastAsia="arial" w:hAnsi="arial" w:cs="arial"/>
          <w:b/>
          <w:i/>
          <w:color w:val="000000"/>
          <w:sz w:val="20"/>
          <w:lang w:val="en-US" w:eastAsia="en-US" w:bidi="ar-SA"/>
        </w:rPr>
        <w:t>Roberts v. Earthy</w:t>
      </w:r>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[1995] B.C.J. No. 1034</w:t>
        </w:r>
      </w:hyperlink>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1995 CanLII 1421</w:t>
        </w:r>
      </w:hyperlink>
      <w:r>
        <w:rPr>
          <w:rFonts w:ascii="arial" w:eastAsia="arial" w:hAnsi="arial" w:cs="arial"/>
          <w:color w:val="000000"/>
          <w:sz w:val="20"/>
          <w:lang w:val="en-US" w:eastAsia="en-US" w:bidi="ar-SA"/>
        </w:rPr>
        <w:t xml:space="preserve"> (B.C.S.C.) [</w:t>
      </w:r>
      <w:r>
        <w:rPr>
          <w:rFonts w:ascii="arial" w:eastAsia="arial" w:hAnsi="arial" w:cs="arial"/>
          <w:b/>
          <w:i/>
          <w:color w:val="000000"/>
          <w:sz w:val="20"/>
          <w:lang w:val="en-US" w:eastAsia="en-US" w:bidi="ar-SA"/>
        </w:rPr>
        <w:t>Roberts</w:t>
      </w:r>
      <w:r>
        <w:rPr>
          <w:rFonts w:ascii="arial" w:eastAsia="arial" w:hAnsi="arial" w:cs="arial"/>
          <w:color w:val="000000"/>
          <w:sz w:val="20"/>
          <w:lang w:val="en-US" w:eastAsia="en-US" w:bidi="ar-SA"/>
        </w:rPr>
        <w:t>], Clancy J. held at para. 8 that it was not necessary to adduce evidence showing that any consideration was paid by the plaintiff or negotiated on the plaintiff's behalf through a collective agreement or other employment arrangement. He did so on the basis that the accumulation of sick days is not related to what has come to be known as the insurance exception to the compensatory principle where such supporting evidence is generally required.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The case authorities do not appear to support a universal approach to the quantification of the loss flowing from the depletion of sick leave benefits. For example, in </w:t>
      </w:r>
      <w:r>
        <w:rPr>
          <w:rFonts w:ascii="arial" w:eastAsia="arial" w:hAnsi="arial" w:cs="arial"/>
          <w:b/>
          <w:i/>
          <w:color w:val="000000"/>
          <w:sz w:val="20"/>
          <w:lang w:val="en-US" w:eastAsia="en-US" w:bidi="ar-SA"/>
        </w:rPr>
        <w:t>Collins v. Ma</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[1990] B.C.J. No. 3047</w:t>
        </w:r>
      </w:hyperlink>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1990 CanLII 1634</w:t>
        </w:r>
      </w:hyperlink>
      <w:r>
        <w:rPr>
          <w:rFonts w:ascii="arial" w:eastAsia="arial" w:hAnsi="arial" w:cs="arial"/>
          <w:color w:val="000000"/>
          <w:sz w:val="20"/>
          <w:lang w:val="en-US" w:eastAsia="en-US" w:bidi="ar-SA"/>
        </w:rPr>
        <w:t xml:space="preserve"> (B.C.S.C.), the court endorsed a contingency calculation being applied in order to take into consideration the likelihood of an employee drawing on the lost banked sick days in the future. That approach was followed by the court in </w:t>
      </w:r>
      <w:r>
        <w:rPr>
          <w:rFonts w:ascii="arial" w:eastAsia="arial" w:hAnsi="arial" w:cs="arial"/>
          <w:b/>
          <w:i/>
          <w:color w:val="000000"/>
          <w:sz w:val="20"/>
          <w:lang w:val="en-US" w:eastAsia="en-US" w:bidi="ar-SA"/>
        </w:rPr>
        <w:t>Olson v. Nixon</w:t>
      </w:r>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[1991] B.C.J. No. 155</w:t>
        </w:r>
      </w:hyperlink>
      <w:r>
        <w:rPr>
          <w:rFonts w:ascii="arial" w:eastAsia="arial" w:hAnsi="arial" w:cs="arial"/>
          <w:color w:val="000000"/>
          <w:sz w:val="20"/>
          <w:lang w:val="en-US" w:eastAsia="en-US" w:bidi="ar-SA"/>
        </w:rPr>
        <w:t>, 1991 CarswellBC 1346 (S.C.).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In </w:t>
      </w:r>
      <w:r>
        <w:rPr>
          <w:rFonts w:ascii="arial" w:eastAsia="arial" w:hAnsi="arial" w:cs="arial"/>
          <w:b/>
          <w:i/>
          <w:color w:val="000000"/>
          <w:sz w:val="20"/>
          <w:lang w:val="en-US" w:eastAsia="en-US" w:bidi="ar-SA"/>
        </w:rPr>
        <w:t>Roberts</w:t>
      </w:r>
      <w:r>
        <w:rPr>
          <w:rFonts w:ascii="arial" w:eastAsia="arial" w:hAnsi="arial" w:cs="arial"/>
          <w:color w:val="000000"/>
          <w:sz w:val="20"/>
          <w:lang w:val="en-US" w:eastAsia="en-US" w:bidi="ar-SA"/>
        </w:rPr>
        <w:t xml:space="preserve">, however, Clancy J. made no deduction for contingencies. Likewise, more recently in </w:t>
      </w:r>
      <w:r>
        <w:rPr>
          <w:rFonts w:ascii="arial" w:eastAsia="arial" w:hAnsi="arial" w:cs="arial"/>
          <w:b/>
          <w:i/>
          <w:color w:val="000000"/>
          <w:sz w:val="20"/>
          <w:lang w:val="en-US" w:eastAsia="en-US" w:bidi="ar-SA"/>
        </w:rPr>
        <w:t>Choromanski v. Malaspina University College</w:t>
      </w:r>
      <w:r>
        <w:rPr>
          <w:rFonts w:ascii="arial" w:eastAsia="arial" w:hAnsi="arial" w:cs="arial"/>
          <w:color w:val="000000"/>
          <w:sz w:val="20"/>
          <w:lang w:val="en-US" w:eastAsia="en-US" w:bidi="ar-SA"/>
        </w:rPr>
        <w:t xml:space="preserve">, </w:t>
      </w:r>
      <w:hyperlink r:id="rId715" w:history="1">
        <w:r>
          <w:rPr>
            <w:rFonts w:ascii="arial" w:eastAsia="arial" w:hAnsi="arial" w:cs="arial"/>
            <w:i/>
            <w:color w:val="0077CC"/>
            <w:sz w:val="20"/>
            <w:u w:val="single"/>
            <w:shd w:val="clear" w:color="auto" w:fill="FFFFFF"/>
            <w:lang w:val="en-US" w:eastAsia="en-US" w:bidi="ar-SA"/>
          </w:rPr>
          <w:t>2002 BCSC 771</w:t>
        </w:r>
      </w:hyperlink>
      <w:r>
        <w:rPr>
          <w:rFonts w:ascii="arial" w:eastAsia="arial" w:hAnsi="arial" w:cs="arial"/>
          <w:color w:val="000000"/>
          <w:sz w:val="20"/>
          <w:lang w:val="en-US" w:eastAsia="en-US" w:bidi="ar-SA"/>
        </w:rPr>
        <w:t>, the court rejected the defence argument that there should be a reduction of the loss taken based on the plaintiff's work history and the rate at which he had traditionally availed himself of his sick benefits.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In my view, whether it is appropriate to make deductions for contingencies in quantifying the loss will depend upon the presence or absence of certain factors. Those would include, for example, whether there is a maximum limit of accumulated sick leave, whether the plaintiff is able to cash out accumulated sick leave days on termination or retirement, whether the plaintiff has several years of employment remaining in which to potentially use the sick leave or has only a few months of employment left until retirement with a significant sick leave remaining, or whether the plaintiff has left the employment in which he earned the sick day credits altogether. It cannot be predicted with any degree of certainty whether a person who is healthy today will be so tomorrow. Illness or injury can afflict any one of us at any time. Placing much if any reliance on the plaintiff's past use of sick benefits strikes me as an unsound and potentially unfair approach because it fails to adequately protect a plaintiff against an unexpected serious or catastrophic illness in the future which could occur in any otherwise healthy plaintiff, or against a future injury, which, by its nature, is unpredictable. In neither case would those future events necessarily be related to the plaintiff's past use of sick benefits.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[62] I accept that had Ms. Fenwick not used her sick leave credits, she would have been entitled to transfer them from her then employer, the Vancouver School Board, to her new employer, the Coquitlam School Board. As well I am satisfied that, pursuant to her collective agreement, any monies awarded to Ms. Fenwick on account of lost sick days is repayable to her then employer in order to replenish her sick leave bank. Beyond that, the evidence pertaining to the details of the portability of Ms. Fenwick's sick day credits was not well developed. I do not have cogent evidence as to whether there is a maximum number of sick days allowable, the formula for which she has earned them or whether she is able to cash them out on retirement or termination.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As best I can decipher from the evidence, the loss that Ms. Fenwick has sustained is a potential future loss in the sense that it would only be experienced if she has insufficient sick leave credits to adequately cover a future period of absence due to illness in respect of which she could have drawn upon the lost sick bank for income continuation.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[64] Ms. Fenwick thoroughly exhausted her accumulated sick leave as a result of the accident. She is a relatively young woman in the early stages of her career as a teacher. I have found that she likely will experience flare-ups of her symptoms caused by this accident from time to time in the future which may require her to miss brief intervals of time from work. She may also suffer from other illness or medical conditions in the future which will keep her from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[65] I am satisfied that fair and reasonable damages for this loss is compensation which reflects the actual hours Ms. Fenwick missed from work and used as sick time, multiplied by her approximate average hourly rate, without deduction. To that, I would add her wage loss stemming from fifteen hours of unpaid absences attributable to her injuries. The total damages amount to $5,469.18.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[66] Ms. Fenwick's counsel raised a concern about whether damages for Ms. Fenwick's lost sick bank entitlement could be validly characterized as pre-trial earnings or income and thereby attract a deduction for income tax pursuant to sections 95 and 98 of the </w:t>
      </w:r>
      <w:r>
        <w:rPr>
          <w:rFonts w:ascii="arial" w:eastAsia="arial" w:hAnsi="arial" w:cs="arial"/>
          <w:b/>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In my view, this kind of loss is not in the character of past wage loss. Accordingly, there will be no deduction for income tax.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[213] I agree with that analysis and I adopt it in its entirety. Here, the plaintiff exhausted her accumulated sick leave. She also used up several of her vacation days. She has had illnesses unrelated to the accident that have resulted in her being unable to work. She is likely to have them in the future. Her plan is to stay and make a career at CRA.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[214] I am satisfied that the plaintiff is entitled to be compensated for her lost sick leave and vacation benefits which total $7,371.09. There will be no deduction for income tax.</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[215] The plaintiff must demonstrate both impairment to her earning capacity and a real and substantial possibility that the impairment will result in a pecuniary loss: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489"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Drodge v. Kozak</w:t>
      </w:r>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2011 BCSC 1316</w:t>
        </w:r>
      </w:hyperlink>
      <w:r>
        <w:rPr>
          <w:rFonts w:ascii="arial" w:eastAsia="arial" w:hAnsi="arial" w:cs="arial"/>
          <w:color w:val="000000"/>
          <w:sz w:val="20"/>
          <w:lang w:val="en-US" w:eastAsia="en-US" w:bidi="ar-SA"/>
        </w:rPr>
        <w:t xml:space="preserve"> at para. 147.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[216] Counsel for the plaintiff submits the evidence shows there will be times when the plaintiff will miss work in the future due to her accident related injuries. He points to the fact that the plaintiff has used 81 hours of sick leave due to the accident between October 27, 2011 and the present. He also points to the fact that she missed work in November 2012 for this very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[217] I agree with counsel for the defendants that, in determining the extent of loss of earning capacity I must take into account all substantial possibilities and give them the appropriate weight. As well, I must consider the plaintiff's ongoing duty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[218] Although the plaintiff is now functioning relatively well, will continue to improve and is not likely to be disabled from her injuries, I find that there is a substantial possibility she will continue to miss the occasional work day due to her accident related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[219] The plaintiff is now 29 years old. She has a full career ahead of her. Counsel for the plaintiff suggests it is reasonable to expect that she will lose $1,500 per year as a result of her injuries. I disagree. The plaintiff is an achiever. She is not going to let her injuries interfere with her work life unless her muscle spasms and pain are debilitating. In my view, it is reasonable to expect she will be unable to work no more than three days per year due to lower back and neck pain and muscle spasm resulting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[220] As stated above, it is reasonable to expect she will be fully recovered within five years. Accordingly, she is entitled to compensation for an annual loss of $577.92 (24 hrs per year x $24.08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[221] A discount rate of 2.5% is applicable to future income loss. Using that rate for a five year loss yields a present value multiplier of 4.6458. Applying that multiplier to a loss of $577.92 per year yields $2,684.90.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f. 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[222] Counsel for the defendants argue the plaintiff has failed to mitigate. They submit the plaintiff was told to remain active and continue with a rehabilitation program. At times she complied and at other times she did not because she was too busy with work and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[223] The defendants bear the onus of proving the plaintiff failed to undertake the recommended treatment, that by following the recommended treatment she could have mitigated her loss and that her failure to undertake that treatment was unreasonable: </w:t>
      </w:r>
      <w:r>
        <w:rPr>
          <w:rFonts w:ascii="arial" w:eastAsia="arial" w:hAnsi="arial" w:cs="arial"/>
          <w:i/>
          <w:color w:val="000000"/>
          <w:sz w:val="20"/>
          <w:lang w:val="en-US" w:eastAsia="en-US" w:bidi="ar-SA"/>
        </w:rPr>
        <w:t>Fox v. Danis</w:t>
      </w:r>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2005 BCSC 102</w:t>
        </w:r>
      </w:hyperlink>
      <w:r>
        <w:rPr>
          <w:rFonts w:ascii="arial" w:eastAsia="arial" w:hAnsi="arial" w:cs="arial"/>
          <w:color w:val="000000"/>
          <w:sz w:val="20"/>
          <w:lang w:val="en-US" w:eastAsia="en-US" w:bidi="ar-SA"/>
        </w:rPr>
        <w:t xml:space="preserve"> at para. 37 (affirmed </w:t>
      </w:r>
      <w:hyperlink r:id="rId718" w:history="1">
        <w:r>
          <w:rPr>
            <w:rFonts w:ascii="arial" w:eastAsia="arial" w:hAnsi="arial" w:cs="arial"/>
            <w:i/>
            <w:color w:val="0077CC"/>
            <w:sz w:val="20"/>
            <w:u w:val="single"/>
            <w:shd w:val="clear" w:color="auto" w:fill="FFFFFF"/>
            <w:lang w:val="en-US" w:eastAsia="en-US" w:bidi="ar-SA"/>
          </w:rPr>
          <w:t>2006 BCCA 324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[224] In my view, the evidence is clear that the plaintiff was determined to put her injuries behind her and that she did take reasonable steps to recover from them. To the extent she did not go to the gym as often as her doctor had recommended, I am satisfied it was because her pain prevented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g.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[225] The plaintiff submits she will require ongoing medication, massage, physiotherapy and sessions with a kinesiologist in order to manage her pain. Plaintiff's counsel suggests, without any evidentiary foundation, that a reasonable estimate of her future care needs is $1000 per year for 12 years. Using a discount rate of 3.5%, he submits that an award of $10,000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[226] Defendants' counsel submits that, based upon Dr. Frobb's opinion, a five session "refresher" course with a kinesiologist at $75.00 per visit, for a total of $375.00 is all that will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[227] I am satisfied that the plaintiff will require future massage and physiotherapy sessions to help relieve her pain flare-ups. I have found that she can expect three flare-up episodes per year. I estimate that each massage session will cost $50.00 and each physiotherapy session will cost $80. Accordingly, she will incur $390.00 per year in future care costs for five years. A discount rate of 3.5% is applicable to cost of future care. Using that rate for a 5 year loss yields a present value multiplier of 4.5151. Applying that multiplier to a loss of $390.00 per year yields $1,760.89.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h.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[228] The defendants argue that the plaintiff had extended health benefits through CRA yet failed to submit any claim for her massage therapy to the benefits supplier. They submit that her failure to do so should prevent her from claiming special damages in this regard. The defendants seek to obtain the benefit of a contract of insurance between the plaintiff and her extended health benefits insurer. I know of no basis in law for such an argument, nor was one provided to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[229] The defendants are in agreement that the plaintiff incurred the following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6"/>
        <w:gridCol w:w="2927"/>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massage therapy</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$1,198.40</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705"/>
        <w:gridCol w:w="1778"/>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moving expenses for first move</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$313.15</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repairs to her chipped tooth</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$269.50 (unless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already paid)</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019"/>
        <w:gridCol w:w="1464"/>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moving truck rental for second move</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$383.81</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3346"/>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mileage</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$300.00</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8"/>
        <w:gridCol w:w="3555"/>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4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$2,464.86</w:t>
            </w:r>
          </w:p>
        </w:tc>
        <w:tc>
          <w:tcPr>
            <w:tcW w:w="327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[230] The plaintiff is entitled to recover special damages in the amount of $2,464.86, unless her dental bill has already been paid by ICBC in which case her special costs award will be $2,195.36. Counsel agreed among themselves to determine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[231] The action against Edgardo Limjuco Rafael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[232] The plaintiff is entitled to judgment against the defendant, Matthew Daniel Herback, in the following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3973"/>
        <w:gridCol w:w="2614"/>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$45,000.00</w:t>
            </w:r>
          </w:p>
        </w:tc>
        <w:tc>
          <w:tcPr>
            <w:tcW w:w="317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 (CRA)</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$7,942.83</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4496"/>
        <w:gridCol w:w="2091"/>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 (Ingledew's)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$1,350.00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1987"/>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Accumulated Sick Leave</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$7,371.09</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3"/>
        <w:gridCol w:w="2405"/>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Earning Capacity</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$2,684.90</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3973"/>
        <w:gridCol w:w="2614"/>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$1,760.89</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228"/>
        <w:gridCol w:w="355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34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$2,464.86 or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$2,195.36</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[233] The successful parties are entitled to recover costs at Scale B. If the parties are unable to agree on costs, they are at liberty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WEATHERILL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3" style="position:absolute;z-index:2518517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19"/>
          <w:headerReference w:type="default" r:id="rId720"/>
          <w:footerReference w:type="even" r:id="rId721"/>
          <w:footerReference w:type="default" r:id="rId722"/>
          <w:headerReference w:type="first" r:id="rId723"/>
          <w:footerReference w:type="first" r:id="rId72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25" w:history="1">
        <w:r>
          <w:rPr>
            <w:rFonts w:ascii="arial" w:eastAsia="arial" w:hAnsi="arial" w:cs="arial"/>
            <w:b/>
            <w:bCs/>
            <w:i/>
            <w:color w:val="0077CC"/>
            <w:kern w:val="32"/>
            <w:sz w:val="28"/>
            <w:szCs w:val="32"/>
            <w:u w:val="single"/>
            <w:shd w:val="clear" w:color="auto" w:fill="FFFFFF"/>
            <w:lang w:val="en-US" w:eastAsia="en-US" w:bidi="ar-SA"/>
          </w:rPr>
          <w:t>Djukic v. Hahn, [2006] B.C.J. No. 199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Josephson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28 - 30, and December 1 and 5 - 9,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30,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S064014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199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2006 BCSC 154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26" w:history="1">
        <w:r>
          <w:rPr>
            <w:rFonts w:ascii="arial" w:eastAsia="arial" w:hAnsi="arial" w:cs="arial"/>
            <w:i/>
            <w:color w:val="0077CC"/>
            <w:sz w:val="20"/>
            <w:u w:val="single"/>
            <w:shd w:val="clear" w:color="auto" w:fill="FFFFFF"/>
            <w:lang w:val="en-US" w:eastAsia="en-US" w:bidi="ar-SA"/>
          </w:rPr>
          <w:t>146 A.C.W.S. (3d) 480</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Ljiljana Djukic, plaintiff, and Hong Won Hahn,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4"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4" w:name="Keywords_39"/>
      <w:bookmarkEnd w:id="254"/>
      <w:r>
        <w:rPr>
          <w:rFonts w:ascii="arial" w:eastAsia="arial" w:hAnsi="arial" w:cs="arial"/>
          <w:b/>
          <w:color w:val="000000"/>
          <w:sz w:val="20"/>
          <w:lang w:val="en-US" w:eastAsia="en-US" w:bidi="ar-SA"/>
        </w:rPr>
        <w:t>Damages — General damages — For personal injuries — Considerations — Aggravation of pre-existing injury — Cost of future care — Loss of earning capacity — Loss of housekeeping ability — Non pecuniary damages, including pain and suffering — Plaintiffs awarded $1,163,200 in damages for personal injuries suffered in two separate motor vehicle accidents — Female plaintiff's injuries from first accident severely aggravated by second accident — Severe whiplash injuries, herniated disc, chronic depression and anxiety suffered by female plaintiff — Permanent partial disability — Parties had to sell successful deli store after second accident due to female plaintiff's inability to continue working in deli.</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Special damages — Loss of profits — Medical expenses — Pre-trial pecuniary loss - Plaintiffs awarded $1,163,200 in damages for personal injuries suffered in two separate motor vehicle accidents — Female plaintiff's injuries from first accident severely aggravated by second accident — Severe whiplash injuries, herniated disc, chronic depression and anxiety suffered by female plaintiff — Permanent partial disability — Parties had to sell successful deli store after second accident due to female plaintiff's inability to continue working in deli.</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Damages — Physical injuries — Body injuries — Back — Neck — Whiplash — Degree of impairment — Permanent total or partial disability — Plaintiffs awarded $1,163,200 in damages for personal injuries suffered in two separate motor vehicle accidents — Female plaintiff's injuries from first accident severely aggravated by second accident — Severe whiplash injuries, herniated disc, chronic depression and anxiety suffered by female plaintiff — Permanent partial disability — Parties had to sell successful deli store after second accident due to female plaintiff's inability to continue working in deli. 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Rules of the road — Defendant solely liable for motor vehicle accident with plaintiff — Defendant failed to yield to plaintiff before making left hand turn.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Tortfeasors — Contribution between tortfeasors — Apportionment of liability — Plaintiffs awarded $1,163,200 in damages for personal injuries suffered in two separate motor vehicle accidents — Female plaintiff's injuries apportioned 25 per cent to first accident and 75 per cent to second accident.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5" w:name="Case Summary_36"/>
            <w:bookmarkEnd w:id="25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Personal injury action arising out of two motor vehicle accidents -- Plaintiffs involved in accident in 2000 in which both plaintiffs sustained soft tissue injuries -- Prior to first accident, plaintiffs operated very successful deli, grossing $21,000 per month prior to first accident -- Due to injuries suffered in first accident, plaintiffs had to close deli for three months -- Deli reopened but with shorter hours -- Before female plaintiff fully recovered from 2000 accident, she was involved in 2001 accident with defendant -- Due to wife's condition after second accident, she was unable to assist in running of deli and plaintiffs had to sell business -- Male plaintiff now 45 years old and opened a new butcher shop -- Female plaintiff was 37 years old -- At time of second accident, female plaintiff still suffered from significant back and neck pain and headaches resulting from first accident -- Male plaintiff continued to suffer from pain and decreased range of motion -- At time of second accident, female plaintiff proceeded through yellow light of intersection -- Defendant drove in opposite direction and wanted to make left-hand turn at intersection -- Defendant did not see plaintiff's vehicle and collided with her -- Liability for 2000 accident was admitted - Female plaintiff suffered extreme pain until surgery in 2002 after diagnosed with disc herniation -- Female plaintiff unable to perform housework and could not assist husband in new business -- She continued to suffer chronic depression and anxiety -- She remained restricted -- HELD: Action allowed -- Total damages of $1,163,200 awarded -- Defendant liable for 2001 accident -- Defendant failed to yield right of way to plaintiff's vehicle -- Defendant was negligent in failing to look for oncoming traffic before making left-hand turn -- Plaintiff could not avoid collision in circumstances -- Female plaintiff's damages apportioned 25 per cent to 2000 accident and 75 per cent to 2001 accident -- 2001 accident aggravated plaintiff's injuries suffered in first accident -- Court accepted medical evidence that disc herniation was directly and causally linked to both accidents, with second accident playing greater role -- Accidents had dramatic impact on female plaintiff's quality of life -- Plaintiff left with permanent partial disability, both physically and emotionally -- Her non pecuniary damages assessed at $125,000 - Husband's non-pecuniary damages resulting from fist accident assessed at $40,000 -- Loss of past income earning capacity for both plaintiffs assessed at $265,000 -- Female plaintiff's loss of future earning capacity assessed at $500,000 -- Male plaintiff's loss of earning capacity assessed at $40,000 -- Cost of future care for female plaintiff assessed at $175,000 -- Cost of male plaintiff's future care assessed at $2,400 -- In trust claim for plaintiffs' children assessed at $3,600 -- Special damages for medications assessed at $12,200.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6" w:name="Legislation Cited_25"/>
      <w:bookmarkEnd w:id="25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5"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727" w:history="1">
        <w:r>
          <w:rPr>
            <w:rFonts w:ascii="arial" w:eastAsia="arial" w:hAnsi="arial" w:cs="arial"/>
            <w:i/>
            <w:color w:val="0077CC"/>
            <w:sz w:val="20"/>
            <w:u w:val="single"/>
            <w:shd w:val="clear" w:color="auto" w:fill="FFFFFF"/>
            <w:lang w:val="en-US" w:eastAsia="en-US" w:bidi="ar-SA"/>
          </w:rPr>
          <w:t>R.S.B.C. 1996, c. 318, s. 174</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7" w:name="Counsel_40"/>
      <w:bookmarkEnd w:id="25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6" style="position:absolute;z-index:251802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K.C. Jarvis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 Frost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8" w:name="Judgment_40"/>
      <w:bookmarkEnd w:id="258"/>
      <w:r>
        <w:pict>
          <v:line id="_x0000_s1217" style="position:absolute;z-index:25185280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9" w:name="JOSEPHSON J."/>
            <w:bookmarkEnd w:id="259"/>
            <w:r>
              <w:rPr>
                <w:rFonts w:ascii="arial" w:eastAsia="arial" w:hAnsi="arial" w:cs="arial"/>
                <w:b/>
                <w:color w:val="000000"/>
                <w:sz w:val="30"/>
                <w:lang w:val="en-US" w:eastAsia="en-US" w:bidi="ar-SA"/>
              </w:rPr>
              <w:t>JOSEPHSON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Mr. and Mrs. Djukic were operating a relatively successful Serbian deli business when both were injured in a motor vehicle accident on June 15, 2000. What made the business a success was primarily the complimentary nature of their partnership. He was a skilled chef and butcher; she a skilled manager and promoter. Neither was capable of adequately performing the other's duties. As a result of the accident, they both suffered soft tissue injuries of some significance, such that they had to close the business for a period of over three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One year later, on June 26, 2001, when Mrs. Djukic was far from fully recovered from the injuries suffered in the first accident, she was involved in a second. Her injuries were significantly exacerbated such that she now claims to suffer from serious physical and emotional injuries that constitute a permanent partial disability. After an unsuccessful attempt by Mr. Djukic to continue the business with only minimal assistance from Mrs. Djukic, the Djukics sold it and moved to Kelowna. Mr. Djukic has recently opened a meat and butcher shop selling wholesale products that primarily appeal to the Serbian community. While he is optimistic, its future success is as yet unknown.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Liability is conceded on the first accident, but not the second.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Djukic is now 45 years of age; Mrs. Djukic 37. They have two children, aged 15 and 17 years. They emigrated to Canada from Bosnia in 1995. Prior to that, they had both partially completed a culinary arts programme. Mr. Djukic had further specialized as a chef in a subsequent two-year programme. He was then employed as a chef in a prestigious restaurant in Bosnia, after which he and his wife opened their own restaurant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1998 they began their deli business in Vancouver and enjoyed gradually increasing returns until the first accident on June 15, 2000. Mr. Djukic was driving and Mrs. Djukic was in the front passenger seat. There was a front-end collision when another vehicle went through a stop sign in front of them as they passed through the intersection. It was not sufficient enough, however, to deploy the air bags.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Injuries of Mrs. Djukic in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Prior to the accident, Mrs. Djukic was largely symptom free, energetic, ambitious, hard-working, physically strong, emotionally stable and goal driven. Her transformation into a person with quite the opposite characteristics began with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She described being in a state of shock, crying, suffering pain and unable to emerge from the vehicle. She was transported to hospital by ambulance. She described pain the neck, right shoulder, right elbow, right wrist, right knee and lower back. She suffered migraine headaches, anxiety and insomnia. Prior to the accident, she had occasional back problems which had previously been resolved. She also suffered from migraine headaches about once a month since the birth of her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After the accident, the migraines greatly increased in intensity, duration and frequency. They improved with time, but never to their pre-accident level. After a few months she began suffering a different type of headache, which she described as a tension headache in the back of her head that began with a stiff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Her lower back pain worsened with time. She developed a "burning pain" which extended to her leg. Finding the pain overwhelming, she attended the hospital emergency ward on two occasions in the fall of 2000 and was treated with cortisone shots. That temporarily alleviated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She took pain medication, including Tylenol #3, and a muscle relaxant.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By the time of the second accident in June of 2001, she described still having "a lot of lower back pain" extending down her leg. Her right shoulder and wrist improved, but there were problems with a loss of strength.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She described her duties at their deli business, a business which catered mostly to take-out customers, but which had a few tables for in-store customers. Her duties included sales and sales promotion, dealing with customers, preparing a difficult labour-intensive Serbian pastry called "burek", ordering product, and managing the business. The burek dish was very popular, but required physical exertion that she could only rarely accomplish after the first accident. It also required much skill to prepare, a skill possessed by few.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Djukic was an excellent chef and kitchen organizer but had few skills in other aspects of the business. The two often worked 12 hours a day, six days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After the first accident, they had no choice but to close their business until late September, throwing out their inventory in the process. Mrs. Djukic began by working one hour a day and working her way up to four hours per day by the time of the second accident. At that time, her duties then were largely limited to those that were not physically demanding.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She took medications prescribed by her doctors, including an anti-depressant for resulting psychological and emotional problems. She also attended 24 sessions of the ICBC-sponsored Injury Recovery Program, and took physiotherapy, massage therapy, and psychotherapy.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When the business re-opened in late September of 2000, she returned to work, but only infrequently for part-time light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Fearing they would lose their month-to-month tenancy for the deli in a Burnaby mall, they opened a second deli in Richmond in December of 2000, some six months after the first accident. That was operated primarily by Mrs. Djukic and one employee (who could not speak English), with Mr. Djukic attending one day per week. Food was prepared by Mr. Djukic in the Burnaby deli and shipped to the Richmond deli. Their 14 year-old daughter worked there in the summer of 2001, without pay.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May 16, 2001, about six weeks before the second accident, Dr. Parhar reported that she still suffered from pain to the right arm, right shoulder, neck and back, as well as suffering from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Mrs. Djukic and the Accident of June 2001: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Mrs. Djukic was driving alone at the 50 kilometre per hour speed limit along Kingsway adjacent to the Metrotown Mall. She was in the left lane of three that could proceed through a controlled intersection. The light turned yellow at a time she believed would not permit a safe stop and she proceeded through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 was travelling in the opposite direction, but was waiting to make a left hand turn from a dedicated lane across Mrs. Djukic's oncoming lane and into the mall. She did not see Mrs. Djukic's oncoming vehicle prior to the collision. The front of the Djukic vehicle collided with the right passenger side of the defendant's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defendant's version of the accident is consistent with that of Mrs. Djukic. After coming to a stop while the light was still green, she turned left into the intersection in front of Mrs. Djukic. She testified that the light was still green when she first entered the intersection to make the left-hand turn. She never observed the Djukic vehicle until after the collision, despite the fact that it was obviously there to be seen.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An independent witness, Mr. Zapp, was in his vehicle waiting to cross Kingsway. He could only say that when he looked up after the collision and after the defendant vehicle had spun to the curb area adjacent to his vehicle, the light was green for traffic crossing Kingsway, which had then began to edge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 accept the evidence of Mrs. Djukic that the traffic light turned amber as she entered the intersection and that she could not bring her vehicle to a safe stop. The defendant was in clear violation of s. 174 of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by failing to yield the right of way to opposing traffic in circumstances where failing to do so would constitute an "immediate hazard". Her failing to look for oncoming traffic before executing the left-hand turn on such a busy street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 accept the evidence of Mrs. Djukic that she could not avoid the collision in the circumstances. There was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her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Mrs. Djukic and the 2nd Accident of June 26, 2001: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Mrs. Djukic found herself immediately in shock, tears and pain in the neck and lower back. She described the injuries as similar to those suffered in the first accident, but much worse. All her symptoms were aggravated. Her right shoulder, arm and wrist were in pain. She suffered a temporary abdominal injury, likely caused by the seat belt. Again, the air bag did not deploy. Again, unable to exit her vehicle, she was transported to hospital by ambulance. Her headaches worsened.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She again had burning pain extending from her lower back into her right leg. She developed a new symptom, numbness and tingling in her buttocks and extending to her entire right leg. The pain was so overwhelming that she attended the hospital emergency ward on two occasions in May of 2002 and was treated with morphine by injection.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At that time, she could walk with pain "on good days", while on others, she could not even walk to the washroom. She required assistance from her children, husband and friends to dress herself, clean herself, use the washroom and to do the household chores. The pain and difficulties only worsened until she underwent surgery in December of 2002, after she was diagnosed with disc herniation at the L4-5 level. A protrusion there was irritating a nerve which exits the spinal cord at that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Surgery resulted in the alleviation of much of the sharp burning pain through her buttocks and down her leg. This pain however, appears to have returned to a significant degree in June of this year. Thus far, it appears to be manageable with medication and she has been referred back to her surgeon.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lower back pain, as well as the tingling and numbness, persisted and worsened with time. She returned to the use of a cane in August of 2005. She takes medication for depression and uses anti-anxiety medication for panic attacks and when in a motor vehicle. She also suffers from insomnia. She has lost any desire to be intimate with her husband. On doctor's advice, she has not driven for two years because of her emotional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Her daughter now does most of the housework. Mrs. Djukic can assist with light duties on good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All her doctors have recommended an increase in activity. She attempted walking this past August, but believed it caused a setback and is awaiting the opinion of her back surgeon in light of this. She cannot assist her husband in his present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She described the various therapies she has undergone in the past, all to no avail. While a recommended therapist assisted her in counselling, this did not alleviate her emotional problems and she finds it extremely traumatizing to have to relive the accident and its effects. Massage therapy relieved some of the headaches. One physiotherapist manipulated her neck, sending her to hospital with severe pain and stiffness. She attended 24 sessions of an injury recovery program run by ICBC, as did Mr. Djukic.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Medical Evidence Regarding Mrs. Djukic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There is no issue that there was some pre-existing degeneration of her L4-5 disc, but she was asymptomatic at the time of the first accident. Two experts disagree as to the causal connection between the disc herniation and the accidents. While Dr. Travlos is of the opinion that the disc herniation is directly and causally linked to the second accident, Dr. Thompson says that the accident was perhaps a minor factor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Physical Medicine and Rehabilitation specialist Dr. Travlos examined Mrs. Djukic on September 25, 2001. He was then of the opinion that all her symptoms, including her low back and leg pain were due to mechanical issues with soft tissue referral, not any neurological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He re-assessed her on October 21, 2004, and changed his opinion, as Mrs. Djukic had not improved after his last assessment. In May of 2002, she developed much more severe and intense back pain radiating down her leg to her toes. There is consensus that this was the onset of disc herniation causing pressure on the nerve root. Surgery at the L4-5 level greatly assisted alleviation of these two symptoms, but did not eliminate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Travlos noted the following:</w:t>
      </w:r>
      <w:r>
        <w:rPr>
          <w:rFonts w:ascii="arial" w:eastAsia="arial" w:hAnsi="arial" w:cs="arial"/>
          <w:sz w:val="20"/>
          <w:lang w:val="en-US" w:eastAsia="en-US" w:bidi="ar-SA"/>
        </w:rPr>
        <w:cr/>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back and leg symptoms were present from the first accident and were aggravated by the second.</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complained of right sided leg pain and numbness that did not reach the foot, but were non-specific in their description.</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the second accident, the right leg symptoms increased, but remained fairly stable until May, 2002, when they became much more intense and severe.</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x-ray on September 17, 2001 revealed long standing degenerative changes at the L4-5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Based on this information and after review of other documentation, Dr. Travlos formed the opinion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Mrs. Djukic had an underlying predisposition to disc injury .... The first accident resulted probably in some further injury to the disc, but no herniation. The second accident definitely added to this and it is possible that at the time I saw her in 2001, there may have been either a small disc herniation or protrusion had she been scanned at that time .... It is my opinion that the second accident of June 26, 2001 was primarily responsible for the progression of the disc to herniate.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After acknowledging the possibility that she could have suffered a herniated disc in the absence of these accidents, he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given the fact that she was active prior to the accident and had not had any significant back pains in the two years leading up to the first accident, it is more likely than not that she would not have suddenly gone on to develop a disc herniation in the absence of an additional event. The two accidents, in combination, therefore, were a significant factor in the subsequent disc herniation in May of 2002, with the second accident playing a greater role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He testified that most degenerative discs do not go on to become herniated. He was of the opinion from the "continuum of symptoms" that the herniation process began after the first accident, with the second constituting the "straw that broke the camel's back". Consistent with that opinion, he points out that Mrs. Djukic complained shortly after the second accident of increased pain along with shooting pains and numbness extending down the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Other symptoms remained after surgery, including mechanical back pain with associated soft tissue pains as well as myofascial pains in the buttock. Her right knee and upper leg symptoms are due to bursitis, directly related to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She continues to suffer symptoms of depression and anxiety, which play a role in her pain management and are the likely source of her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While Mrs. Djukic had improved, she remained restricted. Treatment for the knees would improve symptoms and conditioning will improve control of the back pain to a manageable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With respect to the future, Dr. Travlos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increased conditioning, I think it is reasonable that Ms. Djukic should be able to return back to sedentary to light level work activities. She will remain restricted for heavier and intensive workloads for the foreseeable future. These accidents have therefore affected her value to herself as an employee and her ability to access all jobs that would otherwise have been available to her in the open job market. She is capable of pursuing additional education if she so chooses, and should be capable of assisting her husband with any new business venture he chooses to enter into, as long as her job is of a sedentary to light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Dr. Thompson, an orthopaedic and spinal surgeon, conducted an independent medical examination for the defendant. His opinion is that the injuries to the neck, right arm, back and right knee were consistent with soft tissue contusions and strains.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Contrary to the opinion of Dr. Travlos, Dr. Thompson is of the opinion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direct relationship of the disc herniation to the motor vehicle accident is unlikely. The first signs of a disc herniation developed in April 2002 approximately nine months after the motor vehicle accident. It would be difficult to implicate the motor vehicle accident as a primary and direct cause of Ms. Djukic's disc herniation.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He noted that she had suffered back pain radiating to her legs in 1995 and that there was no evidence of leg pain until July 2001, with inconsistent reports of such pain until April 2002. At that time, she experienced symptoms consistent with disc herniation. He found that she suffered degenerative changes relating to both that condition and to the earlier problems with her spine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He concludes that the accident was one of a number of factors causing the herniation, with other factors probably being more important. He noted that in a majority of cases, disc herniation is an age and activity related phenomena not necessarily related to an incident of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He added his opinion that: "A significant component of Ms. Djukic's complaints is probably due to a non-organic component". He noted some inconsistency of her reporting of events and recollection. Her reporting of pain was inconsistent. He noted that Dr. Lemke, her family physician at the time, recorded that "secondary gain was mentioned". He noted that she suffered from stress and anxiety after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cross-examination, he agreed that it is not unusual for a patient to continue suffering low back pain and numbness while healing after disc-herniation surgery, as Mrs. Djukic reports. He agreed Mrs. Djukic did not exaggerate her pain. He agreed that his note of Dr. Lemke's concerns regarding "secondary gain" fails to accurately report it as merely an initial observation that Dr. Lemke quickly discounted.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He agreed that his report was in error in referring to an injury to her low back in 1998, when it was in fact her mid-back. The last report of low back pain prior to the accident was in 1995, and that was described as much improved by February of 1996, some four years and four months prior to the first accident. While he agreed that there were consistent reports of low back and leg pain, none affected the area impacted by the disc herniation that followed, though he agreed that many reports of pain radiating down the leg did not provide a sufficiently detailed description of the area affected to determine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For the accident to constitute an important factor in the herniation, he would have expected pain along the nerve area immediately or very shortly after it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 Regarding Cause of Herniation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accept the opinion of Dr. Travlos in preference to that of Dr. Thompson, for two reasons. Firstly, it appeals to common sense, though I acknowledge that is an inherently dangerous assessment for any non-expert. Mrs. Djukic was a healthy and robust person, both physically and emotionally, up to the time of the first accident. While there was moderate improvement in the year following that accident, all the symptoms were significantly exacerbated in the second. She then exhibited pain consistent with damage to that level of the spine which continued and worsened until diagnosis of herniation in April/May of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Secondly, counsel for Mrs. Djukic led me through a considerable number of omissions and mischaracterizations in the report of Dr. Thompson. For example, while her family practitioner noted an April 9, 1998, injury to her mid-back, that was reported by Dr. Thompson as being to her low back. More significantly, on July 18, 2001, Mrs. Djukic's family physician Dr. Parhar found (amongst other symptoms, including back pain), "right leg pain radicular, numbness". This was reported by Dr. Thompson as "a complaint of right lower numbness". He acknowledged this error. The error is notable because radiating pain and numbness in the right leg is a significant factor in diagnosing the presence of herniation. This indicates the possible presence of symptoms much earlier than he believed.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accept the opinion evidence of Dr. Travlos that the disc herniation was directly and causally linked to both accidents, with the second accident playing the greater role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Mrs. Djukic's Symptoms After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Mrs. Djukic's symptoms gradually worsened until the herniation was diagnosed in the spring of 2002. Thereafter, until surgery, she suffered extreme and debilitating pain, leaving her mostly immobilized and dependent on others. In his report of May 10, 2002, Dr. Parhar noted that she continued to work due to financial pressures, but that this had exacerbated her symptoms to the point that he advised her to quit her activities and consider selling the business. After noting that her deteriorating condition kept her bedridden, he expressed concern that herniation was being overlooked.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Parhar examined Mrs. Djukic on August 9, 2005. In his report of September 8, 2005, after noting her ongoing complaint of back pain radiating down into her right leg,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prognosis for Ljiljana making a full recovery has only worsened since the last medical legal report of May 10, 2002. Over the last three years she has continued with a variety of treatment options, including discectomy, with minimal success. Her symptoms have been persistent for almost five years. The severity and consistency of her ongoing neck pain, back pain and right leg pain has forced her to sell her business. I would concur with Dr. C. Stewart-Patterson that the patient has a permanent partial disability and is only capable of working jobs that would accommodate her in lifting, overhead work, crouching and stooping. I would recommend the recruitment of a vocational rehabilitation consultant to assist with the exploration of future employment options.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juncture Ljiljana has passed the acute stage of her injuries and is more into the chronic stage. It is very likely that she will require future passive modalities of treatments such as massage therapy, physiotherapy to help alleviate acute exacerbations. These exacerbations will be dependent upon the intensity of the activity in which she is engaged. She is advised to continue with more active modalities of treatments such as exercises and stretches. She may also require counselling for her mood and anxiety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For her emotional problems, psychiatrist Dr. Lu treated Mrs. Djukic with a "complex and aggressive regimen" of medication. He found her to be at high risk of becoming permanently disabled due to her psychiatric problems and noted that she is "at least partially disabled based on her psychiatric symptoms alone." In his report of August 14, 2005, he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Mrs. Djukic's depression and PTSD (post traumatic stress disorder) symptoms are taking a turn for the worst in the recent months. She has experienced deterioration and likely will have worsening symptoms. (brackets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view of her pain and psychological symptoms, he recommended a multidisciplinary course of treatment, together with increasing activity and cognitive behavioral therapy.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Mrs. Djukic is at high risk of developing permanent disability based on a combination of PTSD, major depression and chronic pain. However, she has not received adequate treatment at this point. She needs to have more aggressive pharmacological therapy. She needs aggressive treatment for her neuropathic pain .... If there is no substantial improvement in Mrs. Djukic's overall condition in the next six to twelve months, she is at high risk of long-term disability from her psychiatric conditions. Research and clinical experience demonstrates that persistent residual depressive and PTSD symptoms leads to long-term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Adverse Inference Regarding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defendants ask that the court draw an adverse inference from the failure of the plaintiffs to call Drs. Lee, Kokan and 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After considering McTavish v. MacGillivray </w:t>
      </w:r>
      <w:hyperlink r:id="rId728" w:history="1">
        <w:r>
          <w:rPr>
            <w:rFonts w:ascii="arial" w:eastAsia="arial" w:hAnsi="arial" w:cs="arial"/>
            <w:i/>
            <w:color w:val="0077CC"/>
            <w:sz w:val="20"/>
            <w:u w:val="single"/>
            <w:shd w:val="clear" w:color="auto" w:fill="FFFFFF"/>
            <w:lang w:val="en-US" w:eastAsia="en-US" w:bidi="ar-SA"/>
          </w:rPr>
          <w:t>(1997), 38 B.C.L.R. (3d) 306</w:t>
        </w:r>
      </w:hyperlink>
      <w:r>
        <w:rPr>
          <w:rFonts w:ascii="arial" w:eastAsia="arial" w:hAnsi="arial" w:cs="arial"/>
          <w:color w:val="000000"/>
          <w:sz w:val="20"/>
          <w:lang w:val="en-US" w:eastAsia="en-US" w:bidi="ar-SA"/>
        </w:rPr>
        <w:t xml:space="preserve"> (S.C.) and Gyorffy v. Johal, </w:t>
      </w:r>
      <w:hyperlink r:id="rId729" w:history="1">
        <w:r>
          <w:rPr>
            <w:rFonts w:ascii="arial" w:eastAsia="arial" w:hAnsi="arial" w:cs="arial"/>
            <w:i/>
            <w:color w:val="0077CC"/>
            <w:sz w:val="20"/>
            <w:u w:val="single"/>
            <w:shd w:val="clear" w:color="auto" w:fill="FFFFFF"/>
            <w:lang w:val="en-US" w:eastAsia="en-US" w:bidi="ar-SA"/>
          </w:rPr>
          <w:t>[1991] B.C.J. No. 763</w:t>
        </w:r>
      </w:hyperlink>
      <w:r>
        <w:rPr>
          <w:rFonts w:ascii="arial" w:eastAsia="arial" w:hAnsi="arial" w:cs="arial"/>
          <w:color w:val="000000"/>
          <w:sz w:val="20"/>
          <w:lang w:val="en-US" w:eastAsia="en-US" w:bidi="ar-SA"/>
        </w:rPr>
        <w:t>, [1991] B.C.W.L.D. No. 1097 (B.C.S.C.), I decline to do so, for the following reasons: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Both parties have produced volumes of medical evidence from a number of doctors;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complete clinical records of these doctors were disclosed to the defence;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same records were expressly considered and subsumed in the opinions of doctors whose reports are before me;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had disclosure of these records, it was open to the defence to interview and call these doctors as witnesses without risk of being blindsided;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were not doctors whom Mrs. Djukic consulted on a regular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Assessment of Non-Pecuniary Damages for Mrs. Djukic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find there was no failure on the part of Mrs. Djukic to mitigate her damages. She devoted considerable time and effort to her attempted recovery, though not to a standard of perfection. A reasonable person in her position, with the constellation of symptoms of severe pain, anxiety and depression flowing from the accidents, could not have been expected to have done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She suffered injuries to her neck, back, shoulders, wrist and knee which continue in varying degrees. She has suffered severe pain, some of which was alleviated with discectomy surgery in December of 2002. She suffers severe and chronic anxiety and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accidents have had a dramatic impact on her quality of life. This robust, energetic, goal driven and hard-working person has lost most of the quality of life she previously enjoyed. The proposed aggressive treatment of her depression may bring some relief. However, she will nevertheless be left with a permanent partial disability, both physically and emotionally.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After consideration of the authorities cited to me, I assess non-pecuniary damages at $125,000.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Djukic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45 year-old Mr. Djukic described his considerable training and experience as a chef, including the preparation of specialty meats and smoked meats. Generally, he corroborated the evidence of his wife regarding the nature of their business and the reason for its decline being directly related to the injuries suffered by his wife, and partly those suffered by him. He described an excellent marriage with his wife and a solid family relationship between them and their two children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His wife had considerable managerial and planning skills. Together, they made a successful and hardworking team in the deli business. His product and his wife's burek dish were very popular in the Serbian community. The business grew as they hoped and they planned to open additional delis.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He described the first accident in June of 2000. Another vehicle drove in front of his and resulted in a front-end collision with some $7,000 in damage. His wife began crying and screaming. He suffered injuries to his neck and left shoulder. Shortly afterwards, he experienced low back pain. His blood pressure increased and he developed severe headaches two to three weeks after the accident. He suffered regular nosebleeds until the blood pressure was brought under control with medication. The headaches dissipated but returned when his wife was involved in the second accident in June of 2001. There has been great stress in his life flowing from the accidents and the headaches have become extreme in the last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His neck pain improved gradually as did the shoulder, neck and back pain, although these were aggravated by physical labour. He describes his biggest problems today as high blood pressure, depression and headaches. The depression began with the stress and problems following the second accident. He presently has no physical limitations on his work. He is no longer intimate with Mrs. Djukic.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He developed a problem with alcohol some six months after the first accident, but successfully brought that problem under control with the medication Antibuse shortly thereafter. This remains so at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injuries resulting from the first accident required the plaintiff to close the deli. They re-opened in September of 2000, but with reduced hours and for one less day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He described the failure of the Richmond deli as being the result of his wife's inability to carry out her usual duties. While he moved the Burnaby deli to a better location, his inability to assume managerial responsibilities and the necessity of hiring people to attempt to undertake some of his wife's duties resulted in a much less profitable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They sold the business in 2004 for $159,000. With the $120,000 remaining after bills were paid, they moved to Kelowna and purchased a home on a large lot for $256,000. They became friends with a Mr. Opitz, someone who became their benefactor. He assisted Mr Djukic to a significant degree in constructing a shop on their property for the preparation of specialty and smoked meats for wholesale distribution. That assistance came in the form of considerable personal loans and in acting as general contractor in the construction. Mr. Djukic is hopeful for success, but he has a large debt and has just begun production.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Djukic,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Family physician Dr. Lemke reported on April 25, 2001, that Mr. Djukic suffered soft tissue injuries to his neck, left shoulder and low back. The stress flowing from having to close his business exacerbated a pre-existing problem with hypertension. He took part in ICBC's injury recovery programme and was highly motivated throughout his recovery. He worked through ongoing neck and back pain after reopening his business in September of 2000. Dr. Lemke concludes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Djukic has made a near complete recovery from the injuries sustained in his motor vehicle accident of June 15, 2000. He suffered significant injuries to his neck, left shoulder and his low back which were soft tissue in origin. He has followed the recommended treatment program throughout and has remained highly motivated. It is my opinion that he will be left with minimal residual symptomatology. However, the strenuous nature of his work may result in occasional exacerbations. On the other hand, Mr. Djukic's work has also, in some ways, contributed to a form of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His subsequent family physician, Dr. Parhar, reported on May 18, 2004, that things had not gone as well as hoped since 2001. Mr. Djukic continued to report neck pain, back pain and headaches, as well as sleep, anxiety and nightmares. Dr. Parhar offered a poor prognosis for full recovery, with intermittent exacerbations of these symptoms dependent on the intensity of the activity in which Mr. Djukic is engaged. Dr. Parhar advises exercise, conditioning, stretching, ice, rest, medications, physiotherapy and massage therapy when this occurs.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Orthopaedic surgeon Dr. Yu conducted an independent medical examination dated February 6, 2001, eight months after the accident. He found that the soft tissue injuries had almost completely resolved by then, with some residual discomfort in the left collarbone and left chest wall. He expected those to resolve within a few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Parhar treated Mr. Djukic from August 1, 2001. In his report of May 18, 2004, after 24 visits with Mr. Djukic, he noted continuing complaints of back pain, neck pain, headaches, pain in the shoulders and depressed mood with anxiety. He found decreased range of motion in both shoulders and in both the cervical and lumbar spine. He adds: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that approximately four years have elapsed since the motor vehicle accident and with the patient continuing to have problems with neck pain and back pain, one cannot be optimistic about prognosis. ... One would expect intermittent exacerbations to become less intense and less frequent. Exactly when the patient will become completely symptom free is difficult to estimate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He advised exercise, conditioning, stretches, ice, time off work, medication, physiotherapy and massage to assist with exacerbations in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Assessment of Non-Pecuniary Damages for Mr. Djukic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Djukic suffered soft tissue injuries resulting in a decreased range of motion and pain to his neck, back and shoulder. That was accompanied by depression and anxiety that still continues to a degree. Accepting the unchallenged evidence of Dr. Parhar as I do, I find that despite his strong motivation to recover, those symptoms continue, but not to a degree that impacts his present ability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After consideration of the many authorities cited, I fix his non-pecuniary damages at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Past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and Mrs. Djukic, as part of their plan, borrowed the money to commence the deli business. With each contributing their own unique skills, they worked long and hard hours to develop a successful business. Their business was particularly popular in the former Serbian community. They planned to open other similar businesses, serviced by one central kitchen.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business grew and averaged a gross of $20,000 per month in the six months before the first accident with just the two plaintiffs operating it. As the result of injuries suffered in the first accident, they had to close the business until September, when ICBC provided $5,000 to assist them in re-opening. When they reopened the deli, Mrs. Djukic worked reduced hours. Mr. Djukic worked through his pain. While her symptoms improved with time, they had not resolved by the time of her second accident on June 21, 2001. This aggravated her existing symptoms significantly.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They hired an employee as Mrs. Djukic could do very little. They reduced the business's hours of operation. With much assistance from friends, they opened a second deli in Richmond, partly because expansion had been part of their plan and partly out of fear that they would lose their lease on the original deli in Burnaby. The Richmond business did not do well and was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After the sale of the Richmond store, the Burnaby store was run mostly by Mr. Djukic with the help of a newly-hired employee. Mrs. Djukic did some non-physical work for short periods of time. While gross income increased, Mr. Djukic was not able to cope with the managerial duties which had been performed Mrs. Djukic. The resulting inefficiencies, the need to hire more employees, and the great stress and anxiety Mr. and Mrs. Djukic underwent, led them to sell the business in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With the sale proceeds of $159,000, they purchased a home on some property in Kelowna. With the considerable financial and physical assistance of Mr. Opitz, Mr. Djukic has recently opened a wholesale smoked meat and sausage business in a newly constructed shop on their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plaintiffs and defendants take a very different approach to assessing loss of income flowing from the accidents. The former point to the average gross revenue of the business for the first six months of 2000 until the first accident and assume that would have continued but for the accident. As most expenses such as lease costs would continue, they deduct only 51% for the cost of food to arrive at the net loss. This would lead to a figure of $47,478.00 from the time of the first accident to the end of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defendants point instead to the income tax returns of the plaintiffs. They each reported a net profit of $15,186.32 for the year 1999 and a loss of $886.15 for the year 2000. The profit was $5500 in 2001; $9400 in 2002; and $47,324 in 2004. The business was sold in the fall of 2004. The defendant also points out that Mr. Djukic is not a plaintiff in the action regarding the second accident, which is the primary cause of any loss occurring thereafter. Finally, they point out that the accountant's expert report regarding business losses was not introduced and invite the court to draw an adverse inference: that it would not have supported the claim being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 Regarding Loss of Past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plaintiffs were equal partners in this non-incorporated deli business. I will assess the loss under this heading resulting from the accidents and apportion it equally between them: Everett v. King </w:t>
      </w:r>
      <w:hyperlink r:id="rId730" w:history="1">
        <w:r>
          <w:rPr>
            <w:rFonts w:ascii="arial" w:eastAsia="arial" w:hAnsi="arial" w:cs="arial"/>
            <w:i/>
            <w:color w:val="0077CC"/>
            <w:sz w:val="20"/>
            <w:u w:val="single"/>
            <w:shd w:val="clear" w:color="auto" w:fill="FFFFFF"/>
            <w:lang w:val="en-US" w:eastAsia="en-US" w:bidi="ar-SA"/>
          </w:rPr>
          <w:t>(1981), 34 B.C.L.R. 27</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Consideration must also be given to the lost capacity to earn income in the past: Rowe v. Bobell Express Ltd. (2003), A.C.W.S. (3d) 671, </w:t>
      </w:r>
      <w:hyperlink r:id="rId731" w:history="1">
        <w:r>
          <w:rPr>
            <w:rFonts w:ascii="arial" w:eastAsia="arial" w:hAnsi="arial" w:cs="arial"/>
            <w:i/>
            <w:color w:val="0077CC"/>
            <w:sz w:val="20"/>
            <w:u w:val="single"/>
            <w:shd w:val="clear" w:color="auto" w:fill="FFFFFF"/>
            <w:lang w:val="en-US" w:eastAsia="en-US" w:bidi="ar-SA"/>
          </w:rPr>
          <w:t>[2003] B.C.J. No. 705</w:t>
        </w:r>
      </w:hyperlink>
      <w:r>
        <w:rPr>
          <w:rFonts w:ascii="arial" w:eastAsia="arial" w:hAnsi="arial" w:cs="arial"/>
          <w:color w:val="000000"/>
          <w:sz w:val="20"/>
          <w:lang w:val="en-US" w:eastAsia="en-US" w:bidi="ar-SA"/>
        </w:rPr>
        <w:t xml:space="preserve">, </w:t>
      </w:r>
      <w:hyperlink r:id="rId731" w:history="1">
        <w:r>
          <w:rPr>
            <w:rFonts w:ascii="arial" w:eastAsia="arial" w:hAnsi="arial" w:cs="arial"/>
            <w:i/>
            <w:color w:val="0077CC"/>
            <w:sz w:val="20"/>
            <w:u w:val="single"/>
            <w:shd w:val="clear" w:color="auto" w:fill="FFFFFF"/>
            <w:lang w:val="en-US" w:eastAsia="en-US" w:bidi="ar-SA"/>
          </w:rPr>
          <w:t>2003 BCSC 472</w:t>
        </w:r>
      </w:hyperlink>
      <w:r>
        <w:rPr>
          <w:rFonts w:ascii="arial" w:eastAsia="arial" w:hAnsi="arial" w:cs="arial"/>
          <w:color w:val="000000"/>
          <w:sz w:val="20"/>
          <w:lang w:val="en-US" w:eastAsia="en-US" w:bidi="ar-SA"/>
        </w:rPr>
        <w:t xml:space="preserve">; aff'd </w:t>
      </w:r>
      <w:hyperlink r:id="rId732" w:history="1">
        <w:r>
          <w:rPr>
            <w:rFonts w:ascii="arial" w:eastAsia="arial" w:hAnsi="arial" w:cs="arial"/>
            <w:i/>
            <w:color w:val="0077CC"/>
            <w:sz w:val="20"/>
            <w:u w:val="single"/>
            <w:shd w:val="clear" w:color="auto" w:fill="FFFFFF"/>
            <w:lang w:val="en-US" w:eastAsia="en-US" w:bidi="ar-SA"/>
          </w:rPr>
          <w:t>(2005), 39 B.C.L.R. (4th) 185</w:t>
        </w:r>
      </w:hyperlink>
      <w:r>
        <w:rPr>
          <w:rFonts w:ascii="arial" w:eastAsia="arial" w:hAnsi="arial" w:cs="arial"/>
          <w:color w:val="000000"/>
          <w:sz w:val="20"/>
          <w:lang w:val="en-US" w:eastAsia="en-US" w:bidi="ar-SA"/>
        </w:rPr>
        <w:t xml:space="preserve">, </w:t>
      </w:r>
      <w:hyperlink r:id="rId732"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By the time of the first accident, the plaintiffs had established a solid and successful deli business, with plans to expand in future. As earlier stated, the business was grossing an average of $21,000 per month in the six months before the accident. That provides a useful benchmark regarding the subsequent loss of past earning capacity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This was neither an intricate nor a complex business. It was a small and stable business. Insight into the plaintiff's actual loss can be gained by an examination of their income and expenses. No expert evidence is required in this regard. There was the obvious loss resulting from the necessary closure of the business from June 15 to September 25, 2000. There was also the subsequent loss that occurred when they attempted to resurrect the business while working at a diminished capacity as a result of the accident.</w:t>
      </w:r>
      <w:r>
        <w:rPr>
          <w:rFonts w:ascii="arial" w:eastAsia="arial" w:hAnsi="arial" w:cs="arial"/>
          <w:sz w:val="20"/>
          <w:lang w:val="en-US" w:eastAsia="en-US" w:bidi="ar-SA"/>
        </w:rPr>
        <w:cr/>
      </w:r>
    </w:p>
    <w:p>
      <w:pPr>
        <w:numPr>
          <w:numId w:val="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June 15 to December 31,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Assuming there would have been no further growth in the business, there was a loss of gross revenue in the amount of nearly $97,000. The most significant expense was the cost of food, which I accept would have been 51% under the watchful eye of Mrs. Djukic. Other costs continued largely as they would have even if the accident had not occurred. I assess the loss for this period at $45,000 from the time of the accident to the end of 2000.</w:t>
      </w:r>
      <w:r>
        <w:rPr>
          <w:rFonts w:ascii="arial" w:eastAsia="arial" w:hAnsi="arial" w:cs="arial"/>
          <w:sz w:val="20"/>
          <w:lang w:val="en-US" w:eastAsia="en-US" w:bidi="ar-SA"/>
        </w:rPr>
        <w:cr/>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2001, including the Richmond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Again assuming no growth, I assess the gross loss of revenue resulting from injuries caused by the accident at $76,000 for the Burnaby store, with a net loss of $35,000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It is far more difficult to assess the loss for the Richmond Store during this period. It opened in February of 2001 when Mrs. Djukic believed she would fully recover from the June 2000 accident. It closed in December of 2005, some six months after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store was opened in part out of fear of losing the month-to-month tenancy of their existing business, and in part as a result of their plans for expansion. After the second accident, Mrs. Djukic was able to contribute very little to the successful operation of the business. Costs spiralled upwards as the result of hiring additional employees and as a result of Mr. Djukic's inability to properly manage the business as his wife had done. However, this was a new business in an area with few residents of a Serbian ethnic background. The negative contingencies were thus 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assess the net loss under this heading at $10,000 for the Richmond store, totalling $45,000 in 2001 for both stores.</w:t>
      </w:r>
      <w:r>
        <w:rPr>
          <w:rFonts w:ascii="arial" w:eastAsia="arial" w:hAnsi="arial" w:cs="arial"/>
          <w:sz w:val="20"/>
          <w:lang w:val="en-US" w:eastAsia="en-US" w:bidi="ar-SA"/>
        </w:rPr>
        <w:cr/>
      </w:r>
    </w:p>
    <w:p>
      <w:pPr>
        <w:numPr>
          <w:numId w:val="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This year saw a substantial increase in gross revenue of some 72% over the year 2001. Nonetheless costs were much higher due to the necessity of hiring two replacement workers at a total cost of $46,731 for Mrs. Djukic and as a result of the inefficiencies flowing from Mr. Djukic's inability to properly manage the business. Food costs jumped from 51% to 61% because of those same inefficiences, an extra $36,655. I assess this loss at $40,000.</w:t>
      </w:r>
      <w:r>
        <w:rPr>
          <w:rFonts w:ascii="arial" w:eastAsia="arial" w:hAnsi="arial" w:cs="arial"/>
          <w:sz w:val="20"/>
          <w:lang w:val="en-US" w:eastAsia="en-US" w:bidi="ar-SA"/>
        </w:rPr>
        <w:cr/>
      </w:r>
    </w:p>
    <w:p>
      <w:pPr>
        <w:numPr>
          <w:numId w:val="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Wage costs rose to $65,279 and inefficiencies resulted in food costs rising by $25,531 as a result of Mrs. Djukic's absence and Mr. Djukic's increasing inability to cope on his own. I assess this loss at $50,000.</w:t>
      </w:r>
      <w:r>
        <w:rPr>
          <w:rFonts w:ascii="arial" w:eastAsia="arial" w:hAnsi="arial" w:cs="arial"/>
          <w:sz w:val="20"/>
          <w:lang w:val="en-US" w:eastAsia="en-US" w:bidi="ar-SA"/>
        </w:rPr>
        <w:cr/>
      </w:r>
    </w:p>
    <w:p>
      <w:pPr>
        <w:numPr>
          <w:numId w:val="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business was sold six months into this year. Wage costs continued to increase, as did inefficiencies resulting from the absence of Mrs. Djukic. I assess the loss at $25,000.</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loss would have continued at approximately the same rate. I fix the loss for this period at $60,000.</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of Loss of Past Income Earning Capacity to September 2004</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2000: $45,000</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2001: $45,000</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2002: $40,000</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2003: $50,000</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2004 (six months) to time of sale of business: $25,000</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2004 (six months) to November 28, 2005 (date of trial):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Thus the total loss to the date of trial is $265,000 to be apportioned equally between the two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Sale of Business and Past Lost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sale of the deli in September of 2004 for $159,000 left the plaintiffs a net amount of $120,000. There can be no credit to the defendants in respect of this amount. Had the accident not occurred, the capitalized cost of the business would have been substantially higher with a much improved profit margin over the years. In addition, a portion of that sale price can be attributed to asset value, which was not affected by the accidents and to which the plaintiffs would be entitled to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Future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This assessment requires the application of the considerations outlined in Brown v. Golaiy, </w:t>
      </w:r>
      <w:hyperlink r:id="rId494"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a decision of Finch J. (as he then was). As stated earlier, based on the evidence of Drs. Parhar, Travlos, Lu and Steward-Patterson, Mrs. Djukic has a permanent partial disability that affects her both physically and emotionally due to the accidents. With treatment, she may be able to return to sedentary or light duties, such as assisting with the paperwork associated with Mr. Dujkic's business. Her worth to employers and access to future employment is thus severely restricted.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plaintiffs rely on the report of Mr. Robert Carson in calculating the present day value of future income loss (and cost of future care) for Mrs. Djukic; the defendants on the report of Mr. Hildebrand. Mr. Carson offers a multiplier of $19,292 for every $1,000 to age 65; Mr. Hildebrand $10,000. The crux of their disagreement is that Mr. Hildebrand levied a substantial negative contingency regarding the future labour market for the average female in this province with a high school diploma.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In addition to considering general contingencies that affect everyone in Mrs. Djukic's position, I must consider specific contingencies that apply only to her: Reilly v. Lynn </w:t>
      </w:r>
      <w:hyperlink r:id="rId733" w:history="1">
        <w:r>
          <w:rPr>
            <w:rFonts w:ascii="arial" w:eastAsia="arial" w:hAnsi="arial" w:cs="arial"/>
            <w:i/>
            <w:color w:val="0077CC"/>
            <w:sz w:val="20"/>
            <w:u w:val="single"/>
            <w:shd w:val="clear" w:color="auto" w:fill="FFFFFF"/>
            <w:lang w:val="en-US" w:eastAsia="en-US" w:bidi="ar-SA"/>
          </w:rPr>
          <w:t>(2003), 10 B.C.L.R. (4th) 16</w:t>
        </w:r>
      </w:hyperlink>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In making this assessment, while mathematical calculations are to be considered in arriving at a best estimate, "a purely mathematical approach will usually not be appropriate because such an analysis is too limited in scope." Hay v. Hofmann </w:t>
      </w:r>
      <w:hyperlink r:id="rId734" w:history="1">
        <w:r>
          <w:rPr>
            <w:rFonts w:ascii="arial" w:eastAsia="arial" w:hAnsi="arial" w:cs="arial"/>
            <w:i/>
            <w:color w:val="0077CC"/>
            <w:sz w:val="20"/>
            <w:u w:val="single"/>
            <w:shd w:val="clear" w:color="auto" w:fill="FFFFFF"/>
            <w:lang w:val="en-US" w:eastAsia="en-US" w:bidi="ar-SA"/>
          </w:rPr>
          <w:t>(1999), 61 B.C.L.R. (3d) 275</w:t>
        </w:r>
      </w:hyperlink>
      <w:r>
        <w:rPr>
          <w:rFonts w:ascii="arial" w:eastAsia="arial" w:hAnsi="arial" w:cs="arial"/>
          <w:color w:val="000000"/>
          <w:sz w:val="20"/>
          <w:lang w:val="en-US" w:eastAsia="en-US" w:bidi="ar-SA"/>
        </w:rPr>
        <w:t xml:space="preserve">, </w:t>
      </w:r>
      <w:hyperlink r:id="rId734" w:history="1">
        <w:r>
          <w:rPr>
            <w:rFonts w:ascii="arial" w:eastAsia="arial" w:hAnsi="arial" w:cs="arial"/>
            <w:i/>
            <w:color w:val="0077CC"/>
            <w:sz w:val="20"/>
            <w:u w:val="single"/>
            <w:shd w:val="clear" w:color="auto" w:fill="FFFFFF"/>
            <w:lang w:val="en-US" w:eastAsia="en-US" w:bidi="ar-SA"/>
          </w:rPr>
          <w:t>1999 BCCA 26</w:t>
        </w:r>
      </w:hyperlink>
      <w:r>
        <w:rPr>
          <w:rFonts w:ascii="arial" w:eastAsia="arial" w:hAnsi="arial" w:cs="arial"/>
          <w:color w:val="000000"/>
          <w:sz w:val="20"/>
          <w:lang w:val="en-US" w:eastAsia="en-US" w:bidi="ar-SA"/>
        </w:rPr>
        <w:t>, at [paragraph] 67. All appropriate contingencies must be considered, including the potential for improvement in health, opportunities for advancement and the "usual chances and hazards of life." Hay v. Hofmann, supra at [paragraph] 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As was held in O'Brien v. Anderson </w:t>
      </w:r>
      <w:hyperlink r:id="rId735" w:history="1">
        <w:r>
          <w:rPr>
            <w:rFonts w:ascii="arial" w:eastAsia="arial" w:hAnsi="arial" w:cs="arial"/>
            <w:i/>
            <w:color w:val="0077CC"/>
            <w:sz w:val="20"/>
            <w:u w:val="single"/>
            <w:shd w:val="clear" w:color="auto" w:fill="FFFFFF"/>
            <w:lang w:val="en-US" w:eastAsia="en-US" w:bidi="ar-SA"/>
          </w:rPr>
          <w:t>(2000), 142 B.C.A.C. 45</w:t>
        </w:r>
      </w:hyperlink>
      <w:r>
        <w:rPr>
          <w:rFonts w:ascii="arial" w:eastAsia="arial" w:hAnsi="arial" w:cs="arial"/>
          <w:color w:val="000000"/>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2000 BCCA 460</w:t>
        </w:r>
      </w:hyperlink>
      <w:r>
        <w:rPr>
          <w:rFonts w:ascii="arial" w:eastAsia="arial" w:hAnsi="arial" w:cs="arial"/>
          <w:color w:val="000000"/>
          <w:sz w:val="20"/>
          <w:lang w:val="en-US" w:eastAsia="en-US" w:bidi="ar-SA"/>
        </w:rPr>
        <w:t>, at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assessment under this head is frequently, as here, a matter involving some conjecture. Where conjecture is involved I think it is important to look at the individual, albeit being guided by the experts' evidence as to the statistical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Looking at this individual plaintiff, it is not appropriate to apply the statistical contingency for an average woman with a high school diploma in the labour force in this province. Mrs. Djukic was and would have remained a small business entrepreneur with her husband. They had demonstrated an ability to make their business a success. It appeared to be on a solid financial foundation by the time of the accidents. There is the positive contingency that their business would have continued to grow.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There are, however, a number of negative contingencies that should nevertheless be factored in, including possible economic downturns and the possibility that her pre-accident degenerative changes would have caused her to withdraw from more active participation in the business. There is also the contingency that Mrs. Djukic will earn an income after further treatment by carrying out light managerial-type duties in Mr. Djukic's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Her earning potential was approximately $40,000 per annum. Using Mr. Carson's multiplier as a guide to age 65 and deducting the contingencies set out above, I award Mrs. Djukic $500,000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Mr. Djukic and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As earlier outlined, the only medical opinion regarding Mr. Djukic's present status is that he continues to suffer from pain and a decreased range of motion. This has not affected his ability to operate his new business. He has lost a capital asset to some degree, particularly if he has to seek employment should the present business fail. I assess his loss under this heading at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 of Future Care for Mrs. Djukic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recommendations contained in the report of Mr. Ray Opitz of Okanagan Rehabilitation in Ex. 1, tabs 11 and 12, together with the assessment of Occupational Health Physician Dr. C. Stewart-Patterson were largely unchallenged and I accept their opinions. There is an initial cost of $48,745 and, after deducting item 8 (as invited to do by the plaintiff), there remain ongoing annual costs of $6,316. Adding the former with the approximate present day value of the latter, I award $175,000 under this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 of Future Care for Mr. Djukic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Djukic retained few receipts. He estimated a monthly cost of $100 for medications for depression, pain and blood pressure. I award him $2,400 under this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Loss of House 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 inability of Mrs. Djukic to perform general household maintenance and heavy cleaning tasks formed part of the recommendations for future care by Okanagan Rehabilitation (Ex. 1, tab 12) already accepted by the court. Thus compensation has been granted for that loss. The balance of lighter regular housekeeping tasks has been factored into the award for non-pecuniary damages: McTavish v. MacGillivray </w:t>
      </w:r>
      <w:hyperlink r:id="rId630" w:history="1">
        <w:r>
          <w:rPr>
            <w:rFonts w:ascii="arial" w:eastAsia="arial" w:hAnsi="arial" w:cs="arial"/>
            <w:i/>
            <w:color w:val="0077CC"/>
            <w:sz w:val="20"/>
            <w:u w:val="single"/>
            <w:shd w:val="clear" w:color="auto" w:fill="FFFFFF"/>
            <w:lang w:val="en-US" w:eastAsia="en-US" w:bidi="ar-SA"/>
          </w:rPr>
          <w:t>(2000) 74 B.C.L.R. (3d) 281</w:t>
        </w:r>
      </w:hyperlink>
      <w:r>
        <w:rPr>
          <w:rFonts w:ascii="arial" w:eastAsia="arial" w:hAnsi="arial" w:cs="arial"/>
          <w:color w:val="000000"/>
          <w:sz w:val="20"/>
          <w:lang w:val="en-US" w:eastAsia="en-US" w:bidi="ar-SA"/>
        </w:rPr>
        <w:t xml:space="preserve">, </w:t>
      </w:r>
      <w:hyperlink r:id="rId630"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xml:space="preserve">, and Digiacomo v. Murphy, </w:t>
      </w:r>
      <w:hyperlink r:id="rId736" w:history="1">
        <w:r>
          <w:rPr>
            <w:rFonts w:ascii="arial" w:eastAsia="arial" w:hAnsi="arial" w:cs="arial"/>
            <w:i/>
            <w:color w:val="0077CC"/>
            <w:sz w:val="20"/>
            <w:u w:val="single"/>
            <w:shd w:val="clear" w:color="auto" w:fill="FFFFFF"/>
            <w:lang w:val="en-US" w:eastAsia="en-US" w:bidi="ar-SA"/>
          </w:rPr>
          <w:t>[1995] B.C.J. No. 1886</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Trust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No issue is taken that there should be such an award in favour of the daughter of the plaintiffs for unpaid services rendered to their business in the summer of 2001. Applying the minimum wage of $8 per hour for 40 hours per week over eight weeks, I award $2,600 in respect of those services. I will award an additional $1,000 for weekends and afternoons worked by the son and daughter, to be divided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This claim is restricted to medications. I accept the plaintiff's submission that this cost for both plaintiffs is $12,200, after reduction by 25% for free samples provided by their family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Income Tax Gross-Up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At the request of counsel for the plaintiffs, the parties have to leave to apply if they are unable to agree on this issue after assessing the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Apportionment Between Two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For the damages to Mrs. Djukic, I apportion 25% of her overall loss to the first accident and 75% to the second.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Summary of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60"/>
        <w:gridCol w:w="3241"/>
        <w:gridCol w:w="2718"/>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Mrs. Djukic:</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$125,000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137"/>
        <w:gridCol w:w="2823"/>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Mr.Djukic:</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$ 40,000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Past Income-Earning Capacity: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659"/>
        <w:gridCol w:w="2301"/>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and Mrs Djukic:</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$265,000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60"/>
        <w:gridCol w:w="3241"/>
        <w:gridCol w:w="2718"/>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Mrs. Djukic:</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137"/>
        <w:gridCol w:w="2823"/>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Djukic:</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$ 40,000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60"/>
        <w:gridCol w:w="3241"/>
        <w:gridCol w:w="2718"/>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Mrs. Djukic:</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$175,000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137"/>
        <w:gridCol w:w="1882"/>
        <w:gridCol w:w="941"/>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Mr. Djukic:</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In-Trust Claims: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4496"/>
        <w:gridCol w:w="523"/>
        <w:gridCol w:w="941"/>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services of Djukic daughter:</w:t>
            </w:r>
          </w:p>
        </w:tc>
        <w:tc>
          <w:tcPr>
            <w:tcW w:w="51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60"/>
        <w:gridCol w:w="4705"/>
        <w:gridCol w:w="313"/>
        <w:gridCol w:w="941"/>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services of Djukic children:</w:t>
            </w:r>
          </w:p>
        </w:tc>
        <w:tc>
          <w:tcPr>
            <w:tcW w:w="30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137"/>
        <w:gridCol w:w="2823"/>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Medications:</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$ 12,200</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033"/>
        <w:gridCol w:w="3660"/>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58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$1,163,200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plaintiffs will have their costs, with leave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JOSEPHSON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8"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7"/>
          <w:headerReference w:type="default" r:id="rId738"/>
          <w:footerReference w:type="even" r:id="rId739"/>
          <w:footerReference w:type="default" r:id="rId740"/>
          <w:headerReference w:type="first" r:id="rId741"/>
          <w:footerReference w:type="first" r:id="rId74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743" w:history="1">
        <w:r>
          <w:rPr>
            <w:rFonts w:ascii="arial" w:eastAsia="arial" w:hAnsi="arial" w:cs="arial"/>
            <w:b/>
            <w:bCs/>
            <w:i/>
            <w:color w:val="0077CC"/>
            <w:kern w:val="32"/>
            <w:sz w:val="28"/>
            <w:szCs w:val="32"/>
            <w:u w:val="single"/>
            <w:shd w:val="clear" w:color="auto" w:fill="FFFFFF"/>
            <w:lang w:val="en-US" w:eastAsia="en-US" w:bidi="ar-SA"/>
          </w:rPr>
          <w:t>Edwards v. Khuong, [2001] B.C.J. No. 534</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Brooke J.</w:t>
      </w:r>
    </w:p>
    <w:p>
      <w:pPr>
        <w:spacing w:before="120" w:line="260" w:lineRule="atLeast"/>
        <w:jc w:val="center"/>
        <w:rPr>
          <w:lang w:val="en-US" w:eastAsia="en-US" w:bidi="ar-SA"/>
        </w:rPr>
      </w:pPr>
      <w:r>
        <w:rPr>
          <w:rFonts w:ascii="arial" w:eastAsia="arial" w:hAnsi="arial" w:cs="arial"/>
          <w:color w:val="000000"/>
          <w:sz w:val="20"/>
          <w:lang w:val="en-US" w:eastAsia="en-US" w:bidi="ar-SA"/>
        </w:rPr>
        <w:t>Heard: November 21 - 24 and December 8, 2000.</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March 12, 2001.</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C993806</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[2001] B.C.J. No. 534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2001 BCSC 380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105 A.C.W.S. (3d) 561</w:t>
      </w:r>
    </w:p>
    <w:p>
      <w:pPr>
        <w:spacing w:before="120" w:line="260" w:lineRule="atLeast"/>
        <w:rPr>
          <w:lang w:val="en-US" w:eastAsia="en-US" w:bidi="ar-SA"/>
        </w:rPr>
      </w:pPr>
      <w:r>
        <w:rPr>
          <w:rFonts w:ascii="arial" w:eastAsia="arial" w:hAnsi="arial" w:cs="arial"/>
          <w:color w:val="000000"/>
          <w:sz w:val="20"/>
          <w:lang w:val="en-US" w:eastAsia="en-US" w:bidi="ar-SA"/>
        </w:rPr>
        <w:t>Between Jillian Edwards, plaintiff, and Can Ngoc Khuong, Hung Nguyen, George Ladd and Theresa Ladd, defendants, and Can Ngoc Khuong and Hung Nguyen, third parties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(13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19" style="position:absolute;z-index:251701248"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60" w:name="Keywords_40"/>
      <w:bookmarkEnd w:id="260"/>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Evidence — Burden of proof — Cycling injuries — Damage awards — Injury and death — Body injuries — Shoulder (including rotator cuff).</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261" w:name="Case Summary_37"/>
            <w:bookmarkEnd w:id="261"/>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Edwards against Khuong and Nguyen for damages for injuries suffered by Edwards when she was thrown from her bicycle. Edwards was riding her bicycle along a street when she was caught by a rope tied across the road. Khuong and Nguyen were removing a tree from a lot and loading it into a truck at the side of the road. Edwards testified that she noticed Nguyen tying a rope around a stop sign at the corner of the road. She did not notice the second rope stretched across the road until it was too late to stop and she was thrown from her bicycle. Edwards sustained injuries to her shoulder and soft tissue injuries to her right side and ankle. She continued to have shoulder pain at the time of the trial. Prior to the accident, Edwards was very active. She was unable to continue many of the activities she previously enjoyed and lost 53 days of work after the accident. </w:t>
            </w:r>
            <w:r>
              <w:rPr>
                <w:lang w:val="en-US" w:eastAsia="en-US" w:bidi="ar-SA"/>
              </w:rPr>
              <w:cr/>
            </w:r>
          </w:p>
          <w:p>
            <w:pPr>
              <w:spacing w:before="120" w:line="260" w:lineRule="atLeast"/>
              <w:ind w:left="240"/>
              <w:jc w:val="both"/>
              <w:rPr>
                <w:lang w:val="en-US" w:eastAsia="en-US" w:bidi="ar-SA"/>
              </w:rPr>
            </w:pPr>
            <w:bookmarkStart w:id="262" w:name="Holdings of Court_27"/>
            <w:bookmarkEnd w:id="262"/>
            <w:r>
              <w:rPr>
                <w:rFonts w:ascii="arial" w:eastAsia="arial" w:hAnsi="arial" w:cs="arial"/>
                <w:color w:val="000000"/>
                <w:sz w:val="20"/>
                <w:lang w:val="en-US" w:eastAsia="en-US" w:bidi="ar-SA"/>
              </w:rPr>
              <w:t>HELD: Action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Edwards was entitled to $30,000 in general damages, as well as $12,000 for past wage loss. Edwards proved that on the balance of probabilities it was either Khuong or Nguyen who tied the rope across the road in connection with the work they were doing. There was no evidence of anyone else in the vicinity who could have placed the ropes across the road. Edwards was not contributorily negligent for the accident. </w:t>
            </w:r>
            <w:r>
              <w:rPr>
                <w:lang w:val="en-US" w:eastAsia="en-US" w:bidi="ar-SA"/>
              </w:rPr>
              <w:cr/>
            </w:r>
          </w:p>
          <w:p>
            <w:pPr>
              <w:rPr>
                <w:lang w:val="en-US" w:eastAsia="en-US" w:bidi="ar-SA"/>
              </w:rPr>
            </w:pPr>
          </w:p>
        </w:tc>
      </w:tr>
    </w:tbl>
    <w:p>
      <w:pPr>
        <w:jc w:val="both"/>
        <w:rPr>
          <w:lang w:val="en-US" w:eastAsia="en-US" w:bidi="ar-SA"/>
        </w:rPr>
      </w:pPr>
      <w:bookmarkStart w:id="263" w:name="Counsel_41"/>
      <w:bookmarkEnd w:id="263"/>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20" style="position:absolute;z-index:251752448"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David E. Anderson, for the plaintiff. Can Ngoc Khuong and Hung Nguyen appeared on their own behalf. No one appeared on behalf of the defendants, George Ladd and Theresa Ladd.</w:t>
      </w:r>
      <w:r>
        <w:rPr>
          <w:lang w:val="en-US" w:eastAsia="en-US" w:bidi="ar-SA"/>
        </w:rPr>
        <w:cr/>
      </w:r>
    </w:p>
    <w:p>
      <w:pPr>
        <w:spacing w:after="240"/>
        <w:rPr>
          <w:lang w:val="en-US" w:eastAsia="en-US" w:bidi="ar-SA"/>
        </w:rPr>
      </w:pPr>
      <w:bookmarkStart w:id="264" w:name="Judgment_41"/>
      <w:bookmarkEnd w:id="264"/>
      <w:r>
        <w:pict>
          <v:line id="_x0000_s1221" style="position:absolute;z-index:251803648"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65" w:name="BROOKE J."/>
            <w:bookmarkEnd w:id="265"/>
            <w:r>
              <w:rPr>
                <w:rFonts w:ascii="arial" w:eastAsia="arial" w:hAnsi="arial" w:cs="arial"/>
                <w:b/>
                <w:color w:val="000000"/>
                <w:sz w:val="30"/>
                <w:lang w:val="en-US" w:eastAsia="en-US" w:bidi="ar-SA"/>
              </w:rPr>
              <w:t>BROOKE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Just before noon on a clear and dry Saturday morning in March, Jillian Edwards was riding her bike on West 37th Avenue in Vancouver. She was riding to begin part-time work at a drycleaner. As she approached the intersection of MacDonald Street which butts into West 37th, she noticed Mr. Khuong and Ms. Nguyen. Mr. Khuong was loading a cut up tree into a truck parked on MacDonald from a house and lot on the corner of West 37th and MacDonald. Ms. Nguyen was described by the plaintiff as furling a rope near the stop sign on the corner. Ms. Edwards did not see another rope tied across West 37th until she was approximately 10 feet from it. Although she applied her brakes, she was too close to stop. The rope was four or five feet from the ground and caught Ms. Edwards at about the level of her shoulder and pulled her backward from her bike.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Khuong came to her assistance immediately as did Ms. Nguyen and a neighbour, Mr. Lo, who lived in a house across West 37th Avenue from the lot and house where the work was being done on the tree. Mr. Lo saw Ms. Edwards approach at what he described as a speed of between 5 and 10 kilometres an hour. He saw her looking over her shoulder to the left and in the direction where Mr. Khuong and Ms. Nguyen were working. He saw her pulled from her bike and he too came to her assistance. He noticed the rope across the road and he believed that at the time he arrived to assist Ms. Edwards, the end of the rope on his side of the street was not tied and the rope was lying on the ground. Neither he nor any other witness called saw who tied the rope across West 37th Avenue.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Khuong and Ms. Nguyen represented themselves at trial although a lawyer prepared and filed their Statement of Defence and assisted them until the day before the examinations for discovery on January 26, 2000. The Statement of Defence consists of a general denial of liability and damages. Both Mr. Khuong and Ms. Nguyen gave evidence through an interpreter. Each of them denied placing the rope across MacDonald. Mr. Khuong said that he and Ms. Nguyen were hired by the homeowner to remove the cut up segments of a tree from the house on the corner of West 37th and MacDonald that had blown down in a storm and been cut up by another contractor. They had been working at the site for several days.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principal issue is whether the defendants or either of them tied the rope across the road. The rope itself was described as a dirty yellow nylon rope. The evidence was that there were no children or other persons seen in the area before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find on the balance of probabilities that either Mr. Khuong or Ms. Nguyen in pursuance of the work that they had undertaken tied the rope across West 37th. I rely upon the evidence given by the plaintiff that her attention was attracted to Ms. Nguyen furling or unfurling a second rope at the stop sign at the corner of MacDonald and West 37th in the immediate area of the work. I rely as well on the evidence of Mr. Harrington who saw the second rope tied to the stop sign at the corner of MacDonald and West 37th. He also was certain that Ms. Nguyen collected the rope from the tree and that either she or Mr. Khuong collected the rope from the stop sign. He described the ropes as appearing to be of the same colour. While the reason for the rope being tied to the stop sign or the rope being tied across West 37th is difficult to fathom, I am driven to the conclusion that these ropes were placed where they were by Mr. Khuong and Ms. Nguyen in pursuance of their common purpose. There is no other explanation upon the evidence nor is there any other explanation which has any air of reality. Had the evidence been that there were children playing in the immediate area or specifically children playing with a rope or ropes in the immediate area then I might not have found that Ms. Edwards had made out her case on the balance of probabilities. There was however no such evidence. I mention however that the defendants not only deny tying the rope across West 37th but also having any involvement with the ropes at all. Evidence was led that as a result of information received from Mr. Lo and Mr. Harrington that Constable Wise, who attended at the scene shortly after the accident, requested Mr. Khuong and Ms. Nguyen to produce the rope. Mr. Khuong said that he understood Constable Wise to ask him to produce all of his ropes and that he did so. He denied that any of the ropes had been tied across West 37th. However, he also denied seeing the rope that had been tied across West 37th and said that his primary concern was the condition of Ms. Edwards. I accept that while Mr. Khuong and, perhaps to a lesser degree, Ms. Nguyen have some ability to communicate in English, that it is very modest and I have no doubt that the communication between Mr. Khuong and Ms. Nguyen with others at the scene is unreliable. However, on all of the evidence I am satisfied on the balance of probabilities that the rope tied across West 37th Avenue was put there by either Mr. Khuong or Ms. Nguyen in connection with the work that they were engaged to do in the removal of the tree.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Prior to the conclusion of the plaintiff's case, I invited Mr. Khuong and Ms. Nguyen to apply to amend the Statement of Defence by pleading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 result of the plaintiff's evidence that her attention was distracted from the road in front of her by the activities of Mr. Khuong and Ms. Nguyen and that resulted in her failure to see the rope in sufficient time to stop her bicycle. Counsel for the plaintiff quite properly took no position and the amendment was granted. In order for me to find that the plaintiff was in whole or in part at fault and responsible for the accident which occurred, I must find that she departed from the ordinary standard of care expected and required by the operator of a bicycle on a residential street in the circumstances in which Ms. Edwards found herself. I find that Ms. Edwards took reasonable care for her own safety as she operated her bicycle at the time in question. She was wearing a helmet, her bicycle was described as having excellent brakes and being in an excellent state of maintenance and repair. The rope across the road was described as dirty yellow. It had no flags or other devices which would reasonably have attracted her attention and alerted her to its existence. While it is regrettable that Ms. Edwards' attention was distracted and that she did not see the rope in time to stop, I cannot find legal fault in that failure. The users of a highway do not expect ropes or other barriers to impede their course without some warning being given.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result, I find Mr. Khuong and Ms. Nguyen wholly responsible for the accident and for the injuries sustained by Ms. Edwards.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sustained injuries to her right shoulder region and soft tissue injuries to her right side and ankle. (While her helmet was broken, she sustained no head injury.) With respect to the shoulder injury, Ms. Edwards filed the report of Dr. Hawkins, an orthopaedic specialist. He found a shoulder separation and complication and displacement of her right shoulder. The plaintiff also filed the medical report of her family doctor who found the plaintiff had sustained a rupture of her right coracoclavicular ligament and, in consultation with Dr. Hawkins, adopted a conservative approach to treatment. The soft tissue injuries essentially resolved within one year but the shoulder continues to trouble Ms. Edwards and includes a modest deformity readily apparent when her shoulder is exposed.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accordance with her doctor's recommendations, Ms. Edwards pursued a course of massage therapy and physiotherapy.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Prior to the accident, the plaintiff was very active and enjoyed tennis, soccer, rollerblading, mountain biking, swimming, and snowboarding. Her ability to pursue these activities has been limited, particularly with respect to mountain biking and snowboarding where her fear of a fresh injury has caused her to discontinue these activities.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Edwards is a teacher and was working on weekends at a drycleaner in order to earn extra money to finance her wedding. She is now married and has resumed teaching. Following the accident, Ms. Edwards lost 53 days of work. She was also unable to return to her work at the drycleaners. Her past wage loss as a teacher amounts to $10,677.50. While she was able to use her "sick time" and received partial indemnity under a short term disability plan provided by her employer, her employer has a full right of subrogation with respect to any monies the plaintiff might recover as 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With respect to non-pecuniary damages for pain and suffering, loss of enjoyment of life, and loss of amenities, I award the plaintiff $30,000.00. With respect to past wage loss, I award the plaintiff $12,734.50 made up of $2,057.00 in respect of the work with the drycleaners and $10,677.50 with respect to her teaching. I also award pre-judgment interest on her wage loss in the amount of $834.77. Ms. Edwards also claimed special damages in the amount of $984.08 and these too are allowed.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Costs will follow the event.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BROOKE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8538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44"/>
          <w:headerReference w:type="default" r:id="rId745"/>
          <w:footerReference w:type="even" r:id="rId746"/>
          <w:footerReference w:type="default" r:id="rId747"/>
          <w:headerReference w:type="first" r:id="rId748"/>
          <w:footerReference w:type="first" r:id="rId7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50" w:history="1">
        <w:r>
          <w:rPr>
            <w:rFonts w:ascii="arial" w:eastAsia="arial" w:hAnsi="arial" w:cs="arial"/>
            <w:b/>
            <w:bCs/>
            <w:i/>
            <w:color w:val="0077CC"/>
            <w:kern w:val="32"/>
            <w:sz w:val="28"/>
            <w:szCs w:val="32"/>
            <w:u w:val="single"/>
            <w:shd w:val="clear" w:color="auto" w:fill="FFFFFF"/>
            <w:lang w:val="en-US" w:eastAsia="en-US" w:bidi="ar-SA"/>
          </w:rPr>
          <w:t>Gale v. Knapp, [2006] B.C.J. No. 2012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Bennett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28 - 29,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March 30,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Released: September 6,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M051977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2012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1225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152 A.C.W.S. (3d) 631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Ronald Gale, Plaintiff, and Kevin D. Knapp and Lenlie International Holdings (Canada)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3"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6" w:name="Keywords_41"/>
      <w:bookmarkEnd w:id="266"/>
      <w:r>
        <w:rPr>
          <w:rFonts w:ascii="arial" w:eastAsia="arial" w:hAnsi="arial" w:cs="arial"/>
          <w:b/>
          <w:color w:val="000000"/>
          <w:sz w:val="20"/>
          <w:lang w:val="en-US" w:eastAsia="en-US" w:bidi="ar-SA"/>
        </w:rPr>
        <w:t>Civil procedure — Costs — Offers to settle — Assessment or fixing of costs — Considerations — Application by successful plaintiff for costs — Plaintiff was entitled to costs even though his Supreme Court action resulted in an award within the jurisdiction of the Small Claims Court — He was also entitled to increased costs because he did better than his offer to settle.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General damages — For personal injuries — Non-pecuniary damages, including pain and suffering — Considerations — Extent of incapacity — Action by plaintiff for damages for injuries sustained in motor vehicle accident allowed — Athletic plaintiff suffered whiplash injuries that were mostly resolved within six months — He was awarded non-pecuniary damages of $20,000.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Special damages — Loss of income — Action by plaintiff for damages for injuries sustained in motor vehicle accident allowed — Athletic plaintiff suffered whiplash injuries that were mostly resolved within six months — He was awarded $5,000 for lost overtime.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injuries — Body injuries — Neck — Whiplash — Back — Action by plaintiff for damages for injuries sustained in motor vehicle accident allowed — Athletic plaintiff suffered whiplash injuries that were mostly resolved within six months — He was awarded non-pecuniary damages of $20,000 and $5,000 for lost overtime.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Causation — Causal connection — Action by plaintiff for damages for injuries sustained in motor vehicle accident allowed — Plaintiff's neck and back whiplash injuries were caused by the accident as he was in excellent physical health before it occurred.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7" w:name="Case Summary_38"/>
            <w:bookmarkEnd w:id="26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Gale against the defendant Knapp for damage for injuries sustained in a motor vehicle accident -- Accident occurred on May 5, 2003 -- Gale attempted to merge into highway traffic and stopped because traffic was heavy -- Knapp drove behind Gale -- He saw a break in the traffic, accelerated to merge and collided into the rear of Gale's car -- Gale was thrown forward and back -- Several hours later he felt discomfort and went to see his doctor on May 9 -- Doctor diagnosed a neck and upper back whiplash injuries -- Gale was an extremely healthy and athletic individual -- He worked for the police until he retired in November 2004 -- HELD: Action allowed -- Gale was awarded damages of $25,000 -- Gale was sleep deprived for six months and gave up his heavy workouts at the gym -- He also did not accompany his wife to the gym in the evenings as much as he did before the accident -- His back and shoulder discomfort were resolved within six months -- He did not have full range of motion in his neck without discomfort for one year and three months post-accident -- Gale's injuries were caused by the accident as he was in excellent physical health before it occurred -- He did not fail to mitigate his loss -- Appropriate award for non-pecuniary damages was $20,000 -- He was also awarded $5,000 for lost overtime -- Gale was awarded costs and not merely disbursements -- Although the action was started in Supreme Court and Gale's award was within the jurisdiction of the Small Claims Court, which could potentially only entitle him to disbursements, it was reasonable for him to commence the action in Supreme Court because he had an argument for a higher amount of damages -- Gale was awarded costs of $7,200 plus disbursements -- This included double costs for the offer to settle he made less than two weeks prior to trial because he did better than that offer.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8" w:name="Legislation Cited_26"/>
      <w:bookmarkEnd w:id="26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4"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19.1, Rule 66, Rule 66(29), Rule 66(29.1)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9" w:name="Counsel_42"/>
      <w:bookmarkEnd w:id="26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5" style="position:absolute;z-index:251804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D.W. Kolb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D.S. Orsetti &amp; N. Starcevic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0" w:name="Judgment_42"/>
      <w:bookmarkEnd w:id="270"/>
      <w:r>
        <w:pict>
          <v:line id="_x0000_s1226" style="position:absolute;z-index:25185484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August 31, 2006. The corrections have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1" w:name="BENNETT J. (orally)"/>
            <w:bookmarkEnd w:id="271"/>
            <w:r>
              <w:rPr>
                <w:rFonts w:ascii="arial" w:eastAsia="arial" w:hAnsi="arial" w:cs="arial"/>
                <w:b/>
                <w:color w:val="000000"/>
                <w:sz w:val="30"/>
                <w:lang w:val="en-US" w:eastAsia="en-US" w:bidi="ar-SA"/>
              </w:rPr>
              <w:t>BENNETT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Ronald Gale, was involved in a motor-vehicle accident on May 5th, 2003, at the intersection of Scott Road and Highway Number 10 in Delta, British Columbia. He was merging onto Highway 10 southbound, when he came to a complete stop as the traffic was heavy.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vehicle behind him, driven by the defendant, Mr. Knapp, also stopped. Mr. Knapp was looking left towards the traffic, saw a break, and accelerated to merge, colliding into the rear of Mr. Gale's car. Mr. Gale had his head turned to the left to watch the traffic. Mr. Gale thought he was thrown forward and then back. He had his headrest in a correct position, and was wearing his seatbelt. He felt what he thought was a significant collision. When he viewed the minimal damage to his vehicle, he was surprised at how little damage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Knapp testified that he bumped into Mr. Gale's car, but agreed that by doing so, he moved the plaintiff's car forward one to two feet. Mr. Knapp was driving an older model pick-up truck. Mr. Gale was driving a 1997 Sunfire. The truck had previous damage to the front bumper. When the Knapp vehicle was accelerated, it moved forward approximately five feet before hitting Mr. Gale's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Gale did not feel any physical problem immediately. However, that night, he began to feel discomfort, and had difficulty sleeping. He went to see his family doctor on May 9th, 2003. Dr. Wong was advised by Mr. Gale of the particulars of the motor-vehicle accident, in much the same terms as Mr. Gale described in court. When Mr. Gale attended at Dr. Wong's office, he complained of neck and upper back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Dr. Wong diagnosed a flexion/extension, neck and upper back injury, or in other words a whiplash injury. He said this at page 3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assessed Mr. Gale on May 9th, 2003, in my office, where he complained of neck and upper back discomfort. His description of the accident suggested a flexion/extension, neck and upper back injury that was minimized by his use of three-point seatbelt restraints. He noted that he could not do his usual workouts, because his neck and back didn't "feel right". His neck and back movements were limited and guarded, especially at the extreme ranges. He normally had good range of movements in all spheres, but now felt that his lateral neck rotation and turning were guarded because of pain, and restricted because of stiffness.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Examination did not reveal any bruising, swelling, or crepitus. He was tender in the lower cervical spines. He had a good range of movement, but was marginally limited in the extreme ranges.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felt that his lateral range of movement was adequate, but he felt that he had normally better range prior to his accident. There did not appear to be any significant neurological deficits associated with his neck and upper back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add, of course, that any comments made by Mr. Gale to his doctor are not tendered for the truth of the content but solely for the foundation of the expert opinion, and need to be proved in court by evidence called in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Dr. Wong opined that Mr. Gale suffered neck and upper back soft-tissue strain, directly as a result of the motor-vehicle accident. Mr. Gale is an extremely healthy and athletic individual. There was nothing in Dr. Wong's report or evidence which suggested any other cause of the neck and upper back injury. Dr. Wong recommended gentle mobilization, stretching, heat, and mild analgesics. He was aware that Mr. Gale used massage, physiotherapy, and chiropractic treatment; and he indicated that these treatments may be beneficial.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Gale saw Dr. Wong again on July 15th, 2003. His neck continued to be symptomatic with a reduced range of motion and stiffness. His upper back and neck muscles were tensed, and he estimated that his range of mobility was 80 to 90 percent of normal. Dr. Wong continued to recommended exercise, stretching, heat, and mobilization. Mr. Gale followed Dr. Wong's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No mention of significant neck or back symptoms were reported to Dr. Wong during Mr. Gale's December 2003 check-up. Mr. Gale testified that Dr. Wong told him that he would recover quickly, and he believed that he would.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Gale has been involved in fitness for most of his life. He is now retired from the Vancouver Police Department. However, he had been employed as a fitness instructor for police recruits in the earlier stages of his career, and in the early 1980s was a long distance runner, and a triathlete, and had completed the Hawaiian Iron Man. Recently, he attended to the gym regularly during his work day and lifted heavy weights.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He now runs a business selling a nutritional drink. He is very health conscious and relies more on alternative therapies than traditional medicine. He is also someone who does not attend the doctor for any minor discomfort. He has learned to deal with minor pain from running injuries and how to treat himself, as most athletes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Gale was a patient of Dr. Sheard for over 25 years. Dr. Sheard has been a chiropractor for over 40 years, and specializes in treating elite athletes. Mr. Gale first saw Dr. Sheard after the accident on May 27th, 2003 for something unrelated to the injury. He attended for lower back discomfort, as a result of gardening. However, he did report the car accident to Dr. Sheard. Dr. Sheard indicated that if he could be of help, that Mr. Gale was to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September 19th, 2003, Mr. Gale returned to Dr. Sheard. He was becoming concerned because Dr. Wong had told him the injury would quickly resolve and it had not. Dr. Sheard examined Mr. Gale and found restriction and impairment of rotation at the C-5 and C-3 area of the spine, which is the neck. Dr. Sheard thought that this was a facet joint problem. He testified that, unlike sprain injuries, facet injuries sometimes do not show up for three months to up to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Gale continued to have discomfort. His sleep problems diminished after about six months. However, he still did not have full motion in his neck when he rotated it to the left. He reduced his physical activity considerably. He reduced his weightlifting and used his time in the gym to stretch or exercise his abdominals.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However, the injury did not resolve, and he returned to Dr. Sheard on May 5th, 2004, one year after the accident. At that point, he had lower back pain unrelated to the accident. Dr. Sheard also examined his neck. He felt spasm in Mr. Gale's neck and he supplied treatment. Mr. Gale continued to see Dr. Sheard for four more treatments, between June 24th to August 19th.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By August 19th, 2004, Dr. Sheard reported that Mr. Gale had no joint instability, and the cervical range was normal in all directions. Mr. Gale recalled that, by the fall of 2004, he was a hundred percent back to normal. He agreed with the August date as testified to by Dr. Sheard.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summary, Mr. Gale suffered sleep discomfort and resulting deprivation for about six months. This did not appear to be debilitating, but it was certainly not how he normally slept and did cause him concern. He reduced his physical activity significantly, in that he reduced his weightlifting during his working hours. This was distressing to Mr. Gale, as a man who defined himself by his level of fitness. He said it felt as if part of who he was, was taken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Mrs. Gale testified that Mr. Gale did not go out with her in the evening to the gym or swimming pool as much as he did before the accident. Mr. Gale was uncomfortable, and in what he referred to as "gentle pain". Clearly, he is someone who tolerates pain without much complaint. However, one must not lose sight of the fact that this is not a serious debilitating injury. Mr. Gale did not take any time off work. He was working as a detective in the property division of the police department. He worked four days per week, ten hours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Gale has, over the years, earned extra income by taking what are referred to as "call-outs" in the police department. Whenever an event occurs, such as a football or hockey game or fireworks display, extra police are deployed, including off-duty officers. In the years 2001 and 2002, Mr. Gale earned approximately $8,600 extra from these call-outs each year. In 2003, the year of the accident, he earned $5,418; and in 2004, he earned $4,226. Mr. Gale retired in November 2004, so the 2004 income is based on an eleven-month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Gale testified that he was more careful about what call-out assignments he took, as one could get injured during these events. He said he took a reduced number of call-outs over the two years. In his examination for discovery, Mr. Gale said he did not take call-outs for the first three to four months after the accident. He said that he thought that was true at the time. However, after he looked at his pay stub, he thought he had earned about $15,000 a year from the call-outs.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Gale misinterpreted his pay stub. He totalled all of the overtime, including that which was not affected by the accident. Mr. Gale reconstructed his evidence based on the subsequent information he had. I am not saying he's lying to me. He is not lying, but he had convinced himself at that point that he had actually earned more than he did. When the differences between each year were pointed out to him in cross examination, $3,000 for 2003, and $4,000 for 2004, he readily agreed that those figures were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first issue is causation. The defendant submits that the plaintiff has not proven that the accident caused his neck, back and shoulder pain. He submits that no expert was called to give evidence regarding impact and velocity, and says this was a low-impact velocity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 submits that the evidence of the I.C.B.C. estimator indicates that there was minimal damage to the vehicle. Mr. Knapp was only about five feet away when he accelerated his car into the back of Mr. Gale's car. Mr. Gale could not recall where he had been coming from when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Further, the defendant points to the evidence of Dr. Sheard, who said that these types of injuries sometimes do not show up for months or years; and, submits the defendant, it is impossible to pin down the event that caused the injury. The defendant submits that all of this adds up to insufficient proof that the accident caused Mr. Gale's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Gale's evidence, his wife's evidence, his doctor's evidence, and his supervisor's evidence, was that Mr. Gale was in excellent health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Gale testified that the discomfort started some hours after the accident happened. He attributes the injury to his accident, as does his doctor, based on what Mr. Gale told him. There is nothing else that happened that could account for the injury and I am satisfied that the accident caused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now turn to the extent of damages to be awarded for non-pecuniary loss. The plaintiff was sleep deprived for six months and gave up his heavy workouts at the gym. He also did not accompany his wife to the gym in the evenings as much as he had before the accident. His back and shoulder discomfort resolved within about six months. He did not have full range of motion in his neck without discomfort for approximately one year and three months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 submitted that Mr. Gale was in fact recovered within a few months; and if he was not, then he should have been and failed to mitigate his loss. The defendant points to the fact that once Mr. Gale started to receive regular treatment from Dr. Sheard, the range of motion in his neck returned. However, Mr. Gale received advice from his doctor that he would recover from his injury quickly. He saw Dr. Sheard in September 2003, but at that time Dr. Sheard did not recommend further treatment. Once it was apparent that the injury was not going to heal, Mr. Gale returned to Dr. Sheard, and received treatment. I am satisfied that Mr. Gale did not fail to mitigate 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 have been given a number of cases for the range of awards for non-pecuniary damages in this type of case. In </w:t>
      </w:r>
      <w:r>
        <w:rPr>
          <w:rFonts w:ascii="arial" w:eastAsia="arial" w:hAnsi="arial" w:cs="arial"/>
          <w:b/>
          <w:i/>
          <w:color w:val="000000"/>
          <w:sz w:val="20"/>
          <w:lang w:val="en-US" w:eastAsia="en-US" w:bidi="ar-SA"/>
        </w:rPr>
        <w:t>Nicholson v. Armstrong</w:t>
      </w:r>
      <w:r>
        <w:rPr>
          <w:rFonts w:ascii="arial" w:eastAsia="arial" w:hAnsi="arial" w:cs="arial"/>
          <w:color w:val="000000"/>
          <w:sz w:val="20"/>
          <w:lang w:val="en-US" w:eastAsia="en-US" w:bidi="ar-SA"/>
        </w:rPr>
        <w:t xml:space="preserve"> </w:t>
      </w:r>
      <w:hyperlink r:id="rId751" w:history="1">
        <w:r>
          <w:rPr>
            <w:rFonts w:ascii="arial" w:eastAsia="arial" w:hAnsi="arial" w:cs="arial"/>
            <w:i/>
            <w:color w:val="0077CC"/>
            <w:sz w:val="20"/>
            <w:u w:val="single"/>
            <w:shd w:val="clear" w:color="auto" w:fill="FFFFFF"/>
            <w:lang w:val="en-US" w:eastAsia="en-US" w:bidi="ar-SA"/>
          </w:rPr>
          <w:t>[2003] B.C.J. No. 3065</w:t>
        </w:r>
      </w:hyperlink>
      <w:r>
        <w:rPr>
          <w:rFonts w:ascii="arial" w:eastAsia="arial" w:hAnsi="arial" w:cs="arial"/>
          <w:color w:val="000000"/>
          <w:sz w:val="20"/>
          <w:lang w:val="en-US" w:eastAsia="en-US" w:bidi="ar-SA"/>
        </w:rPr>
        <w:t xml:space="preserve">, </w:t>
      </w:r>
      <w:hyperlink r:id="rId751" w:history="1">
        <w:r>
          <w:rPr>
            <w:rFonts w:ascii="arial" w:eastAsia="arial" w:hAnsi="arial" w:cs="arial"/>
            <w:i/>
            <w:color w:val="0077CC"/>
            <w:sz w:val="20"/>
            <w:u w:val="single"/>
            <w:shd w:val="clear" w:color="auto" w:fill="FFFFFF"/>
            <w:lang w:val="en-US" w:eastAsia="en-US" w:bidi="ar-SA"/>
          </w:rPr>
          <w:t>2003 BCSC 1988</w:t>
        </w:r>
      </w:hyperlink>
      <w:r>
        <w:rPr>
          <w:rFonts w:ascii="arial" w:eastAsia="arial" w:hAnsi="arial" w:cs="arial"/>
          <w:color w:val="000000"/>
          <w:sz w:val="20"/>
          <w:lang w:val="en-US" w:eastAsia="en-US" w:bidi="ar-SA"/>
        </w:rPr>
        <w:t>, the plaintiff was awarded $6,500 for similar injuries. However, there was a finding of a failure to mitigate and the time for recovery was reduced to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Middleton and Malic v. Farquharson et al</w:t>
      </w:r>
      <w:r>
        <w:rPr>
          <w:rFonts w:ascii="arial" w:eastAsia="arial" w:hAnsi="arial" w:cs="arial"/>
          <w:color w:val="000000"/>
          <w:sz w:val="20"/>
          <w:lang w:val="en-US" w:eastAsia="en-US" w:bidi="ar-SA"/>
        </w:rPr>
        <w:t xml:space="preserve"> </w:t>
      </w:r>
      <w:hyperlink r:id="rId752" w:history="1">
        <w:r>
          <w:rPr>
            <w:rFonts w:ascii="arial" w:eastAsia="arial" w:hAnsi="arial" w:cs="arial"/>
            <w:i/>
            <w:color w:val="0077CC"/>
            <w:sz w:val="20"/>
            <w:u w:val="single"/>
            <w:shd w:val="clear" w:color="auto" w:fill="FFFFFF"/>
            <w:lang w:val="en-US" w:eastAsia="en-US" w:bidi="ar-SA"/>
          </w:rPr>
          <w:t>[2004] B.C.J. No. 38</w:t>
        </w:r>
      </w:hyperlink>
      <w:r>
        <w:rPr>
          <w:rFonts w:ascii="arial" w:eastAsia="arial" w:hAnsi="arial" w:cs="arial"/>
          <w:color w:val="000000"/>
          <w:sz w:val="20"/>
          <w:lang w:val="en-US" w:eastAsia="en-US" w:bidi="ar-SA"/>
        </w:rPr>
        <w:t xml:space="preserve">, </w:t>
      </w:r>
      <w:hyperlink r:id="rId752" w:history="1">
        <w:r>
          <w:rPr>
            <w:rFonts w:ascii="arial" w:eastAsia="arial" w:hAnsi="arial" w:cs="arial"/>
            <w:i/>
            <w:color w:val="0077CC"/>
            <w:sz w:val="20"/>
            <w:u w:val="single"/>
            <w:shd w:val="clear" w:color="auto" w:fill="FFFFFF"/>
            <w:lang w:val="en-US" w:eastAsia="en-US" w:bidi="ar-SA"/>
          </w:rPr>
          <w:t>2004 BCSC 32</w:t>
        </w:r>
      </w:hyperlink>
      <w:r>
        <w:rPr>
          <w:rFonts w:ascii="arial" w:eastAsia="arial" w:hAnsi="arial" w:cs="arial"/>
          <w:color w:val="000000"/>
          <w:sz w:val="20"/>
          <w:lang w:val="en-US" w:eastAsia="en-US" w:bidi="ar-SA"/>
        </w:rPr>
        <w:t>, there was a finding of mild neck strain which resolved within six months. The plaintiff was awarded $7,500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Rubino v. Lerfold et al</w:t>
      </w:r>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[2004] B.C.J. No. 386</w:t>
        </w:r>
      </w:hyperlink>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2004 BCSC 282</w:t>
        </w:r>
      </w:hyperlink>
      <w:r>
        <w:rPr>
          <w:rFonts w:ascii="arial" w:eastAsia="arial" w:hAnsi="arial" w:cs="arial"/>
          <w:color w:val="000000"/>
          <w:sz w:val="20"/>
          <w:lang w:val="en-US" w:eastAsia="en-US" w:bidi="ar-SA"/>
        </w:rPr>
        <w:t>, the plaintiff suffered pain and discomfort in his neck and sleep difficulties for about six months, and was sore for about a year. His activities were curtailed. However, he was not the elite athlete Mr. Gale was. For low and moderate injury, he was awarded $17,000.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Pardanyi v. Wilson</w:t>
      </w:r>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[2004] B.C.J. No. 2967</w:t>
        </w:r>
      </w:hyperlink>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2004 BCSC 1804</w:t>
        </w:r>
      </w:hyperlink>
      <w:r>
        <w:rPr>
          <w:rFonts w:ascii="arial" w:eastAsia="arial" w:hAnsi="arial" w:cs="arial"/>
          <w:color w:val="000000"/>
          <w:sz w:val="20"/>
          <w:lang w:val="en-US" w:eastAsia="en-US" w:bidi="ar-SA"/>
        </w:rPr>
        <w:t>, the plaintiff was also familiar with alternate medical treatment and was not one to rush to a doctor. He tried to treat his symptoms of stiff upper neck and shoulders with Reiki massage. He was off work for three months. He was unable to participate in recreational activities and was fully recovered one and a half years post-accident. The finding was a moderate whiplash and the award for non-pecuniary damages was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Craddock v. Wood</w:t>
      </w:r>
      <w:r>
        <w:rPr>
          <w:rFonts w:ascii="arial" w:eastAsia="arial" w:hAnsi="arial" w:cs="arial"/>
          <w:color w:val="000000"/>
          <w:sz w:val="20"/>
          <w:lang w:val="en-US" w:eastAsia="en-US" w:bidi="ar-SA"/>
        </w:rPr>
        <w:t xml:space="preserve">, </w:t>
      </w:r>
      <w:hyperlink r:id="rId755" w:history="1">
        <w:r>
          <w:rPr>
            <w:rFonts w:ascii="arial" w:eastAsia="arial" w:hAnsi="arial" w:cs="arial"/>
            <w:i/>
            <w:color w:val="0077CC"/>
            <w:sz w:val="20"/>
            <w:u w:val="single"/>
            <w:shd w:val="clear" w:color="auto" w:fill="FFFFFF"/>
            <w:lang w:val="en-US" w:eastAsia="en-US" w:bidi="ar-SA"/>
          </w:rPr>
          <w:t>[2002] B.C.J. No. 2493</w:t>
        </w:r>
      </w:hyperlink>
      <w:r>
        <w:rPr>
          <w:rFonts w:ascii="arial" w:eastAsia="arial" w:hAnsi="arial" w:cs="arial"/>
          <w:color w:val="000000"/>
          <w:sz w:val="20"/>
          <w:lang w:val="en-US" w:eastAsia="en-US" w:bidi="ar-SA"/>
        </w:rPr>
        <w:t>, the award for pain in the back, shoulder and neck, resolving within nine months with residual effects for one and a half years post-accident, was $22,000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Jamieson v. Flint</w:t>
      </w:r>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[1996] B.C.J. No. 1275</w:t>
        </w:r>
      </w:hyperlink>
      <w:r>
        <w:rPr>
          <w:rFonts w:ascii="arial" w:eastAsia="arial" w:hAnsi="arial" w:cs="arial"/>
          <w:color w:val="000000"/>
          <w:sz w:val="20"/>
          <w:lang w:val="en-US" w:eastAsia="en-US" w:bidi="ar-SA"/>
        </w:rPr>
        <w:t>, an award of $25,000 was granted, but apportioned at 50 percent on a liability issue. The plaintiff suffered sleep deprivation, soft-tissue injuries and headaches. Her personality changed as a result of the injury which lasted longer than expected. The judgment is brief, and it was not clear how long the symptoms lasted.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conclude this case involved a mild to moderate soft-tissue injury combined with sleep problems, back and shoulder problems which resolved in six months and an additional year of neck discomfort, aggravated by the fact the plaintiff was an elite athlete. He had to substantially reduce and not participate in the one thing that he not only enjoyed but was a significant and defining part of his life, and that is his fitness regime. I find an award of $20,000 is appropriate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now turn to the issue of the call-outs. The plaintiff worked overtime on occasion. He did this partly to earn extra money and partly because he enjoyed putting on his uniform and working with younger officers. He thought he would take about one call-out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evidence of Inspector Laidler suggested that call-outs were a minimum of six hours. However, the pay slips filed as exhibits indicate that a call-out could be as little as 4.5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noted, during the year of the accident, Mr. Gale earned approximately $3,000 less from call-outs, and approximately $4,000 less in 2004; but as noted 2004 was based on an eleven-month year, because of his retirement, and thus the amount expected would be reduced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 submitted that no medical person told Mr. Gale not to take the call-outs. It was a choice he made. Further, there is no evidence of what call-outs he refused, and what he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submitted that, based on the evidence of Inspector Laidler, there was an abundance of call-out time available, during this period, and that there was a reasonable possibility that Mr. Gale could have made upwards to $15,000 per year, but for his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There was a discussion on whether "a real possibility" was the correct test for this type of wage loss. However, since I find that the plaintiff has not shown that he would have earned substantially more than in the past on any standard, I need not address the test any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There is no evidence that Mr. Gale would have accepted more overtime than he did in 2001 or 2002. Therefore, those are the figures on which I rely. I accept Mr. Gale's evidence that he did reduce his call-out time because of the injury and for fear of further injuring himself if he got involved in a confrontation with a suspect. He was more selective with the call-outs that he would attend.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have looked at the difference in call-out sums earned. I have considered the submission of the defendant that not all of the reduced call-out time should be attributed to the motor-vehicle accident. I consider that a $5,000 award for lost overtime due to the injury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Therefore, the total award is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has been awarded $25,000 for his personal injury claim in fast-track litigation, pursuant to Rule 66 of the Supreme Court Rules. This amount puts it within the top end of the amended Small Claims legislation, which came into force after this action was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defendant submits that this matter is within the jurisdiction of the Small Claims Court, and therefore I should only award disbursements. I will deal with this point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Rules are clear that if an action is started in Supreme Court and the parties are awarded something within the Small Claims Court jurisdiction, then the court has the discretion to award only disbursements. Again, this is a discretionary order and one of the factors that the court will look at is the reasonableness of starting the action in Supreme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the authorities provided to me, and on the evidence, the plaintiff had an argument for damages in a range higher than that which I awarded. Therefore, in my view, it was not inappropriate for the plaintiff to continue his action in the Supreme Court rather than transfer it to Small Claims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also take into account that this action was started prior to the change in jurisdiction of the Small Claims Court which is also a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Therefore, costs will be dealt with according to the </w:t>
      </w:r>
      <w:r>
        <w:rPr>
          <w:rFonts w:ascii="arial" w:eastAsia="arial" w:hAnsi="arial" w:cs="arial"/>
          <w:b/>
          <w:i/>
          <w:color w:val="000000"/>
          <w:sz w:val="20"/>
          <w:lang w:val="en-US" w:eastAsia="en-US" w:bidi="ar-SA"/>
        </w:rPr>
        <w:t>Supreme Court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made an offer to settle on March the 15th, 2006, of $16,000; or in other words, $9,000 less than the award granted. However, that offer was made less than two weeks prior to the trial commencing.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Rule 66(29)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Unless the court orders otherwise, or the parties consent, and subject to Rule 57(10), the amount of costs exclusive of disbursements to which a party is entitled is as follows:</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time spent on the hearing of the trial is one day or less, $3,600.</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trial on the hearing of the trial is more than one day, $4,800.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19.1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exercising discretion under sub-rule 29, the court may consider a settlement offer delivered in accordance with Rule 37 and 37(a), whether or not other special circumstances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Counsel have provided me with a number of cases which I will review shortly, which clearly indicate that there is a conflict within the law on my court on the issue of costs pursuant to Rule 66. The legislation must be read in its context. See for example, </w:t>
      </w:r>
      <w:r>
        <w:rPr>
          <w:rFonts w:ascii="arial" w:eastAsia="arial" w:hAnsi="arial" w:cs="arial"/>
          <w:b/>
          <w:i/>
          <w:color w:val="000000"/>
          <w:sz w:val="20"/>
          <w:lang w:val="en-US" w:eastAsia="en-US" w:bidi="ar-SA"/>
        </w:rPr>
        <w:t>Rizzo &amp; Rizzo Shoes Ltd. (Re)</w:t>
      </w:r>
      <w:r>
        <w:rPr>
          <w:rFonts w:ascii="arial" w:eastAsia="arial" w:hAnsi="arial" w:cs="arial"/>
          <w:color w:val="000000"/>
          <w:sz w:val="20"/>
          <w:lang w:val="en-US" w:eastAsia="en-US" w:bidi="ar-SA"/>
        </w:rPr>
        <w:t xml:space="preserve">, </w:t>
      </w:r>
      <w:hyperlink r:id="rId757" w:history="1">
        <w:r>
          <w:rPr>
            <w:rFonts w:ascii="arial" w:eastAsia="arial" w:hAnsi="arial" w:cs="arial"/>
            <w:i/>
            <w:color w:val="0077CC"/>
            <w:sz w:val="20"/>
            <w:u w:val="single"/>
            <w:shd w:val="clear" w:color="auto" w:fill="FFFFFF"/>
            <w:lang w:val="en-US" w:eastAsia="en-US" w:bidi="ar-SA"/>
          </w:rPr>
          <w:t>[1998] 1 S.C.R. 27</w:t>
        </w:r>
      </w:hyperlink>
      <w:r>
        <w:rPr>
          <w:rFonts w:ascii="arial" w:eastAsia="arial" w:hAnsi="arial" w:cs="arial"/>
          <w:color w:val="000000"/>
          <w:sz w:val="20"/>
          <w:lang w:val="en-US" w:eastAsia="en-US" w:bidi="ar-SA"/>
        </w:rPr>
        <w:t>. The plain meaning of the statute is how it should be interpreted, unless there is ambiguity.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Rules 66(29), and 66(29.1), clearly provide the court discretion with respect to the awarding of costs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 turn next to the question of whether to order double costs based on the offer to settle. The court has discretion to order double costs when an offer to settle has been made. Two cases have been provided to me. The first is </w:t>
      </w:r>
      <w:r>
        <w:rPr>
          <w:rFonts w:ascii="arial" w:eastAsia="arial" w:hAnsi="arial" w:cs="arial"/>
          <w:b/>
          <w:i/>
          <w:color w:val="000000"/>
          <w:sz w:val="20"/>
          <w:lang w:val="en-US" w:eastAsia="en-US" w:bidi="ar-SA"/>
        </w:rPr>
        <w:t>Bishop Austin v. Brown</w:t>
      </w:r>
      <w:r>
        <w:rPr>
          <w:rFonts w:ascii="arial" w:eastAsia="arial" w:hAnsi="arial" w:cs="arial"/>
          <w:color w:val="000000"/>
          <w:sz w:val="20"/>
          <w:lang w:val="en-US" w:eastAsia="en-US" w:bidi="ar-SA"/>
        </w:rPr>
        <w:t xml:space="preserve">, </w:t>
      </w:r>
      <w:hyperlink r:id="rId758" w:history="1">
        <w:r>
          <w:rPr>
            <w:rFonts w:ascii="arial" w:eastAsia="arial" w:hAnsi="arial" w:cs="arial"/>
            <w:i/>
            <w:color w:val="0077CC"/>
            <w:sz w:val="20"/>
            <w:u w:val="single"/>
            <w:shd w:val="clear" w:color="auto" w:fill="FFFFFF"/>
            <w:lang w:val="en-US" w:eastAsia="en-US" w:bidi="ar-SA"/>
          </w:rPr>
          <w:t>[2004] B.C.J. No. 1472</w:t>
        </w:r>
      </w:hyperlink>
      <w:r>
        <w:rPr>
          <w:rFonts w:ascii="arial" w:eastAsia="arial" w:hAnsi="arial" w:cs="arial"/>
          <w:color w:val="000000"/>
          <w:sz w:val="20"/>
          <w:lang w:val="en-US" w:eastAsia="en-US" w:bidi="ar-SA"/>
        </w:rPr>
        <w:t>, a decision of Hutchison J. In that case, after reviewing some of the conflicting case law, Hutchison J. said at paragraph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seems to me that sub-rule 29.1 contemplates that where an offer has been made under Rule 37 by the plaintiff, and the plaintiff is awarded more than the amount of the offer at trial, double costs should be awarded.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as here, there are no other special circumstances, double costs should not exceed double $4,800, or $9,600.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That case was considered in </w:t>
      </w:r>
      <w:r>
        <w:rPr>
          <w:rFonts w:ascii="arial" w:eastAsia="arial" w:hAnsi="arial" w:cs="arial"/>
          <w:b/>
          <w:i/>
          <w:color w:val="000000"/>
          <w:sz w:val="20"/>
          <w:lang w:val="en-US" w:eastAsia="en-US" w:bidi="ar-SA"/>
        </w:rPr>
        <w:t>Kennedy v. Kiss</w:t>
      </w:r>
      <w:r>
        <w:rPr>
          <w:rFonts w:ascii="arial" w:eastAsia="arial" w:hAnsi="arial" w:cs="arial"/>
          <w:color w:val="000000"/>
          <w:sz w:val="20"/>
          <w:lang w:val="en-US" w:eastAsia="en-US" w:bidi="ar-SA"/>
        </w:rPr>
        <w:t xml:space="preserve">, </w:t>
      </w:r>
      <w:hyperlink r:id="rId759" w:history="1">
        <w:r>
          <w:rPr>
            <w:rFonts w:ascii="arial" w:eastAsia="arial" w:hAnsi="arial" w:cs="arial"/>
            <w:i/>
            <w:color w:val="0077CC"/>
            <w:sz w:val="20"/>
            <w:u w:val="single"/>
            <w:shd w:val="clear" w:color="auto" w:fill="FFFFFF"/>
            <w:lang w:val="en-US" w:eastAsia="en-US" w:bidi="ar-SA"/>
          </w:rPr>
          <w:t>[2006] B.C.J. No. 404</w:t>
        </w:r>
      </w:hyperlink>
      <w:r>
        <w:rPr>
          <w:rFonts w:ascii="arial" w:eastAsia="arial" w:hAnsi="arial" w:cs="arial"/>
          <w:color w:val="000000"/>
          <w:sz w:val="20"/>
          <w:lang w:val="en-US" w:eastAsia="en-US" w:bidi="ar-SA"/>
        </w:rPr>
        <w:t>, by Mr. Justice Williams. Mr. Justice Williams reviewed a number of decisions and at paragraph 8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 to the enactment of sub-rule 29.1 in 2003, the preponderance of cases required that special circumstances other than an offer to settle be present before an award exceeding the limit in sub-rule 29 could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He cites a number of decisions. He continued and said that, in </w:t>
      </w:r>
      <w:r>
        <w:rPr>
          <w:rFonts w:ascii="arial" w:eastAsia="arial" w:hAnsi="arial" w:cs="arial"/>
          <w:b/>
          <w:i/>
          <w:color w:val="000000"/>
          <w:sz w:val="20"/>
          <w:lang w:val="en-US" w:eastAsia="en-US" w:bidi="ar-SA"/>
        </w:rPr>
        <w:t>Berubier v. Klassen</w:t>
      </w:r>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shd w:val="clear" w:color="auto" w:fill="FFFFFF"/>
            <w:lang w:val="en-US" w:eastAsia="en-US" w:bidi="ar-SA"/>
          </w:rPr>
          <w:t>(2003), 10 B.C.L.R. (4th) 169</w:t>
        </w:r>
      </w:hyperlink>
      <w:r>
        <w:rPr>
          <w:rFonts w:ascii="arial" w:eastAsia="arial" w:hAnsi="arial" w:cs="arial"/>
          <w:color w:val="000000"/>
          <w:sz w:val="20"/>
          <w:lang w:val="en-US" w:eastAsia="en-US" w:bidi="ar-SA"/>
        </w:rPr>
        <w:t>, the court found that an offer to settle constituted special circumstances. Shortly after that, Rule 29.1 was enacted, which gave the court the jurisdiction to consider an 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Mr. Justice Williams pointed out the first decision on this issue was </w:t>
      </w:r>
      <w:r>
        <w:rPr>
          <w:rFonts w:ascii="arial" w:eastAsia="arial" w:hAnsi="arial" w:cs="arial"/>
          <w:b/>
          <w:i/>
          <w:color w:val="000000"/>
          <w:sz w:val="20"/>
          <w:lang w:val="en-US" w:eastAsia="en-US" w:bidi="ar-SA"/>
        </w:rPr>
        <w:t>Bishop Austin v. Brown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where it was held that double costs must be ordered in these circumstances. However, Mr. Justice Williams continues and refers to the decision of </w:t>
      </w:r>
      <w:r>
        <w:rPr>
          <w:rFonts w:ascii="arial" w:eastAsia="arial" w:hAnsi="arial" w:cs="arial"/>
          <w:b/>
          <w:i/>
          <w:color w:val="000000"/>
          <w:sz w:val="20"/>
          <w:lang w:val="en-US" w:eastAsia="en-US" w:bidi="ar-SA"/>
        </w:rPr>
        <w:t>Dulong v. Howard</w:t>
      </w:r>
      <w:r>
        <w:rPr>
          <w:rFonts w:ascii="arial" w:eastAsia="arial" w:hAnsi="arial" w:cs="arial"/>
          <w:color w:val="000000"/>
          <w:sz w:val="20"/>
          <w:lang w:val="en-US" w:eastAsia="en-US" w:bidi="ar-SA"/>
        </w:rPr>
        <w:t xml:space="preserve">, </w:t>
      </w:r>
      <w:hyperlink r:id="rId761" w:history="1">
        <w:r>
          <w:rPr>
            <w:rFonts w:ascii="arial" w:eastAsia="arial" w:hAnsi="arial" w:cs="arial"/>
            <w:i/>
            <w:color w:val="0077CC"/>
            <w:sz w:val="20"/>
            <w:u w:val="single"/>
            <w:shd w:val="clear" w:color="auto" w:fill="FFFFFF"/>
            <w:lang w:val="en-US" w:eastAsia="en-US" w:bidi="ar-SA"/>
          </w:rPr>
          <w:t>[2005] B.C.J. No. 207</w:t>
        </w:r>
      </w:hyperlink>
      <w:r>
        <w:rPr>
          <w:rFonts w:ascii="arial" w:eastAsia="arial" w:hAnsi="arial" w:cs="arial"/>
          <w:color w:val="000000"/>
          <w:sz w:val="20"/>
          <w:lang w:val="en-US" w:eastAsia="en-US" w:bidi="ar-SA"/>
        </w:rPr>
        <w:t>, where Macaulay J.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ample authority in this court for the proposition that awarding double costs in a Rule 66 action is a matter of discretion, even where the plaintiff beats his former 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Williams J. referred to a decision of Ralph J., </w:t>
      </w:r>
      <w:r>
        <w:rPr>
          <w:rFonts w:ascii="arial" w:eastAsia="arial" w:hAnsi="arial" w:cs="arial"/>
          <w:b/>
          <w:i/>
          <w:color w:val="000000"/>
          <w:sz w:val="20"/>
          <w:lang w:val="en-US" w:eastAsia="en-US" w:bidi="ar-SA"/>
        </w:rPr>
        <w:t>B.C. Marine Industry Standard Welfare Plan, Trustees of v. Desardevitch,</w:t>
      </w:r>
      <w:r>
        <w:rPr>
          <w:rFonts w:ascii="arial" w:eastAsia="arial" w:hAnsi="arial" w:cs="arial"/>
          <w:color w:val="000000"/>
          <w:sz w:val="20"/>
          <w:lang w:val="en-US" w:eastAsia="en-US" w:bidi="ar-SA"/>
        </w:rPr>
        <w:t xml:space="preserve"> </w:t>
      </w:r>
      <w:hyperlink r:id="rId762" w:history="1">
        <w:r>
          <w:rPr>
            <w:rFonts w:ascii="arial" w:eastAsia="arial" w:hAnsi="arial" w:cs="arial"/>
            <w:i/>
            <w:color w:val="0077CC"/>
            <w:sz w:val="20"/>
            <w:u w:val="single"/>
            <w:shd w:val="clear" w:color="auto" w:fill="FFFFFF"/>
            <w:lang w:val="en-US" w:eastAsia="en-US" w:bidi="ar-SA"/>
          </w:rPr>
          <w:t>[2004] B.C.J. No. 1586</w:t>
        </w:r>
      </w:hyperlink>
      <w:r>
        <w:rPr>
          <w:rFonts w:ascii="arial" w:eastAsia="arial" w:hAnsi="arial" w:cs="arial"/>
          <w:color w:val="000000"/>
          <w:sz w:val="20"/>
          <w:lang w:val="en-US" w:eastAsia="en-US" w:bidi="ar-SA"/>
        </w:rPr>
        <w:t>, where Ralph J. indicated that there was a discretion and the court was not obliged to order 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Ralph J. stated, at paragraph 16, that earlier decisions have identified some circumstances that may be considered in deciding whether to part from the designated costs, when an offer to settle is in issue. Examples include the timing of the offer, the difference between the amount of the terms of the offer and the result obtained at trial and where the trial exceeded two days in length.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In Desardevitch</w:t>
      </w:r>
      <w:r>
        <w:rPr>
          <w:rFonts w:ascii="arial" w:eastAsia="arial" w:hAnsi="arial" w:cs="arial"/>
          <w:color w:val="000000"/>
          <w:sz w:val="20"/>
          <w:lang w:val="en-US" w:eastAsia="en-US" w:bidi="ar-SA"/>
        </w:rPr>
        <w:t>, Ralph J. refused to award double costs where an offer had been made eight days prior to trial, and the difference in the award was $3,000.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think that an offer this close to trial where the differential is of the order achieved here is sufficient to depart from the designated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That decision was followed in other decisions and it appears that the bulk of the case law has found that the court has the discretion of whether or not to order 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other factor that one must take into account is the reasonableness of the offer to settle, and that was highlighted in the decision of Burnyeat J. in </w:t>
      </w:r>
      <w:r>
        <w:rPr>
          <w:rFonts w:ascii="arial" w:eastAsia="arial" w:hAnsi="arial" w:cs="arial"/>
          <w:b/>
          <w:i/>
          <w:color w:val="000000"/>
          <w:sz w:val="20"/>
          <w:lang w:val="en-US" w:eastAsia="en-US" w:bidi="ar-SA"/>
        </w:rPr>
        <w:t>Lee v. McGuire</w:t>
      </w:r>
      <w:r>
        <w:rPr>
          <w:rFonts w:ascii="arial" w:eastAsia="arial" w:hAnsi="arial" w:cs="arial"/>
          <w:color w:val="000000"/>
          <w:sz w:val="20"/>
          <w:lang w:val="en-US" w:eastAsia="en-US" w:bidi="ar-SA"/>
        </w:rPr>
        <w:t xml:space="preserve"> (2005), 8 C.P.C. (6th) 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find that I do have the discretion on whether or not to order double costs in the circumstances. The factors to consider include when the offer was made and in this case, it was made shortly before trial and the reasonableness of the offer compared to the award granted. In this case, the award was significantly higher than the offer and therefore the offer was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There are different approaches to the calculations of the double costs, as noted. In </w:t>
      </w:r>
      <w:r>
        <w:rPr>
          <w:rFonts w:ascii="arial" w:eastAsia="arial" w:hAnsi="arial" w:cs="arial"/>
          <w:b/>
          <w:i/>
          <w:color w:val="000000"/>
          <w:sz w:val="20"/>
          <w:lang w:val="en-US" w:eastAsia="en-US" w:bidi="ar-SA"/>
        </w:rPr>
        <w:t>Delong</w:t>
      </w:r>
      <w:r>
        <w:rPr>
          <w:rFonts w:ascii="arial" w:eastAsia="arial" w:hAnsi="arial" w:cs="arial"/>
          <w:color w:val="000000"/>
          <w:sz w:val="20"/>
          <w:lang w:val="en-US" w:eastAsia="en-US" w:bidi="ar-SA"/>
        </w:rPr>
        <w:t>, Macaulay J. calculated damages in a manner that resulted in double costs totalling $7,200 for a two-day trial, based on the fact that Rule 66 did not apportion between the pre-trial and trial costs. In his view, merely to double the award would be to double all the costs borne by the successful litigant rather than those incurred after the offer to settle.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conclude that the plaintiff is entitled to double his costs for the period attributable to the period of time from when the offer was made up to and including the trial. Macaulay J., in his case, awarded $7,200 in costs, exclusive of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my view, that approach is a reasonable one, and I order an award similar to that award by Macaulay J. in </w:t>
      </w:r>
      <w:r>
        <w:rPr>
          <w:rFonts w:ascii="arial" w:eastAsia="arial" w:hAnsi="arial" w:cs="arial"/>
          <w:b/>
          <w:i/>
          <w:color w:val="000000"/>
          <w:sz w:val="20"/>
          <w:lang w:val="en-US" w:eastAsia="en-US" w:bidi="ar-SA"/>
        </w:rPr>
        <w:t>Delong</w:t>
      </w:r>
      <w:r>
        <w:rPr>
          <w:rFonts w:ascii="arial" w:eastAsia="arial" w:hAnsi="arial" w:cs="arial"/>
          <w:color w:val="000000"/>
          <w:sz w:val="20"/>
          <w:lang w:val="en-US" w:eastAsia="en-US" w:bidi="ar-SA"/>
        </w:rPr>
        <w:t xml:space="preserve"> which is $7,200 in costs, exclusive of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BENNETT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August 31,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page 9, paragraph 30, the citation cited should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"Middleton and Malic v. Farquharson et al</w:t>
      </w:r>
      <w:r>
        <w:rPr>
          <w:rFonts w:ascii="arial" w:eastAsia="arial" w:hAnsi="arial" w:cs="arial"/>
          <w:color w:val="000000"/>
          <w:sz w:val="20"/>
          <w:lang w:val="en-US" w:eastAsia="en-US" w:bidi="ar-SA"/>
        </w:rPr>
        <w:t xml:space="preserve"> </w:t>
      </w:r>
      <w:hyperlink r:id="rId752" w:history="1">
        <w:r>
          <w:rPr>
            <w:rFonts w:ascii="arial" w:eastAsia="arial" w:hAnsi="arial" w:cs="arial"/>
            <w:i/>
            <w:color w:val="0077CC"/>
            <w:sz w:val="20"/>
            <w:u w:val="single"/>
            <w:shd w:val="clear" w:color="auto" w:fill="FFFFFF"/>
            <w:lang w:val="en-US" w:eastAsia="en-US" w:bidi="ar-SA"/>
          </w:rPr>
          <w:t>2004 BCSC 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page 9, paragraph 31, the citation cited should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lang w:val="en-US" w:eastAsia="en-US" w:bidi="ar-SA"/>
        </w:rPr>
        <w:t>Rubino v. Lerfold et al</w:t>
      </w:r>
      <w:r>
        <w:rPr>
          <w:rFonts w:ascii="arial" w:eastAsia="arial" w:hAnsi="arial" w:cs="arial"/>
          <w:color w:val="000000"/>
          <w:sz w:val="20"/>
          <w:lang w:val="en-US" w:eastAsia="en-US" w:bidi="ar-SA"/>
        </w:rPr>
        <w:t xml:space="preserve"> </w:t>
      </w:r>
      <w:hyperlink r:id="rId753" w:history="1">
        <w:r>
          <w:rPr>
            <w:rFonts w:ascii="arial" w:eastAsia="arial" w:hAnsi="arial" w:cs="arial"/>
            <w:i/>
            <w:color w:val="0077CC"/>
            <w:sz w:val="20"/>
            <w:u w:val="single"/>
            <w:shd w:val="clear" w:color="auto" w:fill="FFFFFF"/>
            <w:lang w:val="en-US" w:eastAsia="en-US" w:bidi="ar-SA"/>
          </w:rPr>
          <w:t>2004 BCSC 282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page 9, paragraph 32, the citation cited should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lang w:val="en-US" w:eastAsia="en-US" w:bidi="ar-SA"/>
        </w:rPr>
        <w:t>Pardanyi v. Wilson</w:t>
      </w:r>
      <w:r>
        <w:rPr>
          <w:rFonts w:ascii="arial" w:eastAsia="arial" w:hAnsi="arial" w:cs="arial"/>
          <w:color w:val="000000"/>
          <w:sz w:val="20"/>
          <w:lang w:val="en-US" w:eastAsia="en-US" w:bidi="ar-SA"/>
        </w:rPr>
        <w:t xml:space="preserve"> </w:t>
      </w:r>
      <w:hyperlink r:id="rId754" w:history="1">
        <w:r>
          <w:rPr>
            <w:rFonts w:ascii="arial" w:eastAsia="arial" w:hAnsi="arial" w:cs="arial"/>
            <w:i/>
            <w:color w:val="0077CC"/>
            <w:sz w:val="20"/>
            <w:u w:val="single"/>
            <w:shd w:val="clear" w:color="auto" w:fill="FFFFFF"/>
            <w:lang w:val="en-US" w:eastAsia="en-US" w:bidi="ar-SA"/>
          </w:rPr>
          <w:t>2004 BCSC 1804</w:t>
        </w:r>
      </w:hyperlink>
      <w:r>
        <w:rPr>
          <w:rFonts w:ascii="arial" w:eastAsia="arial" w:hAnsi="arial" w:cs="arial"/>
          <w:color w:val="000000"/>
          <w:sz w:val="20"/>
          <w:lang w:val="en-US" w:eastAsia="en-US" w:bidi="ar-SA"/>
        </w:rPr>
        <w:t>"</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7" style="position:absolute;z-index:251889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63"/>
          <w:headerReference w:type="default" r:id="rId764"/>
          <w:footerReference w:type="even" r:id="rId765"/>
          <w:footerReference w:type="default" r:id="rId766"/>
          <w:headerReference w:type="first" r:id="rId767"/>
          <w:footerReference w:type="first" r:id="rId76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69" w:history="1">
        <w:r>
          <w:rPr>
            <w:rFonts w:ascii="arial" w:eastAsia="arial" w:hAnsi="arial" w:cs="arial"/>
            <w:b/>
            <w:bCs/>
            <w:i/>
            <w:color w:val="0077CC"/>
            <w:kern w:val="32"/>
            <w:sz w:val="28"/>
            <w:szCs w:val="32"/>
            <w:u w:val="single"/>
            <w:shd w:val="clear" w:color="auto" w:fill="FFFFFF"/>
            <w:lang w:val="en-US" w:eastAsia="en-US" w:bidi="ar-SA"/>
          </w:rPr>
          <w:t>Holmes v. Hanna, [2001] B.C.J. No. 1256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Halfyard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15 and 16,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Nanaimo Registry No. S23797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1256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759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106 A.C.W.S. (3d) 375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Kevin Stuart Holmes, plaintiff, and Ashley Hanna and Keith Jubenville,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8"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2" w:name="Keywords_42"/>
      <w:bookmarkEnd w:id="272"/>
      <w:r>
        <w:rPr>
          <w:rFonts w:ascii="arial" w:eastAsia="arial" w:hAnsi="arial" w:cs="arial"/>
          <w:b/>
          <w:color w:val="000000"/>
          <w:sz w:val="20"/>
          <w:lang w:val="en-US" w:eastAsia="en-US" w:bidi="ar-SA"/>
        </w:rPr>
        <w:t>Torts — Joint and concurrent tortfeasors — Joint tortfeasors — What constitutes — Damage awards — Injury and death — Head injuries — Brain damage — Multiple injuries.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3" w:name="Case Summary_39"/>
            <w:bookmarkEnd w:id="27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was an action by Holmes for damages for personal injuries. Jubenville and a number of other young persons who had been drinking engaged in dropping objects from an overpass onto a highway below. In the course of this activity Hannah dropped a large rock which injured Holmes who was a passenger in a vehicle. Jubenville drove the vehicle used to transport the young persons. He testified that he did not see Hannah take the rock out of the car, or walk across the overpass with it. He stated that he did not know Hannah had a rock until he saw him preparing to drop it off the overpass, just a few seconds before he dropped it. Hannah's liability was uncontested. Holmes argued that Jubenville was liable because he, Hannah and the others formed a common purpose to gather up and throw various objects from the overpass and that, in the course of carrying out the common purpose, Hanna dropped the rock which caused the injury. Holmes, who was 20 years old at the time of the accident, suffered very serious injuries, including severe bone fractures, moderate to severe brain injuries, mild cognitive disorder relating to speech and mild to moderate impairment to memory and concentration powers. Prior to the accident Holmes was in good physical and mental health and had a good work record. He had quit school after grade nine and was taking courses to qualify for an apprenticeship in carpentry. Holmes no longer had the physical or mental ability to do the work of a carpenter. He would only be able to work part-time at jobs paying minimum wage rates.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4" w:name="Holdings of Court_28"/>
            <w:bookmarkEnd w:id="274"/>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sufficient connection between the acts of Jubenville and the acts of Hanna to make Jubenville a joint tortfeasor with Hanna. Jubenville knew there were various objects being loaded into the car to be thrown off the overpass and he drove to the overpass with that knowledge. Jubenville was the driver of the car and had considerable control of the situation. Although Holmes had failed to prove that Jubenville knew in advance that there was a risk Hanna might throw a rock off the overpass, Jubenville ought to have known and he was negligent in not knowing. Thus he negligently aided Hanna in the commission of a tortious act by transporting him and the rock back to the overpass. Jubenville and Hannah were therefore jointly and severally liable; Jubenville for 25 per cent and Hanna for 75 per cent. The combined effects of the physical and mental injuries had significantly and permanently changed Holmes' life. The proper award for pain and suffering and loss of enjoyment of life was $140,000. Many occupations that were open to Holmes before his injury were now beyond his capacity and there was a real risk that he would be unable to work more than part-time. There was a reasonable probability that, had he not been injured, Holmes would have qualified himself for work as a tradesman by about five years after the accident and would have worked as a tradesman as regularly as economic conditions allowed until age 65. Factoring in a 15 per cent reduction for contingencies, $595,000 was a reasonable estimate of the present value of Holmes' loss of future earning capacity. Holmes had established that there was a need for future care such as psychological counselling, psychotherapy and cognitive therapy. Holmes was awarded $20,000 as the present value of future care.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5" w:name="Legislation Cited_27"/>
      <w:bookmarkEnd w:id="27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9"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40(27)(a)(i).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s. 4(2)(b).</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18"/>
                <w:lang w:val="en-US" w:eastAsia="en-US" w:bidi="ar-SA"/>
              </w:rPr>
              <w:t xml:space="preserve">[Quicklaw note: Supplementary reasons for judgment were released October 2, 2001. See </w:t>
            </w:r>
            <w:hyperlink r:id="rId770" w:history="1">
              <w:r>
                <w:rPr>
                  <w:rFonts w:ascii="arial" w:eastAsia="arial" w:hAnsi="arial" w:cs="arial"/>
                  <w:i/>
                  <w:color w:val="0077CC"/>
                  <w:sz w:val="18"/>
                  <w:u w:val="single"/>
                  <w:shd w:val="clear" w:color="auto" w:fill="FFFFFF"/>
                  <w:lang w:val="en-US" w:eastAsia="en-US" w:bidi="ar-SA"/>
                </w:rPr>
                <w:t>[2001] B.C.J. No. 2082</w:t>
              </w:r>
            </w:hyperlink>
            <w:r>
              <w:rPr>
                <w:rFonts w:ascii="arial" w:eastAsia="arial" w:hAnsi="arial" w:cs="arial"/>
                <w:color w:val="000000"/>
                <w:sz w:val="18"/>
                <w:lang w:val="en-US" w:eastAsia="en-US" w:bidi="ar-SA"/>
              </w:rPr>
              <w:t>.]</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6" w:name="Counsel_43"/>
      <w:bookmarkEnd w:id="27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0" style="position:absolute;z-index:251805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 Jordan, for the plaintiff. Ken Jubenville, for the defendant, Keith Jubenville. No one appeared for the defendant, Ashley Hanna.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7" w:name="Judgment_43"/>
      <w:bookmarkEnd w:id="277"/>
      <w:r>
        <w:pict>
          <v:line id="_x0000_s1231" style="position:absolute;z-index:25185587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A Corrigendum was released by the Court August 7, 2001. The corrections have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8" w:name="HALFYARD J."/>
            <w:bookmarkEnd w:id="278"/>
            <w:r>
              <w:rPr>
                <w:rFonts w:ascii="arial" w:eastAsia="arial" w:hAnsi="arial" w:cs="arial"/>
                <w:b/>
                <w:color w:val="000000"/>
                <w:sz w:val="30"/>
                <w:lang w:val="en-US" w:eastAsia="en-US" w:bidi="ar-SA"/>
              </w:rPr>
              <w:t>HALFYARD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Kevin Stuart Holmes has brought action against Ashley Hanna and Keith Jubenville claiming damages for personal injuries alleged to have been caused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claim is limited to 75% of the damages he is able to prove, because he has recently settled his claim against three other persons who were formerly defendants, on the basis that they were 25% liable. Those three persons are Joel Bowden, Jared Smith and Fiona Rattray. A third party notice issued by the defendant Jubenville remains outstanding as against the defendant Hanna.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Only the plaintiff was represented by counsel at trial. The defendant Jubenville, now 19, was represented by his father, Ken Jubenville. The defendant Hanna, also 19, did not appear in person, or by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This lawsuit arises from an incident which occurred on February 19, 1999, on that part of the Island Highway known as the Nanaimo Parkway, in or near Nanaimo. It has been conclusively established by the evidence, and it is not disputed, that, at or about 1:45 a.m. on that date, the defendant Hanna dropped a large rock off the Wellington Overpass which struck and penetrated the cab of a pickup truck travelling south, that the plaintiff was riding as a passenger in that truck, and that the rock struck the plaintiff and caused him serious personal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liability of the defendant Hanna is obvious and uncontested. The liability of the defendant Jubenville is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size and weight of the rock, the height of the overpass bridge, the speed of the truck, and the speed limit on the highway were not made clear by the evidence. But in my view, the only reasonable inferences are that the rock was large and heavy, it was dropped from a height of about 25 to 30 feet, the truck was travelling at about highway speed, and the speed limit was either 80 or 90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had no recollection of the accident. The evidence presented on behalf of the plaintiff, on liability consisted of lengthy parts of the examination for discovery evidence given by the defendants Jubenville and Hanna, which were read in by plaintiff's counsel. By reason of Rule 40(27)(a)(i), the discovery evidence of the defendant Hanna is only admissible as evidence against him. Ken Jubenville called three defence witnesses: his son, Keith, Joel Bowden (now 18) and Fiona Rattray (also now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theory of liability advanced by the plaintiff is that the defendants Hanna and Jubenville, and the other three young persons Bowden, Smith and Rattray, formed a common purpose to gather up and throw various objects off the overpass on to the highway below, to either hit vehicles passing underneath the overpass, or make then slow down; and that in the course of carrying out the common purpose, the defendant Hanna dropped the large rock which injured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defence alleged that the defendant Jubenville did not enter into any common purpose to throw rocks off the overpass, and that he did not know the defendant Hanna was going to throw a rock off the overpass until seconds before he dropped it, and when he, Jubenville, was too far away to do anything to prevent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From the evidence, I make the following findings of fact. The defendant Jubenville had worked at his part-time job in a bakery from sometime in the afternoon until about 11:30 p.m. on February 18. After work, he drove to a friend's house in his father's station wagon which he had borrowed because his own car was broke down. After visiting with his friend until about 1:00 a.m., he left his friend's place and was either looking for his four friends, Hanna, Bowden, Smith and Rattray, or accidentally happened upon them. In any event, he met them walking along a road, and picked them up. All four were drunk, with Hanna and Bowden being the drunkest. They had beer and other alcoholic liquor with them. After stopping at another friend's place briefly, they decided to get some toilet paper and throw it off the Wellington Overpass at vehicles travelling on the highway underneath. The defendant Jubenville drove them all to Bowden's place, and Bowden went into his house and returned with several rolls of toilet paper. From there, they drove to a location not far from the overpass, and soaked wads of toilet paper in water puddles. The four who were intoxicated, continued to drink.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Jubenville then drove them all to the overpass, and parked at the east end of it. All five persons got out, and threw wet wads of toilet paper at vehicles passing below them and driving north on the highway, in one or both of the northbound lanes.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Jubenville then drove them all back to a location near where they had gone previously, in an area where new houses were under construction. Here, all of the young persons gathered up various objects with the intention of returning to the overpass and again throwing the objects on to the highway below. Among the items collected and placed in the car were small metal spools for electrical wire, cardboard boxes, survey stakes and possibly a few short pieces of 2x4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Jubenville loaded a fairly large (about 2 1/2' x 3') real estate "For Sale" sign into the car. The defendant Hanna loaded the large rock into the car at this time, although the defendant Jubenville, Joel Bowden and Fiona Rattray all testified they never saw the defendant Hanna put the rock in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defendant Jubenville then drove them all back to the overpass, and this time he parked the car partway on to the east end of the bridge. All five persons got out, and began throwing the objects off the overpass on to the northbound lane or lanes of the highway below. The defendant Jubenville threw the real estate sign, and a few "coils", which I take to mean the small metal spools mentioned earlier. He said he threw these things, not to hit any cars, but to place debris on the roadway for the purpose of slowing down the cars, so they could be more easily hit with the remaining wads of wet toilet paper. It is unclear whether any vehicles were hit or affected by the articles thrown on to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When all of the objects had been thrown, the defendant Jubenville and one or more of the others went to the car, to get in. By this time, the defendant Hanna had removed the large rock from the car, and was walking across the overpass, above the southbound lanes, some unknown but considerable distance from the others, perhaps 50 feet or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 Jubenville testified that he did not see the defendant Hanna take the rock out of the car, or walk across the overpass with it. He said he did not know the defendant Hanna had a rock, until he saw him preparing to drop it off the overpass, just a few seconds before he dropped it. Joel Bowden testified to similar effect. To the knowledge of the defendant Jubenville, a vehicle was travelling south, nearing the overpass bridge, when the defendant Hanna dropped the rock. It turned out that this was the vehicle in which the plaintiff was riding as a passenger.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evidence of the defendant Hanna on discovery was that he was trying to drop the rock into the box of the pickup truck that was approaching. All five persons knew that the rock had hit the truck somewhere. The defendant Jubenville knew that the truck had pulled over and stopped after being struck by the rock. All five young persons immediately drove away from the area. Within a day or two, one or more of the youths had heard on the news that the rock had hit the cab of the truck, penetrated into the cab, and caused serious injury to the plaintiff, and one or more of them reported the incident to the police on their own. After a police investigation, the defendant Hanna was prosecuted for his part in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From the photographs of the damaged truck, it appears that the rock struck the vehicle in the area where the top of the windshield meets the roof of the cab.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Plaintiff's counsel submits that the defendant Jubenville and the defendant Hanna were joint tortfeasors. It is argued that the defendant Jubenville provided the transportation, willingly took part in the initial toilet paper throwing incident, helped collect additional objects to be thrown, participated in throwing the additional objects on to the highway, and knew that his four friends were drunk. Mr. Jordan contends that, in these circumstances, the defendant Jubenville is jointly liable, even if he did not know that the defendant Hanna put the rock in the car, and did not know that Hanna took the rock out of the car with the intent to throw it at a vehicle, until it was too late to do anything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Plaintiff's counsel maintains that these five young persons were engaged in a common purpose to throw objects off the overpass and on to the highway, that they all participated in throwing wads of wet toilet paper at moving vehicles, and that they collected other solid objects and threw them down on to the highway. It is submitted that these young persons thereby created a reasonably foreseeable risk that users of the highway would be injured by their conduct. Counsel relied on the law of joint liability as stated in Harrison v. Biggs et al </w:t>
      </w:r>
      <w:hyperlink r:id="rId771" w:history="1">
        <w:r>
          <w:rPr>
            <w:rFonts w:ascii="arial" w:eastAsia="arial" w:hAnsi="arial" w:cs="arial"/>
            <w:i/>
            <w:color w:val="0077CC"/>
            <w:sz w:val="20"/>
            <w:u w:val="single"/>
            <w:shd w:val="clear" w:color="auto" w:fill="FFFFFF"/>
            <w:lang w:val="en-US" w:eastAsia="en-US" w:bidi="ar-SA"/>
          </w:rPr>
          <w:t>(1992), 74 B.C.L.R. (2d) 164</w:t>
        </w:r>
      </w:hyperlink>
      <w:r>
        <w:rPr>
          <w:rFonts w:ascii="arial" w:eastAsia="arial" w:hAnsi="arial" w:cs="arial"/>
          <w:color w:val="000000"/>
          <w:sz w:val="20"/>
          <w:lang w:val="en-US" w:eastAsia="en-US" w:bidi="ar-SA"/>
        </w:rPr>
        <w:t xml:space="preserve"> (C.A.) and s.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behalf of his son, Mr. Jubenville submitted that the defendant Hanna's collecting the rock and throwing it off the overpass was no part of the common purpose, and argued that Hanna acted entirely on his own in that venture. Mr. Jubenville maintained that Keith did not know anything about the rock being put into the car, taken out of the car or carried across the overpass until the defendant Hanna was ready to drop it. Accordingly, Mr. Jubenville says that Keith and the others should not be held responsible for the separate and independent negligent acts of the defendant Hanna.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 think it was logically implicit in Mr. Jubenville's argument that, if the defendant Hanna's actions could be considered as being part of the common purpose, then Keith Jubenville had withdrawn himself from the common purpose. In this regard, Mr. Jubenville may have been relying on statements made by his son in a statement made to the R.C.M.P. on February 23, 1999. In that statement, the defendant Jubenville claimed, in effect, that he saw Hanna walking across the overpass carrying the rock, told him not to throw the rock, and drove across the overpass in an attempt to stop him from throwing it. However, in his discovery evidence on August 31, 2000, the defendant Jubenville stated that neither he nor anyone else tried to stop Hanna from throwing the rock off the overpass. He was not asked about these contradictory versions of events when he testified at the trial, but his testimony necessarily implies that the mentioned parts of his police statement were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my opinion, all five of these young persons owed a duty of care to all occupants of vehicles using the highway, and all of them breached that duty of care by throwing wads of wet toilet paper at moving vehicles, and by throwing other objects on to the highway. This conduct, in my view, created a risk of injury to users of the highway, that was reasonably foreseeable. It was dark. Vehicles would be travelling at high speed. A driver might be startled by a wad of wet toilet paper suddenly striking the windshield, or some other part of the vehicle, to such an extent that he or she might momentarily lose control of the vehicle. This could cause a driver to drive off the roadway, or to collide with another vehicle in the adjacent lane, with injury occurring as a result. In my view, both the risk of an accident occurring, and the risk of injury being caused by such accident, were reasonably foreseeable consequences of this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think the same reasoning would apply to objects such as signs, boxes, wooden stakes and wire reels being thrown on to the highway, and being suddenly encountered by drivers of motor vehicles travelling at highway speed, in the dark. I find that all five of these young persons were engaged in a common purpose to cause trouble for motorists using the highway. All agreed to commit, and participated in the commission of, unlawful acts. Up to this point, they were all acting in concert.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But in this case, it was not the throwing of wet toilet paper at a vehicle, or the throwing of other objects on to the roadway ahead of a moving vehicle, that caused injury to the plaintiff. Consequently, in order to fix liability on anyone other than the defendant Hanna, the plaintiff must prove either that one or more of the others was acting together with the defendant Hanna in furtherance of the common design when he dropped the rock (with the admitted intent to hit the truck), or that he or she aided, directed or counselled the defendant Hanna in his actions respecting the rock.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to the defendant Jubenville, I am satisfied that he aided the defendant Hanna in his actions which culminated in the dropping of the rock from the overpass. He may not have known that Hanna put a large rock in the car, but he knew that the various objects being loaded into his car were to be thrown off the overpass on to the highway, and he drove back to the overpass with that knowledge. He was the driver of the car, and had the control of the situation to a considerable extent. He knew that his four friends were drunk, and thus should have known that their actions were unpredictable, or less predictable.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these circumstances, it is my opinion that he ought to have known what was loaded into the vehicle. He would then have had the choice to either remove the rock from the car (or if that was not agreed with, to refuse to return to the overpass), or to join in with or acquiesce in the rock being carried to and thrown off the overpass.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evidence of what occurred after the group drove back to the overpass, I found to be unsatisfactory, and somewhat improbable. But even assuming that the defendant Jubenville did not know that the defendant Hanna took the large rock out of his car, and was carrying it across the overpass, it is my view that, because he ought to have known the rock was in the car, he should have known these things were occurring, and was also negligent in not being aware of these actions of Hanna. And if he had known, he could again have decided whether to take steps to prevent the throwing of the rock, or at least to actively disassociate himself from Hanna's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my view, there is sufficient connection between the acts of the defendant Jubenville, and the acts of the defendant Hanna, to make the defendant Jubenville a joint tortfeasor with Hanna. Although the plaintiff has failed to prove that he knew in advance that there was a risk Hanna might throw a rock off the overpass, I find that he ought to have known, and that he was negligent in not knowing. Thus, he negligently aided Hanna, by transporting him and the rock back to the overpass.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have not been persuaded that liability should be fixed on the defendant Jubenville as a person who was acting in concert with the defendant Hanna in furtherance of a common design, when Hanna dropped the rock. I prefer to rest my decision on the finding that he negligently aided the defendant Hanna in Hanna's commission of the tortious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 therefore find that the defendants Jubenville and Hanna are jointly and severally liable to the plaintiff for 75% of his damages. As between the two defendants, I find that the degree to which Ashley Hanna was at fault is 75%, and the degree to which Keith Jubenville was at fault is 25%. By operation of s. 4(2)(b)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 they are liable to contribute to and indemnify each other in the degree to which they are respectively found to have been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As to the other three young persons who are no longer defendants, I find that the evidence presented at trial does not permit me to decide, with the required degree of certainty, whether any of them are joint tortfeasors. On the evidence before me, I am of the opinion that the defendant Jubenville was in a much different relationship with the defendant Hanna, than were the other three persons. It has not been proved that any of them knew, or ought to have known in advance that there was a risk that the defendant Hanna might drop a rock off the overpass in furtherance of the common purpose, and no evidence was led to show they aided or encouraged him to drop the rock. Hanna's discovery evidence created suspicion, but could not constitute proof of these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Harrison v. Biggs et al supra, four defendants set out to pursue the plaintiff, with the common intention of bringing him back to the hotel to his stag party that he had abandoned, against his will and by force, if necessary. In carrying out the common purpose, one of the defendants used his vehicle to block the path of the escaping plaintiff, and two other defendants confronted the plaintiff. It was the confrontation that led to the plaintiff's injury. These three defendants were found liable by the trial judge on the basis that they had all participated in both the pursuit of and confrontation with the plaintiff, although participation in the confrontation was in varying degrees. The fourth defendant who took part in the pursuit, with the same intention, declined to participate in the confrontation, and was held not liable. The Court of Appeal upheld the trial judge's decision on liability. In the present case, without proof that the other three persons at least had knowledge that the defendant Hanna had put a large rock in the car for transport back to the overpass, I fail to see how the principles in Harrison v. Biggs et al can be applied to establish liability on Bowden, Rattray or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turn now to the issue of damages. Mr. Jubenville did not challenge any of the evidence or arguments relating to damages, and I do not see how the plaintiff's entitlement to the various heads of damage claimed, could be contested. However, the quantum of damages is of course in issue. The plaintiff, who was 20 years old at the time of the accident, claims damages for both non-pecuniary and pecuniary loss. The first category of damages is pain and suffering and loss of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find that the injuries sustained by the plaintiff were as follows:</w:t>
      </w:r>
      <w:r>
        <w:rPr>
          <w:rFonts w:ascii="arial" w:eastAsia="arial" w:hAnsi="arial" w:cs="arial"/>
          <w:sz w:val="20"/>
          <w:lang w:val="en-US" w:eastAsia="en-US" w:bidi="ar-SA"/>
        </w:rPr>
        <w:cr/>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multiple fractures of the bones of the forehead, face and jaw, fractures of several teeth and damage to many teeth;</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the brain, resulting in haemorrhage and swelling;</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lacerations and bruising to the forehead and face, and bruising to the neck and chest;</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fracture of the left clavicle (collarbone) and one rib on the left side;</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the soft tissues of the right shoulder; and</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psychological trauma leading to post-traumatic stress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Soon after the accident, the plaintiff was taken by ambulance to hospital in Nanaimo, where he was assessed and given preliminary treatment, and then flown to Vancouver General Hospital for major surgery and intensive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surgical procedures to the head, face and jaw took about 14 hours to complete. It was necessary to make an incision in the plaintiff's scalp from ear-to-ear, over the top of his head, so that his face could be peeled away to permit access to the injured areas, and this produced a large scar which is permanent. An incision was also made in his neck, to facilitate jaw repairs. His jaw was wired shut, and remained closed for six weeks, which necessitated a diet of liquid food.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was released from Vancouver General Hospital after about seven days, but was basically confined to his residence in Nanaimo for about six months thereafter, except for visits to doctors and dentists. The swelling in his face took months to subside. Sixteen of his teeth were removed and replaced with implants, and a number of other teeth required repairs, which involved many hours of dental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Gwen Michener was living with the plaintiff at the time of his injury, and she provided care for him for many months after the accident. After six months, the plaintiff was able to increase his activity somewhat, but he felt unable to seek work until almost a year after the injury. Throughout this first year, the plaintiff suffered much physical pain and was disabled from working. He experienced headaches that were almost constant. He was also feeling depressed, and had developed an intense fear of travelling in motor vehicles, socializing with other people, and going out into the community, because he felt vulnerable to injury to his face and head. The injury to the plaintiff's brain caused cognitive disorders relating to his memory, concentration and speech.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February 2000, the plaintiff obtained work at a gas station, but found it impossible to cope with the required work activities on day shift, and could only work at night when business was much slower, and only part-time, for three shifts per week. By September 2000, he was able to add one afternoon shift per week. He worked at the gas station until about November 2000, when he moved to Victoria to live with his sister and to work as an electrician's helper. Ms. Michener joined him about two months later, when she too obtained work in Victoria.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Since the accident, the plaintiff has been having problems remembering things, and has had to make notes to remind himself about things he had to do. He had been studying Math 11A and English 11 since the fall of 1998 by correspondence, and he tried to resume those studies in June of 1999, along with Biology 11, but found that he developed headache, could not concentrate for long, and could not retain what he had read or learned. He was only able to complete the laboratory part of the biology course. Even with Ms. Michener's help, he has not been able to make any progress with his education. Although the plaintiff's initial recovery was remarkable, the constant pain, physical disability, mental difficulties and the uncertainty of recovery, have all combined to exacerbate the plaintiff's feelings of depression, frustration, and a sense of failure. But there has been some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Before the accident, the plaintiff had been doing heavy physical work, had been a serious hockey player, and had also played golf and other sports. Since being injured, he has not been able to do any heavy work or engage in any significant physical recreational activity. He can only play an abbreviated form of golf,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his first job at the gas station, there were a few requirements of his work that the plaintiff was unable to do, such as climbing ladders. In his job as electrician's helper in Victoria, he was working 40 hours a week from November 2000 until about February 2001, when he was laid off. Again, there were certain job functions that he could not perform, such as climbing ladders, doing overheard work or doing heavy work such as digging a trench. Dizziness prevented him from working at any heights, and headaches, and pain in his right shoulder, neck and back have prevented him from doing heavy work. He has lost 10 to 15 pounds, and has lost much of the muscle mass he once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enjoyed good health before he was injured in February 1999. He had been seriously injured in a motor vehicle accident in late 1995, and spent 19 days in hospital, but he had substantially recovered from those injuries by the time of the present accident. From what the plaintiff told Dr. Wilkinson and Dr. Rocheleau, it appears that he did experience some residual back pain and discomfort from those injuries, but I find it did not prevent him from carrying out fairly strenuous work and recreation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April of this year, while he was off work, the plaintiff underwent further extensive surgery on his head, designed to relieve pressure on his brain, to provide further protection for his brain, and to remedy a depression in his forehead that had disfigured his appearance for more than two years. The main surgical incision was made in the same ear-to-ear scar from the original surgery, and the scar was plainly visible at trial, as his hair had not grown back yet. I infer that the scar will be noticeable to some extent, even if the plaintiff's hair is grown long. This surgery has been successful, and no further surgery is presently being contemplated.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But the many physical and mental impairments caused by his injuries that I have mentioned, still persist, and will probably be permanent. He will never fully recover. If there is improvement in the future, the doctors say it will be minimal. In addition, the uncertainty of what he may or may not be able to do in the future, continues to trouble the plaintiff. Although his headaches have improved, they continue to plague him on a regular basis, and medication has been ineffective to extinguish the pain. Due to his brain injury, there is a 10% to 15% risk that he may develop a seizure disorder in the future. His problems with memory, concentration and (to a mild degree) his speech, will persist.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injuries sustained by the plaintiff must collectively be categorized as very serious. I would characterize the bone fractures as severe, and the brain injury as being moderate to severe. The cognitive disorder relating to speech is mild, and the impairment to memory and concentration powers I find to be mild to moderate. Fortunately, there has been some improvement in the plaintiff's depression and mood disorders, but substantial efforts will be required on his part to maintain his present level. The combined effects of the physical and mental injuries have significantly and permanently changed the plaintiff's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Plaintiff's counsel submits that the range of damages for non-pecuniary loss in this case, is from $130,000 to $175,000, and says that a fit award would be $160,000. He has referred extensively to the medical evidence and has presented case authorities in support of this submission. Although every case is different, and must be decided on its own particular facts, in my opinion the suggested range is reasonable. In my view, the proper award for pain and suffering and loss of enjoyment of life is $140,000.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plaintiff's claim for past lost of earnings is $18,000. As I understood it, the case for the plaintiff was framed in this way:</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still looking for work in Nanaimo at the time of the accident, after moving from Port Alice to Nanaimo with his girlfriend in September 1998.</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he had not been injured, the plaintiff would probably have found full-time work within a few weeks after February 21, 1999, at about the minimum wage rate.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Assuming that the plaintiff would have found such work by March 15, 1999, he would have earned about $13,000 per year, and would therefore have earned about $30,000 by the time of trial on May 15, 2001.</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disabled from working for a year, but thereafter earned about $9,240 in 2000, and about $2,250 in 2001, which makes a total of roughly $12,000.</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that sum is deducted from the $30,000 that the plaintiff could have earned, the sum of about $18,000 remains, which represents his wage loss up to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find this approach to be generally reasonable, although fixing the date when the plaintiff would have secured employment requires an educated guess. Taking that date to be roughly mid-March, 1999, I award $18,000 for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next issue is the amount that should be awarded for loss of future earning capacity. The plaintiff was 20 years old and in good physical and mental health at the time of his injury. I find that he had a good work record for a young man. His last jobs before the accident were at Port Alice, where he had moved to live with his older sister in April of 1996. He worked there as a labourer on construction projects, and unloaded fish from fishing vessels in the summers when other work was not available, and earned reasonably good money. When the construction work ran out, he went to work for two different employers in the business of cutting cedar for shakes, from March 1998 until September 1998 when he and Ms. Michener moved to Nanaimo, where she was to attend college for nurses' training. Again, he earned good wages.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testified that he was not much interested in school and quit when he was in grade 9. His father was a carpenter, and so is his brother. The plaintiff decided to take school courses in Nanaimo which would qualify him to apply for an apprenticeship in carpentering, which, if obtained, would take about four years to complete. As mentioned, he was taking math and English, and looking for work when he was injured. He had been making good progress in his courses, but as noted, his brain injury impaired his ability to continue with his studies.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became interested in becoming an electrician after working with his sister's boyfriend as an electrician's helper in Victoria for several months beginning in November 2000. He earned $8 per hour, and worked 40 hours per week, although this work schedule made him tired. He intends to return to that job when he recovers from his recent surgery. Although the plaintiff has good motivation, it is apparent from the evidence that he does not have, and will not in the future have, the physical ability to do the work of a carpenter or an electrician, or the mental ability to acquire the academic qualifications required to become a journeyman in either of those two trades. In reaching this conclusion, I have reviewed the comprehensive expert reports filed in evidence, which are as follows:</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 of Dr. R.V. Wilkinson, neuropsychologist, dated January 28, 2000</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 of Dr. Gordon Robinson, neurologist, dated December 14, 2000</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 of Dr. Michael Rocheleau, specialist in physical and rehabilitation medicine, dated January 12, 2001</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 of Dr. R.D. Hamm, specialist in occupational medicine, dated February 13, 2001</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 of Dr. M. Kaushansky, neuropsychologist, dated February 28, 2001</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vocational rehabilitation assessment of Niall Trainor, vocational rehabilitation consultant, dated February 15,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Jordan submits that the plaintiff's future loss should be assessed on the basis that, absent his injury, he would have become an electrician or a carpenter, and would have worked until he was 65 (i.e., 41.9 years after trial) and would have earned wages equivalent to the earnings of an average B.C. male employed as a carpenter or an electrician. The expert report of Geoffrey Young, economist, dated February 27, 2001, has been filed in evidence, and it shows that, using the model proposed by plaintiff's counsel, and assuming full-time, full-year, employment, the present values of the wages the plaintiff would have earned as a construction electrician, and as a construction carpenter, are $1,008,400 and $864,857,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Plaintiff's counsel further submits that, with his permanent disabilities, the plaintiff will only be able to work part-time, at jobs that pay about minimum wage rates. He refers to the expert evidence, which shows that if the plaintiff worked an average of 20 hours per week, for 52 weeks per year, at a wage rate of $7.60 per hour, the present value of the wages he would have earned in the 41.9 years to age 65, is $198,600. So if the electrician model is used, the loss would be about $800,000. If the carpenter model is used, the loss would be about $670,000.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medical evidence, when combined with the opinion evidence of Mr. Trainor, vocational rehabilitation consultant, supports the conclusion that there is a risk that the plaintiff may not be able to work continuously, even on a part-time basis, and that there may be large gaps in his employment. Accordingly, it is argued that, although the plaintiff may be able to work more than the 20 hours per week assumed in the proposed model, the risk that there will be large gaps in his employment tends to cancel out that contingency. Mr. Jordan says that $800,000 would be an appropriate award, and further submits that the contingencies pointing to greater potential earnings are offset by the contingencies that the plaintiff will earn less than is predicted in the proposed model.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find that many occupations that were open to the plaintiff before his injury, are now beyond his capacity, and that there is a real risk that he will be unable to work more than part-time. There is a further risk that the plaintiff will only be able to hold jobs that pay about minimum wage rate. I would classify these risks as real and significant possibilities.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am satisfied that there is a reasonable probability that, had he not been injured, the plaintiff would have qualified himself for work as a tradesman by about three years after the trial, that is, about five years after the date of the accident. I am also satisfied that, absent his injury, the plaintiff would have worked as a tradesman as regularly as economic conditions allowed until age 65, and would have earned wages comparable to, and perhaps more, than the wages predicted for an average male construction carpenter in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arithmetical approach to calculating loss of future income, although useful, is only a starting point for the assessment of a plaintiff's loss of future earning capacity. But I think this approach has more relevance in this case than in many cases, because of the significant degree of certainty relating to the plaintiff's permanent disability. Leaving aside the question of contingencies for the moment, but having regard to the evidence and to the factors set out in Kwei v. Bosclair </w:t>
      </w:r>
      <w:hyperlink r:id="rId772"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it is my opinion that the amount of $700,000 is a reasonable estimate of the present value of the plaintiff's loss of future earning capacity. But in my view, there must be a reduction for contingencies, for several reasons. Even if the plaintiff had not been injured, full-time work might not have been available as a tradesman for significant periods of time, due to economic recession, or he might have been disabled from working by accidental injury or illness. On the other hand, the plaintiff has a strong motivation to improve himself, and even in his injured condition might well work more than 20 hours per week, and earn more than minimum wages. Dr. Hamm believes the plaintiff is capable of doing medium work with episodes of heavy work, and he has demonstrated the ability to work 40 hours per week, for several months. There is much uncertainty in predicting what may happen in the next 40 years, and I have decided that there should be a 15% reduction for contingencies, which amounts to a deduction of $105,000. The award for loss of future earning capacity will be $595,000.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special damages claimed by the plaintiff consist of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182"/>
        <w:gridCol w:w="1778"/>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Expenses incurred personally</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$10,855.00</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by the plaintiff</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973"/>
        <w:gridCol w:w="1987"/>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Expenses paid by Workers'</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18,817.46</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Compensation Board</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973"/>
        <w:gridCol w:w="1987"/>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Expenses paid by Medical</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6,753.75</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Services Plan</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60"/>
        <w:gridCol w:w="2718"/>
        <w:gridCol w:w="3241"/>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66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$36,426.21</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None of these items was in dispute, and I find that they have been conclusively proved. I therefore award the amount claimed, rounded to $36,425.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 claim has been advanced for the cost of future care, which would include such things as psychological counselling, psychotherapy and cognitive therapy. In her medical report to the Workers' Compensation Board dated January 28, 2000, Dr. Vernon-Wilkinson recommended "... counselling with a combination of behavioural psychotherapy and relaxation training to address headache and sleep disturbance from a more holistic perspective." Dr. Rocheleau, in his report dated January 12, 2001, has recommended physiotherapy for balance and co-ordination, and a tutor for any studies undertaken by the plaintiff. In his report of February 28,2001, Dr. Kaushansky recommends "ongoing counselling support" for the plaintiff and his partner. I find that the need for, and the value of, such future therapy has been established. Mr. Jordan suggests the sum of $20,000 would be appropriate for the present value of the cost of future care.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summary, my assessment of the plaintiff's damages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3346"/>
        <w:gridCol w:w="2195"/>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loss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$140,000</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660"/>
        <w:gridCol w:w="1882"/>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loss of income</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18,000</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660"/>
        <w:gridCol w:w="1882"/>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Impairment of future</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595,000</w:t>
            </w:r>
          </w:p>
        </w:tc>
        <w:tc>
          <w:tcPr>
            <w:tcW w:w="348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earning capacity</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48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3346"/>
        <w:gridCol w:w="2195"/>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36,425</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660"/>
        <w:gridCol w:w="1882"/>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60"/>
        <w:gridCol w:w="2614"/>
        <w:gridCol w:w="2927"/>
        <w:gridCol w:w="35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$809,425</w:t>
            </w:r>
          </w:p>
        </w:tc>
        <w:tc>
          <w:tcPr>
            <w:tcW w:w="348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will have judgement for 75% of his damages, that is $607,068.75, against the defendants Hanna and Jubenville.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Costs will follow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HALFYARD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August 7,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It has been brought to my attention since signing the Reasons for Judgment on June 1, 2001, that the style of cause is incorrect in spelling the name of the defendant as "Ashley Hannah". The correct spelling of the defendant is "Ashley Hanna", and that is how I have spelled that defendant's name throughout the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The Reasons for Judgment are hereby amended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HALFYARD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2" style="position:absolute;z-index:251890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73"/>
          <w:headerReference w:type="default" r:id="rId774"/>
          <w:footerReference w:type="even" r:id="rId775"/>
          <w:footerReference w:type="default" r:id="rId776"/>
          <w:headerReference w:type="first" r:id="rId777"/>
          <w:footerReference w:type="first" r:id="rId77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79" w:history="1">
        <w:r>
          <w:rPr>
            <w:rFonts w:ascii="arial" w:eastAsia="arial" w:hAnsi="arial" w:cs="arial"/>
            <w:b/>
            <w:bCs/>
            <w:i/>
            <w:color w:val="0077CC"/>
            <w:kern w:val="32"/>
            <w:sz w:val="28"/>
            <w:szCs w:val="32"/>
            <w:u w:val="single"/>
            <w:shd w:val="clear" w:color="auto" w:fill="FFFFFF"/>
            <w:lang w:val="en-US" w:eastAsia="en-US" w:bidi="ar-SA"/>
          </w:rPr>
          <w:t>MacLean v. Budget-Rent-A-Car of Edmonton Ltd., [2006] B.C.J. No. 2032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Cole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12 - 16, 19 and 21,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5,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Nos. M020416 and M023131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2032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1344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151 A.C.W.S. (3d) 850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Gordon MacLean, Plaintiff, and Budget-Rent-A-Car of Edmonton Ltd. and Clifford Neil, Defendants (Registry No. M020416) And between Gordon MacLean, Plaintiff, and Joseph Pestrak, Defendant (Registry No. M023131)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3"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9" w:name="Keywords_43"/>
      <w:bookmarkEnd w:id="279"/>
      <w:r>
        <w:rPr>
          <w:rFonts w:ascii="arial" w:eastAsia="arial" w:hAnsi="arial" w:cs="arial"/>
          <w:b/>
          <w:color w:val="000000"/>
          <w:sz w:val="20"/>
          <w:lang w:val="en-US" w:eastAsia="en-US" w:bidi="ar-SA"/>
        </w:rPr>
        <w:t>Damages — General damages — For personal injuries — Considerations — Aggravation of pre-existing injury — Pre-existing medical conditions — Non-pecuniary damages, including pain and suffering — Retroactive loss of income — Loss of earning capacity — Cost of future care — Action by the plaintiff against the defendants for damages sustained in two motor vehicle accidents allowed — Plaintiff was awarded non-pecuniary damages of $80,000, $289,000 for past income loss, $324,000 for loss of future earning capacity and $20,255 for future care costs — Damages were allocated between the defendants in the two accidents — Bulk of damages were attributed to defendant in second accident because that accident was more severe — Damages awarded against that defendant included 20 per cent reduction because of plaintiff's failure to mitigate.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Limits on compensatory damages — Duty to mitigate — Intervening cause — Action by the plaintiff against the defendants for damages sustained in two motor vehicle accidents allowed — Damages were allocated between the defendants in the two accidents — Bulk of damages were attributed to defendant in second accident because that accident was more severe — Damages awarded against that defendant included 20 per cent reduction because of plaintiff's failure to mitigate — Plaintiff's divorce was not an intervening cause.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injuries — Body injuries — Back — Neck — Head injuries — Headaches — Leg injuries — Knee — Action by the plaintiff against the defendants for damages sustained in two motor vehicle accidents allowed — Plaintiff was awarded non-pecuniary damages of $80,000, $289,000 for past income loss, $324,000 for loss of future earning capacity and $20,255 for future care costs — Damages were allocated between the defendants in the two accidents — Bulk of damages were attributed to defendant in second accident because that accident was more severe — Damages awarded against that defendant included 20 per cent reduction because of plaintiff's failure to mitigate.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Psychological injuries — Depression — Action by the plaintiff against the defendants for damages sustained in two motor vehicle accidents allowed — Plaintiff was awarded non-pecuniary damages of $80,000, $289,000 for past income loss, $324,000 for loss of future earning capacity and $20,255 for future care costs — Damages were allocated between the defendants in the two accidents — Bulk of damages were attributed to defendant in second accident because it was more severe — Damages awarded against that defendant included 20 per cent reduction because of plaintiff's failure to mitigate.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Intervening causes — Action by the plaintiff against the defendants for damages sustained in two motor vehicle accidents allowed — Damages were allocated between the defendants in the two accidents — Bulk of damages were attributed to defendant in second accident because it was more severe — Damages awarded against that defendant included 20 per cent reduction because of plaintiff's failure to mitigate — Plaintiff's divorce was not an intervening cause.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0" w:name="Case Summary_40"/>
            <w:bookmarkEnd w:id="28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MacLean against the defendants for damages sustained in two motor vehicle accidents -- First accident occurred in January 2000 and involved the defendants Budget-Rent-A-Car of Edmonton Ltd. and Neil -- Second accident occurred in May 2001 and involved the defendant Pestrak -- Liability was admitted by the defendants -- MacLean was currently 49 years old -- Before the accidents he was in good health and was physically active -- He worked as an investment advisor and was a top broker prior to the accidents -- MacLean had two pre-existing conditions -- His thoracic kyphosis produced a posture which put him at greater risk for soft tissue injury -- He also had a previous right knee injury which caused some occasional discomfort -- As a result of the first accident MacLean sustained soft tissue injuries to his spine and elbows -- He suffered headaches and had difficulty concentrating -- Symptoms affected his productivity at work -- One year after the first accident his symptoms improved -- He had more energy, became more focused and had more endurance at work which resulted in greater productivity -- Second accident resulted in contusions to various parts of MacLean's body, soft tissue injuries to his spine, headaches and associated cognitive difficulties which made it difficult for MacLean to concentrate since that time -- By August 2001 MacLean felt better physically but he suffered from depression -- Depression resulted because MacLean could not concentrate and perform his job at his previously high level -- His back, neck, shoulder and knee pain continued as of the date of the trial and were deemed to be chronic -- Defendants claimed that MacLean's depression was caused by his divorce -- Divorce was an intervening act which broke the chain of legal causation -- HELD: Action allowed -- MacLean's failure to follow his doctors' recommendations contributed to his depression -- Hs refusal to seek counselling was unreasonable -- Defendant from the second accident did not have to bear the cost of that refusal -- MacLean's damages for that accident would be reduced by 20 per cent for his failure to mitigate -- Marriage break-up was, at the time, an important factor that contributed to MacLean's depression but it was of a temporary nature and was only one of the factors that explained his depressive systems -- It therefore did not deflect the chain of causation so that the defendants' wrongful acts could no longer be regarded sufficient causes upon which to rest legal liability -- Pre-existing injuries were not relevant to the calculation of non-pecuniary damages as they were asymptomatic at the time of the accidents -- MacLean was depressed because of the accidents -- He also lost the ability to enjoy recreational activities -- Non-pecuniary damages were assessed at $95,000 -- Second accident was more severe -- Sum of $20,000 was attributed to the first accident and defendant in the second accident was liable for $75,000 which was reduced to $60,000 because of the failure to mitigate -- MacLean proved an income loss since the date of the first accident of $350,000 -- Defendants in the first accident were liable for $45,000 -- Defendant in the second accident was liable for $305,000 which was discounted to $244,000 -- Regarding future loss of earning capacity MacLean was, partly due to the accidents, unable to build or to maintain his business and would suffer future losses -- Before the accidents he excelled in his profession but now he was only an average broker -- His earning capacity was diminished by the accidents -- Reasonable award for loss of future earning capacity was $400,000 -- Defendants in the first accident were liable for $20,000 and the defendant in the second accident was liable for $380,000 which was discounted to $304,000 -- No award was made against the defendants in the first accident for future care costs but the defendant in the second accident was liable for $25,319 which was reduced to $20,255.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1" w:name="Counsel_44"/>
      <w:bookmarkEnd w:id="28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4"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Art Vertlieb, Q.C and Bandna Ubhi.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Budget-Rent-A-Car and Smith: Krista L. Prockiw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Pestrak: Jerry S. Adler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2" w:name="Judgment_44"/>
      <w:bookmarkEnd w:id="282"/>
      <w:r>
        <w:pict>
          <v:line id="_x0000_s1235" style="position:absolute;z-index:25180672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April 18, 2007.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3" w:name="COLE J."/>
            <w:bookmarkEnd w:id="283"/>
            <w:r>
              <w:rPr>
                <w:rFonts w:ascii="arial" w:eastAsia="arial" w:hAnsi="arial" w:cs="arial"/>
                <w:b/>
                <w:color w:val="000000"/>
                <w:sz w:val="30"/>
                <w:lang w:val="en-US" w:eastAsia="en-US" w:bidi="ar-SA"/>
              </w:rPr>
              <w:t>COLE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Gordon MacLean, was involved in two motor-vehicle accidents. The first one, on January 28, 2000, involved Budget-Rent-A-Car ("Accident #1") and the second, on May 21, 2001, involved Joseph Pestrak ("Accident #2). Liability is admitted. The issues for determination are:</w:t>
      </w:r>
      <w:r>
        <w:rPr>
          <w:rFonts w:ascii="arial" w:eastAsia="arial" w:hAnsi="arial" w:cs="arial"/>
          <w:sz w:val="20"/>
          <w:lang w:val="en-US" w:eastAsia="en-US" w:bidi="ar-SA"/>
        </w:rPr>
        <w:cr/>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failed to mitigate;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a </w:t>
      </w:r>
      <w:r>
        <w:rPr>
          <w:rFonts w:ascii="arial" w:eastAsia="arial" w:hAnsi="arial" w:cs="arial"/>
          <w:i/>
          <w:color w:val="000000"/>
          <w:sz w:val="20"/>
          <w:lang w:val="en-US" w:eastAsia="en-US" w:bidi="ar-SA"/>
        </w:rPr>
        <w:t>novus actus interveniens</w:t>
      </w:r>
      <w:r>
        <w:rPr>
          <w:rFonts w:ascii="arial" w:eastAsia="arial" w:hAnsi="arial" w:cs="arial"/>
          <w:color w:val="000000"/>
          <w:sz w:val="20"/>
          <w:lang w:val="en-US" w:eastAsia="en-US" w:bidi="ar-SA"/>
        </w:rPr>
        <w:t xml:space="preserve"> (a new intervening act) broke the chain of legal causation with respect to the plaintiff's depression;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quantum of non-pecuniary damages;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income loss;</w:t>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earning capacity;</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is now 49 years old. Prior to the accident he was in good health, was physically active, was a low-handicap golfer, rode dirt bikes with his children, and was very competitive.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started working as a heavy-duty mechanic apprentice when he was 20 years old. By the time he was in the third year of his apprenticeship he became the "lead hand of the shop". He then became a service manager when he completed his apprenticeship in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later moved back to British Columbia with his wife and worked as a car hauler before embarking on a career as an investment advisor. He became interested in this career when his father passed away and he met with his parents' investment advisor, Mr. Osterhoff, who was the manager of a branch of Pemberton Securities.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enrolled in the Canadian Securities Course and spent time studying while waiting at the ferry terminal to transport cars to Vancouver Island. He passed the Canadian Securities Course in 1989 with a 94.7% average. He then applied for an investment advisor position at Pemberton Securities, but he was told that he did not meet their minimum requirements because he didn't have his High School diploma. He was short only one Grade 12 course. Within two weeks he had completed the course and obtained his diploma. He then joined RBC Dominion Securities, which had taken over Pemberton Securities.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Over the next five years he worked 30-90 hours a week. He completed advanced investment courses and his business grew substantially. In 1990, 1991, and 1992 he was awarded the distinction of being included in the President's Club for having met the benchmarks set by the company for assets and revenue generated. In 1998, 1999, and 2000 he made the Executive Council which meant that he was one of the top 250 brokers out of 1,500 at RBC nationwide. He was scheduled to write an exam that would have qualified him to become a vice president at RBC but, according to him, because of the accidents, he was unable to adequately study and prepare for the exams.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ACCIDENT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January 28, 2000, the plaintiff was driving his family to a hockey tournament in which his son was playing when his vehicle was rear-ended. Damage to his vehicle was estimated at $6,385. His wife was a passenger in the vehicle; she described the force of the impact as "huge" and "jarring". The plaintiff described the impact as "devastating" because he anticipated what was going to happen. He said that he was dazed as a result of the impact and within a few hours he started to feel sore and stiff and he began to develop headaches. After attending the hockey game he took some Advil or Tylenol. He returned to British Columbia and saw his family doctor on January 31,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Dr. David Anderson, the plaintiff's long-time family doctor, examined the plaintiff and found that he had soft-tissue injury ("STI") of the cervical spine; STI of the thoracic spine; STI of the lumbar spine; STI of both elbows, specifically bilateral post traumatic lateral epicondylitis; headaches; and associated cognitive symptoms, namely, difficulty concentrating. The plaintiff indicated on the motor-vehicle questionnaire that he was not as focussed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had an underlying kypholordotic posture: a fixed head-forward posture that was asymptomatic when Accident #1 took place. This condition made him vulnerable to the effects of a hard collision on his upper body and contributed to the protracted soft-tissue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April 3, 2003, Dr. H.A. Anton, a specialist in physical medicine and rehabilitation diagnosed anterior wedging of mid and lower thoracic vertebrae, especially T-9. Dr. D. Anderson was of the view that the plaintiff did not experience a severe, sharp localized pain that would normally be associated with such an injury. He, however, deferred to Dr. Anton's opinion that on the balance of probabilities the compression fracture occurred in Accident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testified that after Accident #1 he was chronically fatigued and had problems sleeping and concentrating. He could not enjoy recreational activities that he had previously enjoyed, and his symptoms affected his productivity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Although, according to his wife, he was putting in the same number of hours, he did not have any of the "vim and vigour" that he had previously. She did not describe him as a complainer but said that he became irritable, short-tempered, and emotionally empty. She said that she and the children had to "walk around on egg shells" because of his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About a year after Accident #1 the plaintiff's symptoms began to improve. He had more energy, got more sleep, became more focused, and had more endurance at work, which resulted in greater productivity.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trial, the plaintiff described his state of mind just before Accident #2: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starting to feel good about myself. Spring always made me feel good, and I think what I recall, I was feeling pretty good. I was feeing quite a bit more energetic. So I felt the issues were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trial, Dr. D. Anderson described the plaintiff's physical pain symptoms, his inability to focus, and his low mood following Accident #1. He also described how the plaintiff was improving for a few months prior to Accident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D. Anderson recorded, in a June 8, 2001 letter, a telephone conversation that he had with the plaintiff's counsel at the time, Mr. Donald Anderson: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advised Mr. Anderson that I had seen Gordon McLean on January 31st 2000, three days after the accident, and history and examination had revealed soft tissue injuries of cervical, thoracic and lumbar spine, and both elbows. He had been advised to remain physically active, using </w:t>
      </w:r>
      <w:r>
        <w:rPr>
          <w:rFonts w:ascii="arial" w:eastAsia="arial" w:hAnsi="arial" w:cs="arial"/>
          <w:i/>
          <w:color w:val="000000"/>
          <w:sz w:val="20"/>
          <w:lang w:val="en-US" w:eastAsia="en-US" w:bidi="ar-SA"/>
        </w:rPr>
        <w:t>Tylenol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ibuprofen</w:t>
      </w:r>
      <w:r>
        <w:rPr>
          <w:rFonts w:ascii="arial" w:eastAsia="arial" w:hAnsi="arial" w:cs="arial"/>
          <w:color w:val="000000"/>
          <w:sz w:val="20"/>
          <w:lang w:val="en-US" w:eastAsia="en-US" w:bidi="ar-SA"/>
        </w:rPr>
        <w:t xml:space="preserve"> for analgesia if necessary.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further advised that following Mr. McLean's May 21, 2001 MVA I saw him the following day at which time he reported that prior to the current MVA he was still experiencing "some muscle spasms between the shoulder blades", had not yet been able to golf on account of these pains, but really had significant pain that he himself would classify as disabling for about a month and a half after the [first] accident. I had not seen him at all in the interval.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Reebye was of the view that there were no complications following the soft-tissue injuries sustained in Accident #1, which caused no permanent physical impairment. He wrote at page 2, in his August 10, 2005 report filed on behalf of the defendants,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This accident did not cause much disruption to his work activities, but it limited him in his leisure activities. He was feeling better and planning to get back to golfing and more physical activities when he was involved in the second motor vehicle accident on May 21, 2001.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January 28, 2000 accident caused symptoms but no disruption of work activities, which in my opinion, was appropriate. Injuries of this type heal within a few weeks, although aches and pains can be experienced for longer periods.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there were no complications following the soft tissue injuries sustained on January 28,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ACCIDENT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May 21, 2001, the defendant Joseph Pestrak ran a red light and his vehicle was struck by the plaintiff's. The plaintiff described the force of the impact as "severe." Just prior to impact, the plaintiff was pulling hard on the steering wheel to the right in order to avoid hitting Mr. Pestrak's vehicle. On impact, his body was flung to the left and his shoulder caught the door post between the front and rear doors. Both his knees hit the dashboard and his right knee broke it. His shoulder and knee hurt instantly.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There was $8,322 in damage to the plaintiff's vehicle, however, it was driveable and he went to his office and met with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his initial assessment of the plaintiff after Accident #2, Dr. D. Anderson, in his April 18, 2006 report, summarized his findings at page 4 as follows: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Contusions of left shoulder and upper arm, and both knees, particularly the right which had previously been injured.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injury to the lumbosacral spine, Québec Task Force grade 2.</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injury thoracolumbar spine, also grade 2.</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Associated congenitive difficulty: history of brief confusion at the scene, and difficulty concentrating since.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Associated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was prescribed simple analgesics: ibuprofen, Advil, and Tylenol.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Nine days after Accident #2, on May 30, 2001, the plaintiff had trouble concentrating, his sleep was disturbed, and he had low-back pain, left-shoulder pain, and continuing pain in his knees, particularly the right knee. He was prescribed medication for his sleep disturbance. The back pain prevented him from golfing.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By August 27, 2001, the plaintiff was feeling better physically but he became increasingly depressed. The plaintiff confirmed that his depression commenced after Accident #1, then improved, but worsened again after Accident #2. The plaintiff testified that his feelings were similar to those he experienced after Accident #1, except that this time they were more pronounced. He said: "The first accident knocked me down, and the second accident kicked the heck out of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His depression reduced his interest in his work, hobbies, and family. His self-esteem was poor and he had difficulty concentrating. His concentration difficulties were interfering with his work. His depression was increasing and therapy was needed. In the summer of 2001 he was given a new antidepressant Celexa and he continued with trazodone.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He was also taking medication to help him sleep; when things were at their worst, he never slept for more than an hour-and-a-half at a time and then maybe three or four hours a night because his shoulder or back pain would wake him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Towards the end of summer 2001 there was a slight improvement of his lower-back pain, but his right-knee and left-shoulder pain continued. His depression began to improve with the additional medication, but he still had problems concentrating.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September 11, 2001 terrorist attacks added new stress as the financial markets were adversely affected. On September 19 and 27, the consequences of the terrorist attacks were almost more than the plaintiff could handle.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From 2001 until 2003 he did not work as many hours as he had previously, and the hours he did work were not productive.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plaintiff's back pain continued and escalated over Christmas.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February 5, 2002, the plaintiff was still having difficulties concentrating.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January 18, 2003, the plaintiff's wife left him; she had developed a major drinking problem. Dr. D. Anderson, in his April 18, 2006 report, wrote at page 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This was a major crisis for him, and the following months were particularly difficult. He felt very low, at times almost suicidal in his thinking, but never developed suicidal intent.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September 2003 the plaintiff stopped taking Celexa and his mood was stable. In December 2003 he stopped taking trazodone.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January 2, 2004, Dr. D. Anderson received a report from a psychiatrist, Dr. Steven Anderson, which suggested that the plaintiff would benefit from cognitive behaviour therapy ("CBT"). Dr. D. Anderson wrote to the plaintiff and invited him to make an appointment to discuss the referral, but the plaintiff did not respond to that invitation. The plaintiff did arrange to see a physiotherapist, Diane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September 2004 the plaintiff's right shoulder was more painful than it had been in the previous few months and he was prescribed anti-inflammatory medication. He had been seeing Diane Lee for dry needling treatment on his back and she prescribed him an exercise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December 2004 his right shoulder pain worsened but then subsided.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November 2005 his right shoulder pain had been getting worse and he aggravated it by doing yard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December 2005 the plaintiff was sleeping poorly and he was more fatigued. He was diagnosed as having moderate obstructive sleep apnea and he was told to improve his fitness and lose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January 2006 he had improvement in his back but he was suffering more from his left shoulder and right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Dr. D. Anderson's final examination on April 15, 2006, the plaintiff was found to have some neck-pain symptoms that have persisted. He continues to have mild pain in his left and posterior neck. He will likely continue to have occasional episodes of low-back pain; they are likely to be brief and fairly easy to relieve with exercise. In Dr. D. Anderson's view, the low-back pains are partly due to his previously established tendencies and partly due to the motor-vehicle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plaintiff's back, neck, shoulder, and knee pain continue as of the date of trial and are now deemed to be chronic.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Reebye concluded from the history given by the plaintiff, and his consequent clinical examination, that Accident #2 was somewhat more severe than Accident #1, with similar types of acceleration/deceleration injuries in addition to soft-tissue injuries to both knees. Dr. Reebye anticipated that the plaintiff's aches and pains would settle down over time and with an appropriate balance of activities, rest, judicious use of medication, and strategies to improve his sleep and emotional problems. Dr. Reebye did not anticipate physical impairments as a result of the Accident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For several reasons, I give Dr. Reebye's report less weight than the reports of the other experts. First, Dr. Reebye did not have Dr. D. Anderson's most recent clinical records. Second, Dr. Reebye did not have the reports prepared by Drs. D. Anderson, S. Anderson, Anton, or Lila Quastel, the occupational therapist. Finally, although Dr. Reebye was of the view that the plaintiff's symptoms would improve over time with the appropriate balance of activities and rest, he did not say when the plaintiff would return to his pre-collision status, or if he ever would. If Dr. Reebye anticipated that the plaintiff would return to his pre-collision status, I would have expected him to say so in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According to the psychiatrist, Dr. S. Anderson, the plaintiff did not have a major depressive disorder under after Accident #2. He did not take antidepressants until about August 2001. He was clinically depressed up until approximately January 2002, and then from the fall of 2002 until May 2003. In the fall of 2003 he stopped taking the antidepressant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continues to have mechanical and myofascial back pain which is now chronic and it is unlikely that he will ever have complete and durable relief. With further therapy he may overcome the majority of the myofascial upper-back pain but golf is likely to aggravate it to some degree. It is unlikely that he will ever regain his previous comfort or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Anton was of the view that the plaintiff's lower-back pain is mechanical and has resulted from the deconditioning the plaintiff experienced after Accident #1. As the plaintiff continued to experience pain in his lower back when he attempted activities, the deconditioning worsened.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Shoulders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plaintiff injured both shoulders in Accident #1. The shoulder injuries were minor strains and his left-shoulder pain cleared within a few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Accident #2 he injured his left shoulder when it hit the doorpost. This left-shoulder pain contributed significantly to his fatigue and keeps him awake. Improvement in his left shoulder is expected because of the therapy with Diane Lee, but there will always be some aching discomfort which will flare up from time to time depending on his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Reebye noted the decrease in range of movement of the plaintiff's left shoulder, but is of the view that the ongoing symptoms are not the result of either motor-vehicle accident since he had experienced similar symptoms in that shoulder for a long time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plaintiff's right shoulder was injured in Accident #1. Pain persisted for several months but has desisted. His right shoulder will likely be more susceptible to development of rotator-cuff tendonitis. Accident #2 had essentially no effect on his right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Elbows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After Accident #1 both of the plaintiff's elbows were strained. The right resolved completely within a few months, the left persisted. There was no injury to the left elbow in Accident #2. The plaintiff has marked point tenderness over the left elbow and pain upon actively attempting to extend his wrist and fingers against resistance. This is often referred to as tennis elbow. This is being treated by dry needling and if that does not prove effective then cortisone injections have been recommended. The doctors believe that he will always have at least some left-elbow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reports that he often wakes up at night experiencing a numb feeling in his hands; in his left worse than his right. No treatment is recommended. Improvement will parallel that of his entire left upper extremity.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Knees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1980 the plaintiff fractured his right patella. By the mid-90s he had built up sufficient strength to continue with his golf.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Both knees were injured in Accident #2. He experienced severe pain for six weeks, which then returned to the pre-accident level within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His present difficulties with the left knee, particularly when kneeling, are only minimally related to Accident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Anton was of the view that the degenerative arthritis in the plaintiff's right knee may have been present prior to Accident #2 and that it would need to be treated in the future with medication and possibly surgery. Dr. Reebye, however, did not share this view with Dr. Anton.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am not satisfied that the plaintiff has proven that knee replacement is 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Mental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D. Anderson said that the plaintiff is experiencing reduced concentration and drive, sadness, disinterest in ordinary activities, insomnia, and fatigue. His sleep has been interrupted for the last five years. It is unlikely that his sleeping habits will return to normal until his mood returns to normal, his pain is controlled, he loses 30 pounds, or begins using a positive airway pressure apparatus.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S. Anderson provided two reports: one dated December 18, 2003 and the other March 2, 2006. In his latter report, which is similar to his first report, he wrote in the concluding paragraph at page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Long-term prognosis for Mr. Gordon MacLean, from a psychiatric point of view, continues to be fair. Mr. MacLean does not presently have a major psychiatric disorder. However, as long as he has chronic pain and insomnia, he will likely continue to have emotional symptoms (e.g. irritability and depressive symptoms) and not be able to return to his pre-accident level of emotional functioning. Mr. MacLean will also be at risk for developing a deterioration of his mood in future should his physical symptoms worsen. Enrolment in counselling would likely improve Mr. MacLean's coping ability but would not likely restore him to his premorbid level of emotional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grading of prognosis, according to Dr. S. Anderson, is excellent, good, fair, guarded, and poor.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As the plaintiff recovers from his back and left-shoulder injuries he will sleep better and that will assist his mood. Progress with CBT with his present counsellor, Gerry Bock, will also help his mood. Dr. D. Anderson does not expect that the plaintiff will improve significantly within the one to two years. He wrote in his April 18, 2006 report: "I doubt if he will regain his pre-injury buoyancy."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It is difficult to predict whether the plaintiff's concentration will improve. It is doubtful that he will ever regain his full pre-injury abilities. He should, over the next few years, enjoy some improvement. However, the longer his disabilities last, the more he becomes entrenched and the longer his recovery will take.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D. Anderson said that he would not be surprised if the plaintiff needed nortriptyline for at least ten years and maybe the rest of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DID THE PLAINTIFF FAIL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Anton, in his April 3, 2003 report, wrote at pages 14-16: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MacLean's situation after the accident was complicated by the development of depressed mood .... Mr. MacLean's family physician may wish to consider further treatment, such as referral to a psychiatrist. Mr. MacLean may also benefit from counselling with a registered psychologist.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Treatment of Mr. MacLean's depressed mood will be a priority in his management and the success of that will have a significant effect on his response to other treatment and long term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At trial, Dr. Anton was asked how he used the word "complicated". He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mean it in a couple of senses. Firstly, I use the term as we use it in the context of a medical complication. A depressive disorder is a medial condition, and it can be a medical complication of chronic pain and life changing events. So in Mr. MacLean's situation it may well be that it was a medical complication of his injuries, his pain and the changes in his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also use it in the sense of complicated in that it will affect response to treatment. And when we deal with people who have chronic pain, we frequently see that their emotional reaction, which can include depressed mood, affects not only how they perceive the pain, but also how they are able to participate in treatment and the type of treatment they should receive.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it's therefore important to ensure that the medical and rehabilitation treatment also includes assessment and treatment for any depressed mood.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It's also important to be aware that people with depressed mood, by the very nature of the problem, may lack energy. Fatigue is one of the manifestations, and they lose interest in doing things. So they have motivational problems. That means that can, in some instances, actually interfere with their participation in therapies, including active exercise programs.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Lila Quastel, the plaintiff's occupational therapist, wrote in her October 24, 2003 report at pages 25-26: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Dr. Anton recommended a referral to psychiatrist and a psychologist for psychotherapy/counselling (April 3, 2003). I certainly second that recommendation. He is an intelligent person and I anticipate he would profit from psychological help.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 needs psychological counselling. It is usually up to the treating psychologist to determine the number of required sessions. In the interim I recommend that he have access to a minimum of 30 sessions, and he may possibly need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S. Anderson, in his December 18, 2003 report, wrote at page 11 that the plaintiff: "was amenable to counselling." Further on he wrote at page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Due to the fact that Mr. MacLean has ongoing emotional difficulties and chronic physical symptoms, he would likely benefit from a referral to a registered psychologist for a course of psychotherapy. I would suggest that Mr. MacLean receive ten to twenty sessions of cognitive-behaviour therapy. The focus of the therapy should be on teaching Mr. MacLean cognitive-behaviour strategies to improve his motivation and drive as well as stress management strategies to reduce his irritability.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wrote at page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Long-term prognosis for Mr. Gordon MacLean, from a psychiatric point of view, is fair. Mr. MacLean does not presently have a major psychiatric disorder but he continues to have residual depressive symptoms. With further counselling Mr. MacLean's emotional state should continue to improve. However, as long as Mr. MacLean has chronic pain and functional limitations he will likely have depressive symptoms. He will also be at risk of developing a deterioration of his mood should his physical symptoms worsen in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Anton made it clear that treatment of the plaintiff's depressed mood was a priority and that successful treatment of his depression would have a significant effect on his response to other treatments and his long-term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S. Anderson, in his March 2, 2006 report. wrote at page 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would still suggest that Mr. MacLean be referred to a psychologist for cognitive-behavioural therapy. I gave the names of a number of psychologists in my last report. Mr. MacLean is a psychologically minded individual. He would benefit from learning strategies to reduce his irritability and improve his frustration tolerance. I would suggest that he receive ten to twenty sessions of cognitive-behavioural therapy (CBT) before re-assessing the need for further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wrote at pages 11-12: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Enrolment in counselling would likely improve Mr. MacLean's coping ability but would not likely restore him to his premorbid level of emotional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early January 2004 Dr. D. Anderson wrote the plaintiff a letter to follow up on these recommendations. The plaintiff did not do anything until March 2006, shortly before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 when asked why he did not follow the recommendations for psychological treatment, said that he did not know. There is no indication that he ever told the doctors why he did not follow up on their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 did consult a psychiatrist, an occupational therapist, and he took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505"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 Wilson J. stated at para.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seems to me that the line must be drawn between those plaintiffs who are capable of making a rational decision regarding their own care and those who, due to some pre-existing psychological condition, are not capable of making such a decision.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am satisfied that the plaintiff was capable of making the decision whether to see a psychologist. He was certainly capable of making decisions to see other healthcare professionals. While it is clear that successful treatment will not necessarily completely cure the plaintiff's various problems, I find that his refusal to follow his doctors' recommendations contributed to his depression. Therefore, I find that his refusal to seek counselling was unreasonable and that the defendant from Accident #2 should not bear the cost of that refusal. The plaintiff's damages for Accident#2 will be reduced by 20% for his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WAS THERE A </w:t>
      </w:r>
      <w:r>
        <w:rPr>
          <w:rFonts w:ascii="arial" w:eastAsia="arial" w:hAnsi="arial" w:cs="arial"/>
          <w:b/>
          <w:i/>
          <w:color w:val="000000"/>
          <w:sz w:val="20"/>
          <w:u w:val="single"/>
          <w:lang w:val="en-US" w:eastAsia="en-US" w:bidi="ar-SA"/>
        </w:rPr>
        <w:t>NOVUS ACTUS INTERVENIENS</w:t>
      </w:r>
      <w:r>
        <w:rPr>
          <w:rFonts w:ascii="arial" w:eastAsia="arial" w:hAnsi="arial" w:cs="arial"/>
          <w:b/>
          <w:color w:val="000000"/>
          <w:sz w:val="20"/>
          <w:u w:val="single"/>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defendants say that the plaintiff's depression was caused by his divorce, which constitutes an intervening act that broke the chain of legal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This issue was addressed by Mr. Justice Lambert in </w:t>
      </w:r>
      <w:r>
        <w:rPr>
          <w:rFonts w:ascii="arial" w:eastAsia="arial" w:hAnsi="arial" w:cs="arial"/>
          <w:b/>
          <w:i/>
          <w:color w:val="000000"/>
          <w:sz w:val="20"/>
          <w:lang w:val="en-US" w:eastAsia="en-US" w:bidi="ar-SA"/>
        </w:rPr>
        <w:t>Yoshikawa v. Yu</w:t>
      </w:r>
      <w:r>
        <w:rPr>
          <w:rFonts w:ascii="arial" w:eastAsia="arial" w:hAnsi="arial" w:cs="arial"/>
          <w:color w:val="000000"/>
          <w:sz w:val="20"/>
          <w:lang w:val="en-US" w:eastAsia="en-US" w:bidi="ar-SA"/>
        </w:rPr>
        <w:t xml:space="preserve">, </w:t>
      </w:r>
      <w:hyperlink r:id="rId780" w:history="1">
        <w:r>
          <w:rPr>
            <w:rFonts w:ascii="arial" w:eastAsia="arial" w:hAnsi="arial" w:cs="arial"/>
            <w:i/>
            <w:color w:val="0077CC"/>
            <w:sz w:val="20"/>
            <w:u w:val="single"/>
            <w:shd w:val="clear" w:color="auto" w:fill="FFFFFF"/>
            <w:lang w:val="en-US" w:eastAsia="en-US" w:bidi="ar-SA"/>
          </w:rPr>
          <w:t>[1996] B.C.J. No. 623</w:t>
        </w:r>
      </w:hyperlink>
      <w:r>
        <w:rPr>
          <w:rFonts w:ascii="arial" w:eastAsia="arial" w:hAnsi="arial" w:cs="arial"/>
          <w:color w:val="000000"/>
          <w:sz w:val="20"/>
          <w:lang w:val="en-US" w:eastAsia="en-US" w:bidi="ar-SA"/>
        </w:rPr>
        <w:t xml:space="preserve"> (C.A.) at paras. 21 and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other important principle, for the purposes of this case, as a principle applicable in dealing with questions of proximate cause, is the principle that a new intervening act, occurring after the defendant's wrongful act, may give such a pronounced new impetus or deflection to the chain of causation that the original wrongful act of the defendant is no longer regarded as a sufficient cause upon which to rest legal liability. That principle is sometimes referred to as involving the occurrence of a </w:t>
      </w:r>
      <w:r>
        <w:rPr>
          <w:rFonts w:ascii="arial" w:eastAsia="arial" w:hAnsi="arial" w:cs="arial"/>
          <w:i/>
          <w:color w:val="000000"/>
          <w:sz w:val="20"/>
          <w:lang w:val="en-US" w:eastAsia="en-US" w:bidi="ar-SA"/>
        </w:rPr>
        <w:t>novus actus interveniens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application of the principle relating to intervening acts involves the difficult task of finding the facts correctly on the basis of the evidence. It also requires a very nice judgment in balancing the causes of the psychological symptoms in order to decide whether the causes arising from the plaintiff's own pre-existing subjective state and the plaintiff's own individual conduct as well as from other sources such as the advice and actions of family, friends and healers, have had an independent new impetus or deflection on the existing chain of causation flowing through the defendant's wrongful act, to such an extent that the defendant's wrongful act must be regarded as a cause-in-fact for which no legal recovery is permitted. At that point, the defendant's wrongful act would no longer be a sufficient "proximate cause" in law. An example of a case where the cause-in-fact test was met, but the proximate cause test was not met because the plaintiff's psychological symptoms were brought about by his own new acts after the accident and by his grief, so that the chain of causation was given a new impetus and deflection by his own acts which therefore constituted an intervening causative force, is to be found in </w:t>
      </w:r>
      <w:r>
        <w:rPr>
          <w:rFonts w:ascii="arial" w:eastAsia="arial" w:hAnsi="arial" w:cs="arial"/>
          <w:i/>
          <w:color w:val="000000"/>
          <w:sz w:val="20"/>
          <w:lang w:val="en-US" w:eastAsia="en-US" w:bidi="ar-SA"/>
        </w:rPr>
        <w:t>Beecham v. Hughes</w:t>
      </w:r>
      <w:r>
        <w:rPr>
          <w:rFonts w:ascii="arial" w:eastAsia="arial" w:hAnsi="arial" w:cs="arial"/>
          <w:color w:val="000000"/>
          <w:sz w:val="20"/>
          <w:lang w:val="en-US" w:eastAsia="en-US" w:bidi="ar-SA"/>
        </w:rPr>
        <w:t xml:space="preserve"> </w:t>
      </w:r>
      <w:hyperlink r:id="rId781" w:history="1">
        <w:r>
          <w:rPr>
            <w:rFonts w:ascii="arial" w:eastAsia="arial" w:hAnsi="arial" w:cs="arial"/>
            <w:i/>
            <w:color w:val="0077CC"/>
            <w:sz w:val="20"/>
            <w:u w:val="single"/>
            <w:shd w:val="clear" w:color="auto" w:fill="FFFFFF"/>
            <w:lang w:val="en-US" w:eastAsia="en-US" w:bidi="ar-SA"/>
          </w:rPr>
          <w:t>(1988), 27 B.C.L.R. (2d) 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 was prescribed anti-depressant medication in August 2001. He continued to take that medication until September 2003. The plaintiff's depression following the accidents was likely partially due to marital difficulties, particularly since he once had a very close relationship with his wife and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plaintiff's wife was injured in Accident #1. According to the plaintiff his wife increased her alcohol consumption following that accident. In the fall of 2000, six months prior to Accident #2, around November 2001, difficulties with his marriage were becoming more apparent. The fact that his wife was struggling with alcoholism bore heavily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According to Dr. S. Anderson, the plaintiff became increasingly concerned about his wife's drinking following Accident #2, particularly in the summer of 2002. Dr. S. Anderson, in his December 18, 2003 report, wrote at pages 6-7: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marital difficulties contributed to his depression. Mr. MacLean said "I hit rock bottom for the second time in the fall of 2002 until May 2003. I saw everything I had worked for disappearing from under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When the plaintiff's wife left him in January 2003, she told him that she was going to visit some friends. She then had papers served on him at his office. At trial, the plaintiff described his reaction: "She went to visit some friends, had the papers delivered to my office. It was crushing. It was probably the worst time of my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 discussed the separation with Dr. Anton and felt at that point that the most important part of his life had just fallen apart. He said that the next two or three months were pretty much devastating. He found that the separation affected his work for a time until he got his head around it and they were able to settle their affairs quite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his December 18, 2003 report, Dr. S. Anderson noted that the plaintiff's mood had markedly improved in recent months and that he was almost back to normal. Dr. S. Anderson wrote at pages 15 - 16: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MacLean did start a new job at National Bank Financial in May 2002. He also began doing a large renovation project at that time. His mood was improving until the fall of 2002 when his wife threatened to leave the marriage. The marked exacerbation of his emotional difficulties in the fall of 2002 was therefore likely primarily due to marital strain.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S. Anderson also wrote that the plaintiff continued to have depressive symptoms that overlapped with his symptoms due to chronic pain which included insomnia, weight gain, fatigue (approximately 30% of normal energy according to the plaintiff), decreased motivation/drive, irritability and impatience, decreased cognitive functioning, difficulty concentrating and with multi-tasking, decreased self-esteem, and decreased self-confidence.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Dr. S. Anderson's March 2, 2006 report he wrote at page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I first assessed Mr. MacLean I diagnosed him with having residual depressive symptoms including irritability, reduced motivation and drive and reduced concentration and focus. Mr. MacLean continues to have depressive symptoms but they are not of sufficient severity to warrant a diagnosis of a major depressive disorder. There is no evidence that Mr. MacLean's ongoing depressive symptoms are still partly due to difficulties with his ex-wife. Mr. MacLean has a good relationship with his present girlfriend and he has a good relationship with his children. Although Mr. MacLean has had a reduction of his income since the MVA's occurred, he is not under significant financial duress. The most likely explanation for his ongoing depressive symptoms is that they are due to chronic pain, functional limitations (e.g. inability to play golf), insomnia and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Considering all of the evidence I am satisfied that the break-up of the plaintiff's marriage was, at the time, an important factor that contributed to the plaintiff's depression, but it was of a temporary nature and was only one of the factors that explains his depressive symptoms. Therefore, the break-up of the marriage was not an event of such a kind and extent that it deflected the chain of causation so that the original wrongful acts of the defendants can no longer be regarded as sufficient causes upon which to rest legal liability. To put it another way, the plaintiff's separation was not sufficient to give the chain of causation a new impetus which constituted an intervening causative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defendants submit that the plaintiff's non-pecuniary damages should be reduced because of pre-existing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 had two pre-existing conditions: his thoracic kyphosis produced a posture which put him at greater risk for soft-tissue injury. He also had a previous right-knee injury which caused him some occasional discomfort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Major J. set out the general principles of causation at paras. 17-19: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now necessary, nor has it ever been, for the plaintiff to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There will frequently be a myriad of other background events which were necessary preconditions to the injury occurring. ... As long as a defendant is part of the cause of an injury, the defendant is liable, even though his act alone was not enough to create the injury. There is no basis for a reduction of liability because of the existence of other preconditions: defendants remain liable for all injuries caused or contributed to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does not excuse a defendant from liability merely because other causal factors for which he is not responsible also helped produce the harm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Thus, it does not necessarily flow from the fact that the plaintiff had pre-existing injuries that non-pecuniary damages must be reduced. The plaintiff's pre-existing injuries were asymptomatic at the time of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accept Dr. D. Anderson's findings in respect of the injuries the plaintiff suffered in these two motor-vehicle accidents. He was thorough in his presentation, appeared to be fair and objective in his opinion, and I place a great deal of weight on his report. I found Dr. S. Anderson's two reports to be fair and objective. Dr. Reebye's report was of less help because he did not give any opinion as to when, if ever, the plaintiff will return to his pre-collision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am satisfied that the plaintiff's pre-existing conditions were asymptomatic prior to the accidents and that the accidents either triggered or made worse these conditions. I am satisfied that the plaintiff developed depressive symptoms as a result of his inability to concentrate and to perform his job at his previously high level. The chronic pain he suffers causes him to lose sleep and exacerbates his concentration problems, which contributes to his depression. Medication has helped both his insomnia and his depression but he continues to have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plaintiff has lost the ability to enjoy recreational activities such as mountain biking and golf. He is only now attempting to get back into golf and can only bike on flat surfaces. These activities gave him an outlet to keep in shape and were relaxing which gave him a balance with his busy work schedule. There were also activities such as camping and biking that he used to enjoy with his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plaintiff says that his non-pecuniary damages are in the range of $100,000. He relies on </w:t>
      </w:r>
      <w:r>
        <w:rPr>
          <w:rFonts w:ascii="arial" w:eastAsia="arial" w:hAnsi="arial" w:cs="arial"/>
          <w:b/>
          <w:i/>
          <w:color w:val="000000"/>
          <w:sz w:val="20"/>
          <w:lang w:val="en-US" w:eastAsia="en-US" w:bidi="ar-SA"/>
        </w:rPr>
        <w:t>Prince-Wright v. Copeman</w:t>
      </w:r>
      <w:r>
        <w:rPr>
          <w:rFonts w:ascii="arial" w:eastAsia="arial" w:hAnsi="arial" w:cs="arial"/>
          <w:color w:val="000000"/>
          <w:sz w:val="20"/>
          <w:lang w:val="en-US" w:eastAsia="en-US" w:bidi="ar-SA"/>
        </w:rPr>
        <w:t xml:space="preserve">, </w:t>
      </w:r>
      <w:hyperlink r:id="rId782" w:history="1">
        <w:r>
          <w:rPr>
            <w:rFonts w:ascii="arial" w:eastAsia="arial" w:hAnsi="arial" w:cs="arial"/>
            <w:i/>
            <w:color w:val="0077CC"/>
            <w:sz w:val="20"/>
            <w:u w:val="single"/>
            <w:shd w:val="clear" w:color="auto" w:fill="FFFFFF"/>
            <w:lang w:val="en-US" w:eastAsia="en-US" w:bidi="ar-SA"/>
          </w:rPr>
          <w:t>[2005] B.C.J. No. 1997</w:t>
        </w:r>
      </w:hyperlink>
      <w:r>
        <w:rPr>
          <w:rFonts w:ascii="arial" w:eastAsia="arial" w:hAnsi="arial" w:cs="arial"/>
          <w:color w:val="000000"/>
          <w:sz w:val="20"/>
          <w:lang w:val="en-US" w:eastAsia="en-US" w:bidi="ar-SA"/>
        </w:rPr>
        <w:t xml:space="preserve">, </w:t>
      </w:r>
      <w:hyperlink r:id="rId782" w:history="1">
        <w:r>
          <w:rPr>
            <w:rFonts w:ascii="arial" w:eastAsia="arial" w:hAnsi="arial" w:cs="arial"/>
            <w:i/>
            <w:color w:val="0077CC"/>
            <w:sz w:val="20"/>
            <w:u w:val="single"/>
            <w:shd w:val="clear" w:color="auto" w:fill="FFFFFF"/>
            <w:lang w:val="en-US" w:eastAsia="en-US" w:bidi="ar-SA"/>
          </w:rPr>
          <w:t>2005 BCSC 1306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Schellak v. Barr</w:t>
      </w:r>
      <w:r>
        <w:rPr>
          <w:rFonts w:ascii="arial" w:eastAsia="arial" w:hAnsi="arial" w:cs="arial"/>
          <w:color w:val="000000"/>
          <w:sz w:val="20"/>
          <w:lang w:val="en-US" w:eastAsia="en-US" w:bidi="ar-SA"/>
        </w:rPr>
        <w:t xml:space="preserve">, </w:t>
      </w:r>
      <w:hyperlink r:id="rId783" w:history="1">
        <w:r>
          <w:rPr>
            <w:rFonts w:ascii="arial" w:eastAsia="arial" w:hAnsi="arial" w:cs="arial"/>
            <w:i/>
            <w:color w:val="0077CC"/>
            <w:sz w:val="20"/>
            <w:u w:val="single"/>
            <w:shd w:val="clear" w:color="auto" w:fill="FFFFFF"/>
            <w:lang w:val="en-US" w:eastAsia="en-US" w:bidi="ar-SA"/>
          </w:rPr>
          <w:t>[2003] B.C.J. No. 5</w:t>
        </w:r>
      </w:hyperlink>
      <w:r>
        <w:rPr>
          <w:rFonts w:ascii="arial" w:eastAsia="arial" w:hAnsi="arial" w:cs="arial"/>
          <w:color w:val="000000"/>
          <w:sz w:val="20"/>
          <w:lang w:val="en-US" w:eastAsia="en-US" w:bidi="ar-SA"/>
        </w:rPr>
        <w:t xml:space="preserve">, </w:t>
      </w:r>
      <w:hyperlink r:id="rId783" w:history="1">
        <w:r>
          <w:rPr>
            <w:rFonts w:ascii="arial" w:eastAsia="arial" w:hAnsi="arial" w:cs="arial"/>
            <w:i/>
            <w:color w:val="0077CC"/>
            <w:sz w:val="20"/>
            <w:u w:val="single"/>
            <w:shd w:val="clear" w:color="auto" w:fill="FFFFFF"/>
            <w:lang w:val="en-US" w:eastAsia="en-US" w:bidi="ar-SA"/>
          </w:rPr>
          <w:t>2003 BCCA 5</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Coles v. Spriggs</w:t>
      </w:r>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[1997] B.C.J. No. 336</w:t>
        </w:r>
      </w:hyperlink>
      <w:r>
        <w:rPr>
          <w:rFonts w:ascii="arial" w:eastAsia="arial" w:hAnsi="arial" w:cs="arial"/>
          <w:color w:val="000000"/>
          <w:sz w:val="20"/>
          <w:lang w:val="en-US" w:eastAsia="en-US" w:bidi="ar-SA"/>
        </w:rPr>
        <w:t xml:space="preserve"> (S.C.), aff'd </w:t>
      </w:r>
      <w:hyperlink r:id="rId785" w:history="1">
        <w:r>
          <w:rPr>
            <w:rFonts w:ascii="arial" w:eastAsia="arial" w:hAnsi="arial" w:cs="arial"/>
            <w:i/>
            <w:color w:val="0077CC"/>
            <w:sz w:val="20"/>
            <w:u w:val="single"/>
            <w:shd w:val="clear" w:color="auto" w:fill="FFFFFF"/>
            <w:lang w:val="en-US" w:eastAsia="en-US" w:bidi="ar-SA"/>
          </w:rPr>
          <w:t>[1998] B.C.J. No. 2753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defendants say that the range of non-pecuniary damages is $60,000 - $90,000 and they rely on </w:t>
      </w:r>
      <w:r>
        <w:rPr>
          <w:rFonts w:ascii="arial" w:eastAsia="arial" w:hAnsi="arial" w:cs="arial"/>
          <w:b/>
          <w:i/>
          <w:color w:val="000000"/>
          <w:sz w:val="20"/>
          <w:lang w:val="en-US" w:eastAsia="en-US" w:bidi="ar-SA"/>
        </w:rPr>
        <w:t>O'Ruairc (Guardian at litem of) v. Pelletier</w:t>
      </w:r>
      <w:r>
        <w:rPr>
          <w:rFonts w:ascii="arial" w:eastAsia="arial" w:hAnsi="arial" w:cs="arial"/>
          <w:color w:val="000000"/>
          <w:sz w:val="20"/>
          <w:lang w:val="en-US" w:eastAsia="en-US" w:bidi="ar-SA"/>
        </w:rPr>
        <w:t xml:space="preserve">, </w:t>
      </w:r>
      <w:hyperlink r:id="rId786" w:history="1">
        <w:r>
          <w:rPr>
            <w:rFonts w:ascii="arial" w:eastAsia="arial" w:hAnsi="arial" w:cs="arial"/>
            <w:i/>
            <w:color w:val="0077CC"/>
            <w:sz w:val="20"/>
            <w:u w:val="single"/>
            <w:shd w:val="clear" w:color="auto" w:fill="FFFFFF"/>
            <w:lang w:val="en-US" w:eastAsia="en-US" w:bidi="ar-SA"/>
          </w:rPr>
          <w:t>[2004] B.C.J. No. 2592</w:t>
        </w:r>
      </w:hyperlink>
      <w:r>
        <w:rPr>
          <w:rFonts w:ascii="arial" w:eastAsia="arial" w:hAnsi="arial" w:cs="arial"/>
          <w:color w:val="000000"/>
          <w:sz w:val="20"/>
          <w:lang w:val="en-US" w:eastAsia="en-US" w:bidi="ar-SA"/>
        </w:rPr>
        <w:t xml:space="preserve">, </w:t>
      </w:r>
      <w:hyperlink r:id="rId786" w:history="1">
        <w:r>
          <w:rPr>
            <w:rFonts w:ascii="arial" w:eastAsia="arial" w:hAnsi="arial" w:cs="arial"/>
            <w:i/>
            <w:color w:val="0077CC"/>
            <w:sz w:val="20"/>
            <w:u w:val="single"/>
            <w:shd w:val="clear" w:color="auto" w:fill="FFFFFF"/>
            <w:lang w:val="en-US" w:eastAsia="en-US" w:bidi="ar-SA"/>
          </w:rPr>
          <w:t>2004 BCSC 1633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Jones v. Trudel</w:t>
      </w:r>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[1998] B.C.J. No. 1748</w:t>
        </w:r>
      </w:hyperlink>
      <w:r>
        <w:rPr>
          <w:rFonts w:ascii="arial" w:eastAsia="arial" w:hAnsi="arial" w:cs="arial"/>
          <w:color w:val="000000"/>
          <w:sz w:val="20"/>
          <w:lang w:val="en-US" w:eastAsia="en-US" w:bidi="ar-SA"/>
        </w:rPr>
        <w:t xml:space="preserve"> (S.C.), and </w:t>
      </w:r>
      <w:r>
        <w:rPr>
          <w:rFonts w:ascii="arial" w:eastAsia="arial" w:hAnsi="arial" w:cs="arial"/>
          <w:b/>
          <w:i/>
          <w:color w:val="000000"/>
          <w:sz w:val="20"/>
          <w:lang w:val="en-US" w:eastAsia="en-US" w:bidi="ar-SA"/>
        </w:rPr>
        <w:t>Laramie-Bartman v. Eager</w:t>
      </w:r>
      <w:r>
        <w:rPr>
          <w:rFonts w:ascii="arial" w:eastAsia="arial" w:hAnsi="arial" w:cs="arial"/>
          <w:color w:val="000000"/>
          <w:sz w:val="20"/>
          <w:lang w:val="en-US" w:eastAsia="en-US" w:bidi="ar-SA"/>
        </w:rPr>
        <w:t xml:space="preserve">, </w:t>
      </w:r>
      <w:hyperlink r:id="rId788" w:history="1">
        <w:r>
          <w:rPr>
            <w:rFonts w:ascii="arial" w:eastAsia="arial" w:hAnsi="arial" w:cs="arial"/>
            <w:i/>
            <w:color w:val="0077CC"/>
            <w:sz w:val="20"/>
            <w:u w:val="single"/>
            <w:shd w:val="clear" w:color="auto" w:fill="FFFFFF"/>
            <w:lang w:val="en-US" w:eastAsia="en-US" w:bidi="ar-SA"/>
          </w:rPr>
          <w:t>[2002] B.C.J. No. 1832</w:t>
        </w:r>
      </w:hyperlink>
      <w:r>
        <w:rPr>
          <w:rFonts w:ascii="arial" w:eastAsia="arial" w:hAnsi="arial" w:cs="arial"/>
          <w:color w:val="000000"/>
          <w:sz w:val="20"/>
          <w:lang w:val="en-US" w:eastAsia="en-US" w:bidi="ar-SA"/>
        </w:rPr>
        <w:t xml:space="preserve">, </w:t>
      </w:r>
      <w:hyperlink r:id="rId788" w:history="1">
        <w:r>
          <w:rPr>
            <w:rFonts w:ascii="arial" w:eastAsia="arial" w:hAnsi="arial" w:cs="arial"/>
            <w:i/>
            <w:color w:val="0077CC"/>
            <w:sz w:val="20"/>
            <w:u w:val="single"/>
            <w:shd w:val="clear" w:color="auto" w:fill="FFFFFF"/>
            <w:lang w:val="en-US" w:eastAsia="en-US" w:bidi="ar-SA"/>
          </w:rPr>
          <w:t>2002 BCSC 1175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cases provided are useful but, in the final analysis, they turn on their own facts. I am satisfied that the plaintiff was a credible witness and I assess his non-pecuniary damages at $95,000.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Considering that Accident #2 was more severe, and that the plaintiff appeared to be improving immediately prior Accident #2, it is my view, considering the injuries suffered in Accident #1, that the defendant in Accident #1 is liable for $20,000 and that the defendant in Accident #2 is liable for $75,000 discounted to $60,000 for the plaintiff's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INCOME TO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plaintiff's income from 1995 to the present was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Year</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T4 Earnings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1882"/>
        <w:gridCol w:w="74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1995</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$117,284</w:t>
            </w:r>
          </w:p>
        </w:tc>
        <w:tc>
          <w:tcPr>
            <w:tcW w:w="727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1996</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$211,853</w:t>
            </w:r>
          </w:p>
        </w:tc>
        <w:tc>
          <w:tcPr>
            <w:tcW w:w="727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1997</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$283,656</w:t>
            </w:r>
          </w:p>
        </w:tc>
        <w:tc>
          <w:tcPr>
            <w:tcW w:w="727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1998</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$300,543</w:t>
            </w:r>
          </w:p>
        </w:tc>
        <w:tc>
          <w:tcPr>
            <w:tcW w:w="727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1999</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$309,020</w:t>
            </w:r>
          </w:p>
        </w:tc>
        <w:tc>
          <w:tcPr>
            <w:tcW w:w="727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$432,255</w:t>
            </w:r>
          </w:p>
        </w:tc>
        <w:tc>
          <w:tcPr>
            <w:tcW w:w="727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$310,250</w:t>
            </w:r>
          </w:p>
        </w:tc>
        <w:tc>
          <w:tcPr>
            <w:tcW w:w="727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$221,457</w:t>
            </w:r>
          </w:p>
        </w:tc>
        <w:tc>
          <w:tcPr>
            <w:tcW w:w="727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2003</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$289,248</w:t>
            </w:r>
          </w:p>
        </w:tc>
        <w:tc>
          <w:tcPr>
            <w:tcW w:w="727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2004</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$205,854</w:t>
            </w:r>
          </w:p>
        </w:tc>
        <w:tc>
          <w:tcPr>
            <w:tcW w:w="727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2005</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$324,692</w:t>
            </w:r>
          </w:p>
        </w:tc>
        <w:tc>
          <w:tcPr>
            <w:tcW w:w="72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plaintiff claims to have lost a considerable amount of business and therefore income as a result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plaintiff called his ex-wife who, in the early days, assisted him in his office and during his move to National Bank Financial. Mrs. MacLean noted that after 2000, the plaintiff was uncharacteristically short with his clients and he would not accommodate them as he had before the accidents. She noted that he did not put in the same hours and did not have any of the "vim and vigour" that he had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David Llewellyn was the investment advisor at RBC who hired the plaintiff. He was also the plaintiff's manager. He described the plaintiff as a high performer, self-motivated, and someone who enjoyed the business. Mr. Llewellyn said that in the latter half of 2001 the plaintiff was not seen in the office as much, and was not opening new accounts as he had in the past. Mr. Llewellyn was aware of at least one or two incidents when the plaintiff had lost accounts with seven figures.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David Bromley was an investment advisor with the plaintiff at RBC and switched to National Bank Financial in 2002. He took approximately 75 to 80% of his clients with him. Mr. Bromley noted that the plaintiff, in the last few years, has not been as motivated as he was in the beginning and he does not seem to be focussed on building his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Steve Galimi, the plaintiff's current supervisor at National, was aware that the plaintiff was a higher achiever when the plaintiff was with RBC but now considers his performance to be average. According to Mr. Galimi, the plaintiff lacks motivation. Mr. Galimi described the financial markets in 2002 as "shaky" because they were rebounding from the effects of September 11, 2001. In 2003 they started to see things rebound and they took off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defendants submit that an adverse inference should be drawn against the plaintiff for his failure to call his assistant, Glen Helminger. The defendants rely on </w:t>
      </w:r>
      <w:r>
        <w:rPr>
          <w:rFonts w:ascii="arial" w:eastAsia="arial" w:hAnsi="arial" w:cs="arial"/>
          <w:b/>
          <w:i/>
          <w:color w:val="000000"/>
          <w:sz w:val="20"/>
          <w:lang w:val="en-US" w:eastAsia="en-US" w:bidi="ar-SA"/>
        </w:rPr>
        <w:t>Moini v. Jude</w:t>
      </w:r>
      <w:r>
        <w:rPr>
          <w:rFonts w:ascii="arial" w:eastAsia="arial" w:hAnsi="arial" w:cs="arial"/>
          <w:color w:val="000000"/>
          <w:sz w:val="20"/>
          <w:lang w:val="en-US" w:eastAsia="en-US" w:bidi="ar-SA"/>
        </w:rPr>
        <w:t xml:space="preserve">, </w:t>
      </w:r>
      <w:hyperlink r:id="rId789" w:history="1">
        <w:r>
          <w:rPr>
            <w:rFonts w:ascii="arial" w:eastAsia="arial" w:hAnsi="arial" w:cs="arial"/>
            <w:i/>
            <w:color w:val="0077CC"/>
            <w:sz w:val="20"/>
            <w:u w:val="single"/>
            <w:shd w:val="clear" w:color="auto" w:fill="FFFFFF"/>
            <w:lang w:val="en-US" w:eastAsia="en-US" w:bidi="ar-SA"/>
          </w:rPr>
          <w:t>[1996] B.C.J. No. 1296</w:t>
        </w:r>
      </w:hyperlink>
      <w:r>
        <w:rPr>
          <w:rFonts w:ascii="arial" w:eastAsia="arial" w:hAnsi="arial" w:cs="arial"/>
          <w:color w:val="000000"/>
          <w:sz w:val="20"/>
          <w:lang w:val="en-US" w:eastAsia="en-US" w:bidi="ar-SA"/>
        </w:rPr>
        <w:t xml:space="preserve"> (S.C.), for the proposition that the court may exercise its discretion to draw an adverse inference if a party fails to call a witness whose evidence would be relevant to any important aspect of a matter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defendants say that Mr. Helminger was in a position to judge the plaintiff's performance, temperament, and portfolio of clients both before and after the accidents. Mr. Helminger was the plaintiff's assistant for three to five years prior to Accident #1 and remained with him as his assistant at RBC until the latter part of 2004. Mr. Helminger, they say, was in a position to screen the plaintiff's calls and would have been in the front line of any complaints. Mr. Helminger is still working at the same office as the plaintiff, but he is now an investment advisor.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do not draw the adverse inference the defendants suggest. If Mr. Helminger could have provided evidence that would have assisted the defence, the defendants could have called him as their witness. There is no suggestion that Mr. Helminger would have given evidence that would have benefited the defence. I am satisfied that it is more likely that his evidence would have mirrored the plaintiff's. Finally, there is a significant body of evidence from individuals who worked with the plaintiff and testified about his changing work habits and attitude towards his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plaintiff claims that at the end of 1999 he had approximately $60 million under administration and $5 million of additional funds were "off the books". Now he has a similar amount under administration but less than $1 million off the books. Therefore, the plaintiff says that because of the accident he was unable to retain his existing clients, build the assets of those existing clients, and obtain new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plaintiff submits that his loss of income can be ascertained by comparing what he actually earned with the income that was required to remain on the Executive Council, which he was on prior to Accident #1. Pursuant to this approach, the plaintiff says that he would have earned the following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Year</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Income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50"/>
        <w:gridCol w:w="1882"/>
        <w:gridCol w:w="74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2001</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$392,000</w:t>
            </w:r>
          </w:p>
        </w:tc>
        <w:tc>
          <w:tcPr>
            <w:tcW w:w="727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2002</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$367,000</w:t>
            </w:r>
          </w:p>
        </w:tc>
        <w:tc>
          <w:tcPr>
            <w:tcW w:w="727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2003</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$366.000</w:t>
            </w:r>
          </w:p>
        </w:tc>
        <w:tc>
          <w:tcPr>
            <w:tcW w:w="727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2004</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$432,000</w:t>
            </w:r>
          </w:p>
        </w:tc>
        <w:tc>
          <w:tcPr>
            <w:tcW w:w="7270"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2005</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$499,000</w:t>
            </w:r>
          </w:p>
        </w:tc>
        <w:tc>
          <w:tcPr>
            <w:tcW w:w="72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While I am prepared to take into account the level of income required to remain on the Executive Council, I do not place a great deal of weight on it since it appears to be more of a target or an incentive.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Moreover, there are a variety of factors that have contributed to the plaintiff's past income loss, not all of which can be attributed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First, the terrorist attacks on September 11, 2001 had a negative effect on the markets in both 2001 and 2002. That negative effect was taken into account in part by the decrease in the level of income required to make the Executive Council over those years. However, there is no evidence as to whether the plaintiff's clients suffered more losses than would be reflected in the decrease in the target set for the Executive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Second, in early 2002, the plaintiff was approached by National Bank Financial. He agreed to join in May 2002. National offered him a $525,000 forgivable loan to compensate him for his expected loss of business. He was to receive $75,000 a year for seven years as income (to be included on his T4s).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plaintiff says that he moved to National primarily in order to get a fresh start. When asked if the move worked out for him he responded: "Simply, no. In some ways it did." He went on to say that he did not lose any more clients after the move, and although it was disappointing that he was not getting the numbers, at least he was not losing more clients, and any clients that he added helped. He had expected 80 to 85% of his clients to move with him from RBC, but he indicated that the figure was less than 50%. That, however, does not amount to 50% of the assets because, according to the plaintiff, if 12 more clients had moved with him from RBC, that would have accounted for 60% of the assets that he said he left behind. He also said that he expected many of his clients who did not move with him initially, to move within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Third, I am satisfied that the plaintiff would have suffered some loss of business in any event because of the break-up of his marriage. This was a very traumatic period in the plaintiff's life, although I am satisfied that it only adversely affected him for a period of less than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Nevertheless, the plaintiff has adduced evidence that his performance at work has been adversely affected because of the accidents. That evidence comes not only from his wife but from his coworkers and is consistent with 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It is not clear from the plaintiff's evidence when he started to lose clients as a result of his lack of motivation and his inability to make decisions. When asked about when his conduct had an impact on his clientele he answered: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Especially, during 2000, end of 2000, 2001, there were a few clients that I lost that had -- of some significance. Not too bad. But the latter part of 2001. I would come in in the morning and there would be an email on my screen, transfer out this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defendants submit that because the plaintiff has not provided any particulars of the clients he lost, there is no evidence as to the loss of revenue the plaintiff sustained. The defendants submit that there is no evidence of what income the assets he lost would have generated, nor is there any evidence as to the effect of his client's departure on the plaintiff's "assets under management". Therefore, the defendants submit that the plaintiff has not established on the balance of probabilities that he sustained a past loss of income due to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The defendants rely on </w:t>
      </w:r>
      <w:r>
        <w:rPr>
          <w:rFonts w:ascii="arial" w:eastAsia="arial" w:hAnsi="arial" w:cs="arial"/>
          <w:b/>
          <w:i/>
          <w:color w:val="000000"/>
          <w:sz w:val="20"/>
          <w:lang w:val="en-US" w:eastAsia="en-US" w:bidi="ar-SA"/>
        </w:rPr>
        <w:t>Thorpe v. Insurance Corp. of British Columbia</w:t>
      </w:r>
      <w:r>
        <w:rPr>
          <w:rFonts w:ascii="arial" w:eastAsia="arial" w:hAnsi="arial" w:cs="arial"/>
          <w:color w:val="000000"/>
          <w:sz w:val="20"/>
          <w:lang w:val="en-US" w:eastAsia="en-US" w:bidi="ar-SA"/>
        </w:rPr>
        <w:t xml:space="preserve">, </w:t>
      </w:r>
      <w:hyperlink r:id="rId790" w:history="1">
        <w:r>
          <w:rPr>
            <w:rFonts w:ascii="arial" w:eastAsia="arial" w:hAnsi="arial" w:cs="arial"/>
            <w:i/>
            <w:color w:val="0077CC"/>
            <w:sz w:val="20"/>
            <w:u w:val="single"/>
            <w:shd w:val="clear" w:color="auto" w:fill="FFFFFF"/>
            <w:lang w:val="en-US" w:eastAsia="en-US" w:bidi="ar-SA"/>
          </w:rPr>
          <w:t>[1995] B.C.J. No. 1523</w:t>
        </w:r>
      </w:hyperlink>
      <w:r>
        <w:rPr>
          <w:rFonts w:ascii="arial" w:eastAsia="arial" w:hAnsi="arial" w:cs="arial"/>
          <w:color w:val="000000"/>
          <w:sz w:val="20"/>
          <w:lang w:val="en-US" w:eastAsia="en-US" w:bidi="ar-SA"/>
        </w:rPr>
        <w:t xml:space="preserve">, a decision of Boyd J. that was upheld on appeal: </w:t>
      </w:r>
      <w:hyperlink r:id="rId791" w:history="1">
        <w:r>
          <w:rPr>
            <w:rFonts w:ascii="arial" w:eastAsia="arial" w:hAnsi="arial" w:cs="arial"/>
            <w:i/>
            <w:color w:val="0077CC"/>
            <w:sz w:val="20"/>
            <w:u w:val="single"/>
            <w:shd w:val="clear" w:color="auto" w:fill="FFFFFF"/>
            <w:lang w:val="en-US" w:eastAsia="en-US" w:bidi="ar-SA"/>
          </w:rPr>
          <w:t>[1998] B.C.J. No. 397</w:t>
        </w:r>
      </w:hyperlink>
      <w:r>
        <w:rPr>
          <w:rFonts w:ascii="arial" w:eastAsia="arial" w:hAnsi="arial" w:cs="arial"/>
          <w:color w:val="000000"/>
          <w:sz w:val="20"/>
          <w:lang w:val="en-US" w:eastAsia="en-US" w:bidi="ar-SA"/>
        </w:rPr>
        <w:t>. In that case, Mr. Thorpe was a stockbroker investment executive who advanced a claim as a result of injuries suffered in a motor-vehicle accident. He claimed that the injuries restricted his ability to obtain new clients and to foster long-term projects which resulted in his inability to increase his assets under administration and led to a reduction of his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respect to Mr. Thorpe's claim for loss of opportunity to earn commissions on increased assets under administration, Boyd J. stated at para. 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that the plaintiff has not discharged his burden of proving these losses on a balance of probabilities. I am not satisfied that the targets for 'assets under administration' are a proper basis upon which to calculate what levels of performance the plaintiff could have expected to achieve in terms of his actual assets under his administration during the period in which he was recovering from the injuries suffered. Those targets are subjective, established by the plaintiff in conjunction with management and would be expected, absent evidence to the contrary, to include a motivational component in excess of reasonable expectations. To some degree they may simply reflect fluctuations in the market and not the plaintiff's own perceptions of what he can achieve.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Boyd J. continued at para. 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the defence has pointed out, had the actual assets under administration which Thorpe lost or never added to his portfolio been identified, the Court would be in a far better position to determine whether the global decline in the assets under administration was as a result of market factors, factors peculiar to the particular assets themselves, the loss of clientele or any combination of these and other factors. Nor was there any specific evidence concerning those clients who left him or those clients or accounts which he would have developed but for the injuries suffered. In other words, the evidence lacks particularity. Thus the Court is simply left with the plaintiff's own subjective assertion that but for the injuries suffered he would have amassed an additional $6 million dollars in asset growth during the post-accident period, notwithstanding a general market decline and notwithstanding the fact that relative to his peers, he has maintained a steady successful standing in the firm.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plaintiff has clearly failed to identify what assets under administration he lost or was unable to add to his portfolio. Had he done so, I would have been in a better position to determine whether the general decline in his assets under administration was a result of market factors, factors relating to particular assets, loss of clientele for reasons other than the fact that he was not returning all of his phone calls or spending as much time in his office, or any combination of these and other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plaintiff's biggest drop in earnings took place between 2000, when he earned $432,000, and 2001, when he earned $310,000. This was a decrease of approximately $120,000.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One of the largest clients the plaintiff secured was an individual I will refer to as "C". C's business went public and the plaintiff received $60 to $70 million of shares to manage. Those shares went up to approximately $140 million and then dropped back to $80 to $100 million by the end of 2000. Currently C's shares are worth between $35 and $40 million because C has sold some of the shares and the share price has decreased since 2000. Therefore, C's assets have decreased between $40 and $65 million since the date of Accident #1. However, that decrease has nothing to do with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Therefore, it is impossible to ascertain how much of the decrease in earnings between 2000 and 2001 can explained by the downturn in the market following September 11, 2001 and the sale of C's shares.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There was a decrease of some $90,000 between 2001, when he earned $310,000, and 2002, when he earned $221,000. There was, in effect, no decrease in 2003 because his T4 earnings were $289,000, which included the $75,000 forgivable loan from National. The big decrease appears to have been in 2004, when his T4 earnings were $205,000, which included the $75,000 forgivable loan from National.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While the evidence lacks particularity, there is sufficient evidence to calculate the plaintiff's approximate past loss of income due to the accidents. Taking into account all the factors I have outlined above, I am satisfied that the plaintiff has proven an income loss from the date of Accident #1 of approximately $350,000. Of that amount, it is my view that the defendant in Accident #1 is liable for $45,000 given that some of those losses would have shown up in the first part of the year following Accident #2. The defendant in Accident #2 is liable for $305,000 discounted to $244,000 for the plaintiff's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plaintiff submits that because of the accidents, his future earning capacity is significantly lower than it would have been but for the accidents. The plaintiff submits that even if he shows a 50% improvement over the next three years, he will still suffer a significant loss up until retirement at age 65. That loss, the plaintiff calculates, will be $1.4 million. The plaintiff submits that his future earning capacity has been further diminished because he is now an average investment advisor and it is highly unlikely that anyone will offer him another signing bonus. Moreover, according to the occupational therapist, he is now only suitable for sedentary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The law with respect to loss of earning capacity is set out in </w:t>
      </w:r>
      <w:r>
        <w:rPr>
          <w:rFonts w:ascii="arial" w:eastAsia="arial" w:hAnsi="arial" w:cs="arial"/>
          <w:b/>
          <w:i/>
          <w:color w:val="000000"/>
          <w:sz w:val="20"/>
          <w:lang w:val="en-US" w:eastAsia="en-US" w:bidi="ar-SA"/>
        </w:rPr>
        <w:t>Reilly v. Lynn</w:t>
      </w:r>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[2003] B.C.J. No. 133</w:t>
        </w:r>
      </w:hyperlink>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Low and Smith JJ.A. stated at pp. 100-101: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award for loss of earning capacity presents particular difficulties. As Dickson J. (as he then was) said, in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792"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251: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must now gaze more deeply into the crystal ball. What sort of a career would the accident victim have had? What were his prospects and potential prior to the accident? It is not loss of earnings but, rather, loss of earning capacity for which compensation must be made: </w:t>
      </w:r>
      <w:r>
        <w:rPr>
          <w:rFonts w:ascii="arial" w:eastAsia="arial" w:hAnsi="arial" w:cs="arial"/>
          <w:i/>
          <w:color w:val="000000"/>
          <w:sz w:val="20"/>
          <w:lang w:val="en-US" w:eastAsia="en-US" w:bidi="ar-SA"/>
        </w:rPr>
        <w:t>The Queen v. Jennings</w:t>
      </w:r>
      <w:r>
        <w:rPr>
          <w:rFonts w:ascii="arial" w:eastAsia="arial" w:hAnsi="arial" w:cs="arial"/>
          <w:color w:val="000000"/>
          <w:sz w:val="20"/>
          <w:lang w:val="en-US" w:eastAsia="en-US" w:bidi="ar-SA"/>
        </w:rPr>
        <w:t xml:space="preserve">, </w:t>
      </w:r>
      <w:hyperlink r:id="rId793" w:history="1">
        <w:r>
          <w:rPr>
            <w:rFonts w:ascii="arial" w:eastAsia="arial" w:hAnsi="arial" w:cs="arial"/>
            <w:i/>
            <w:color w:val="0077CC"/>
            <w:sz w:val="20"/>
            <w:u w:val="single"/>
            <w:shd w:val="clear" w:color="auto" w:fill="FFFFFF"/>
            <w:lang w:val="en-US" w:eastAsia="en-US" w:bidi="ar-SA"/>
          </w:rPr>
          <w:t>[1965] 2 O.R. 285</w:t>
        </w:r>
      </w:hyperlink>
      <w:r>
        <w:rPr>
          <w:rFonts w:ascii="arial" w:eastAsia="arial" w:hAnsi="arial" w:cs="arial"/>
          <w:color w:val="000000"/>
          <w:sz w:val="20"/>
          <w:lang w:val="en-US" w:eastAsia="en-US" w:bidi="ar-SA"/>
        </w:rPr>
        <w:t>. A capital asset has been lost: what was its value?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standard of proof in relation to future events is simple probability, not the balance of probabilities .... A plaintiff is entitled to compensation for real and substantial possibilities of loss, which are to be quantified by estimating the chance of the loss occurring: </w:t>
      </w:r>
      <w:r>
        <w:rPr>
          <w:rFonts w:ascii="arial" w:eastAsia="arial" w:hAnsi="arial" w:cs="arial"/>
          <w:i/>
          <w:color w:val="000000"/>
          <w:sz w:val="20"/>
          <w:lang w:val="en-US" w:eastAsia="en-US" w:bidi="ar-SA"/>
        </w:rPr>
        <w:t>Athey v. Leonati, supra</w:t>
      </w:r>
      <w:r>
        <w:rPr>
          <w:rFonts w:ascii="arial" w:eastAsia="arial" w:hAnsi="arial" w:cs="arial"/>
          <w:color w:val="000000"/>
          <w:sz w:val="20"/>
          <w:lang w:val="en-US" w:eastAsia="en-US" w:bidi="ar-SA"/>
        </w:rPr>
        <w:t>, at para. 27 .... The valuation of the loss of earning capacity may involve a comparison of what the plaintiff would probably have earned but for the accident with what he will probably earn in his injured condition .... However, that is not the end of the inquiry; the overall fairness and reasonableness of the award must be considered .... Moreover, the task of the Court is to assess the losses, not to calculate them mathematically....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[2001] B.C.J. No. 4</w:t>
        </w:r>
      </w:hyperlink>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the court stated at para. 10 that in assessing loss of earning capacity, the trial judge is to take into consideration all the relevant factors, which can include:</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been rendered less capable overall from earning income from all types of employment;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marketable or attractive as an employee to potential employers;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lost the ability to take advantage of all job opportunities which might otherwise have been open to him, had he not been injured;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Because the plaintiff has not provided sufficient particulars as to why the assets under his administration decreased or as to the clients he would have obtained but for the accident, I am not in a very good position to determine the value of his lost earning capacity. The plaintiff provided only, as I recall, one example of how he felt that he had lost a group of potential clients, and those were associates of C. Also, the actuary report prepared by Mr. Carson does not take into account time off because of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am satisfied, however, that the plaintiff has, in part due to the accidents, not been able to build or maintain his book of business and consequently, will suffer losses into the future. I am also satisfied that he is now an average broker where before he excelled. He is not likely to be a candidate for a future signing bonus with another company and any future work he does must be of a sedentary nature. Therefore, the plaintiff's future earning capacity has been diminished by the accidents, and in my view, a fair and reasonable award for loss of future earning capacity is $400,000. The defendant in Accident #1 is liable for $20,000 and the defendant in Accident #2 is liable for $380,000 discounted to $304,000 for the plaintiff's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cost of future care report was filed by Lila Quastel. The defendants do not oppose the granting of an award in respect to consultations with kinesiologists, psychological counselling, and a fitness program. I do not believe that a vocational expert consultation is necessary. I am satisfied that an ergonomic assessment cane and an ergonomic office chair and aides are appropriate as an initial or one-time cost that amounts to $8,480. The defendant from Accident #2 will bear the cost of the plaintiff's future care. Therefore, the $8,480 in year one will be discounted to $6784 for the plaintiff's failure to mitigate. I am also satisfied that there will be ongoing costs for year two onwards of approximately $1,200, which has a present value of $16,839 discounted to $13,471.20.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Defendant in Accident #1: $20,000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Defendant in Accident #2: $75,000 - 20% = $60,000</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Income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Defendant in Accident #1: $45,000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Defendant in Accident #2: $305,000 - 20% = $244,000</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Defendant in Accident #1: $20,000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Defendant in Accident #2: $380,000 - 20% = $304,000</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Defendant in Accident #1: 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Defendant in Accident #2: $25,319 - 20% = $20,255.20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Costs will follow the event unless counsel wish to make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COLE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April 18,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 to the Reasons for Judgment issued advising that Ms. Bandna Ubhi, co-counsel for the plaintiff, was inadvertently missed in the listing of counsel, which is herein revised.</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6" style="position:absolute;z-index:2518568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94"/>
          <w:headerReference w:type="default" r:id="rId795"/>
          <w:footerReference w:type="even" r:id="rId796"/>
          <w:footerReference w:type="default" r:id="rId797"/>
          <w:headerReference w:type="first" r:id="rId798"/>
          <w:footerReference w:type="first" r:id="rId79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00" w:history="1">
        <w:r>
          <w:rPr>
            <w:rFonts w:ascii="arial" w:eastAsia="arial" w:hAnsi="arial" w:cs="arial"/>
            <w:b/>
            <w:bCs/>
            <w:i/>
            <w:color w:val="0077CC"/>
            <w:kern w:val="32"/>
            <w:sz w:val="28"/>
            <w:szCs w:val="32"/>
            <w:u w:val="single"/>
            <w:shd w:val="clear" w:color="auto" w:fill="FFFFFF"/>
            <w:lang w:val="en-US" w:eastAsia="en-US" w:bidi="ar-SA"/>
          </w:rPr>
          <w:t>ML Plaza Holdings Ltd. v. Imperial Oil Ltd., [2006] B.C.J. No. 479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Boyd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9 - 13, 16 - 17 and 26,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3,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A990637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479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352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41 R.P.R. (4th) 266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149 A.C.W.S. (3d) 329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CarswellBC 520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ML Plaza Holdings Ltd., plaintiff, and Imperial Oil Limited,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7"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4" w:name="Keywords_44"/>
      <w:bookmarkEnd w:id="284"/>
      <w:r>
        <w:rPr>
          <w:rFonts w:ascii="arial" w:eastAsia="arial" w:hAnsi="arial" w:cs="arial"/>
          <w:b/>
          <w:color w:val="000000"/>
          <w:sz w:val="20"/>
          <w:lang w:val="en-US" w:eastAsia="en-US" w:bidi="ar-SA"/>
        </w:rPr>
        <w:t>Landlord and tenant law — The premises — Damage to premises — Waste — Action by plaintiff for damages caused by negligent contamination of land by defendant dismissed — Action was commenced after expiration of applicable limitation period.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Limitation of actions — Statutory limitation periods — Expiry of — When time begins to run — Action by plaintiff for damages caused by negligent contamination of land by defendant dismissed — Action was commenced after expiration of applicable limitation period — No additional damage was caused within limitation period.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Nuisance — Emissions and contamination — Gas or oil — Action by plaintiff for damages caused by negligent contamination of land by defendant dismissed — Action was commenced after expiration of applicable limitation period.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5" w:name="Case Summary_41"/>
            <w:bookmarkEnd w:id="28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ML Plaza Holdings, against the defendant, Imperial Oil, for damages on the basis that the defendant negligently caused contamination of the plaintiff's property during its occupation and use of the lands as a gas station -- In 1988, plaintiff purchased mall at which defendant was a tenant -- Terms of 10-year lease provided that lessee would indemnify lessor for any damage to premises that arose from lessee's operations -- In 1992, defendant ceased operation and retained environmental consultants for removal of ground structures and underground gasoline storage tanks -- Soil samples showed contamination and consultants recommended further investigation and off-site assessment -- In 1993, assessment revealed that contamination had migrated beyond leased site -- Defendant executed five-year lease in 1995 to perform remediation -- In 1995, defendant informed plaintiff that treatment facility required erection of barriers and off-site work -- Plaintiff asserted that barriers contravened terms of lease and sought relocation of treatment facility and an indemnity on behalf of other tenants -- In absence of agreement, work commenced -- In 1999, dispute resurfaced because remediation interfered with existing tenants and planned development by plaintiff -- Plaintiff commenced legal action -- Plaintiff claimed cost of remediation, and loss of future and past rental income -- Defendant argued that action was barred by statute due to expiration of the applicable limitation period -- HELD: Action dismissed -- No new or additional damage was suffered by the plaintiff once the defendant's gasoline storage tanks were decommissioned in 1992 -- Mere presence of contaminants was not sufficient to found a continuing nuisance claim in absence of additional damage sustained within limitation period -- No such damage was established by plaintiff in two-year period prior to commencement of action -- No evidence that plaintiff was precluded from its planned development project or that profits were adversely impacted -- Defendant was not estopped from reliance on limitation defence because nothing was done or said that caused plaintiff to delay commencement of action.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6" w:name="Legislation Cited_28"/>
      <w:bookmarkEnd w:id="28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8"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Environmental Management Act, s. 47(5)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s. 3(2)(a), s. 3(5)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7" w:name="Counsel_45"/>
      <w:bookmarkEnd w:id="28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9" style="position:absolute;z-index:251807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P.D. Le Dressay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B.A. Meckling and T.L. Mihoc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8" w:name="Judgment_45"/>
      <w:bookmarkEnd w:id="288"/>
      <w:r>
        <w:pict>
          <v:line id="_x0000_s1240" style="position:absolute;z-index:25185792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9" w:name="BOYD J."/>
            <w:bookmarkEnd w:id="289"/>
            <w:r>
              <w:rPr>
                <w:rFonts w:ascii="arial" w:eastAsia="arial" w:hAnsi="arial" w:cs="arial"/>
                <w:b/>
                <w:color w:val="000000"/>
                <w:sz w:val="30"/>
                <w:lang w:val="en-US" w:eastAsia="en-US" w:bidi="ar-SA"/>
              </w:rPr>
              <w:t>BOYD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1.0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plaintiff's claim is for damages arising from the defendant's occupation and use of certain lands as a gas service station from 1985 to 1997. The plaintiff claims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has caused hydrocarbon contamination of the sub-soils and sub-surface waters, with resulting loss and damage to the plaintiff. It has advanced a number of alternative claims-namely (i) a claim for damages arising from the defendants' creation of a continuing nuisance on the property; (ii) a claim for damages under the doctrine in Rylands v. Fletcher (1866) L.R. 1 Ex. 265 at 279, affirmed (1868), L.R. 3 H.L. 330; and finally (iii) a claim for indemnification under the terms of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says that the remediation of the site must be accomplished using the numerical method, which involves the removal of all contaminated soil from the site, other than that soil which meets certain numerical standards. It says the site must be remediated to a pristine condition, resulting in total damages of $9.5 million including the direct costs of remediation ($6.3 million), the loss of future rental income ($36,111), and the ongoing loss of the net rents from 1996 and until the future conclusion of remediation, which amounts it says it would have been earned had the plaintiff's redevelopment plans not been thwarted by the defendant's contamination of the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2.0 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company, ML Plaza Holdings Ltd. ("ML Plaza") is a private corporation owned and operated by three partners in the Lower Mainland. Mr. Gilbert Lee ("Lee") and his family own 60% of the shares. Lee is a chartered accountant with over 25 years of experience in both residential and commercial property development in the Lower Mainland. Through his own company, G.Y. Lee &amp; Associates, he provides overall management services of the mall for ML Plaza.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1988, ML Plaza purchased the subject shopping mall. One of the mall tenants included Imperial Oil Limited ("Imperial Oil"). On September 1, 1985, Imperial Oil leased the service station on the premises from the previous landlord, John Mill Holdings Ltd., for a 10-year term. As a matter of due diligence, prior to concluding the purchase of the shopping mall, ML Plaza reviewed the terms of the leases of each of the existing tenants in the shopping centre, so as to be assured each lease was valid and binding. In the course of that process, Lee noted that the Imperial Oil lease included clause 4.10 which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lessee agrees to indemnify and save harmless the lessor from and against any loss or damage arising out of or resulting from the lessee's operations on the leased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Prior to the closing of the purchase transaction, ML Plaza's solicitor, Mr. Terry Nabata, secured an "estoppel letter" dated January 7, 1988, executed by Imperial Oil, in which Imperial Oil confirmed the lease was valid and binding and that there were no uncured defaults with respect to the Lease on the part of the Landlord (Exhibit 1, Tab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Lease in issue provided for a 10-year term with annual rent of $15,000 per year plus variable rent in the amount of 0.35 cents per litre on all motor fuels sold from the leased premises, payable quarter annually in arrears. Lee testified that during the course of Imperial Oil's tenancy, the average variable rent was in the sum of approximately $700-$800 per annum.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Based on his review of the variable rent cheques received since the inception of the lease, Lee concluded that the Imperial Oil's gas station was not doing well financially and that it was likely Imperial Oil would not renew its lease and perhaps even vacate the premises before the lease term expired. Anticipating such a possibility, Lee testified that he approached the District of Matsqui in late 1990 to determine whether the existing zoning on the property would allow for the removal of the gas station and the development of a one-storey retail building of approximately 4000 square feet on the lands. The District responded that there would be no difficulty with such a plan, subject to the necessary parking requirements being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March 1992, Imperial Oil decided to cease the gas station operation on the site and took steps to begin the decommissioning process. As part of that process, all above ground structures and the underground product storage tanks were removed from the leasehold lands on May 29,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keeping with Imperial Oil's decommissioning procedure, Morrow Environmental Consultants Inc. ("Morrow") was retained to be on site at the time of the tank removal so as to perform a visual observation of the excavation and the condition of the tanks, as well as to sample the soils surrounding the tanks. The soil samples showed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soils along the floor of the excavation contained xylene concentrations greater than BC Special Waste levels, benzene and toluene concentrations greater than the Criteria for Managing Contaminated Sites in BC (CMCS) Level C, and TEH concentrations greater than the proposed CMCS Level C. The results also show that soils along the east wall of the excavation contained xylene concentrations greater than CMCS levels C. (Exhibit 1, Tab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Based on this apparent contamination, Morrow recommended (i) the excavation and treatment of those soils in an above-ground, lined remediation basin; (ii) the collection of samples from the floor and walls of the excavation to confirm the condition of the soil remaining in situ and finally (iii) the installation of on-site wells so as to conduct an ongoing assessment of the condition of the ground water through a monitoring and sampling program (Exhibit 1, Tab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accordance with Morrow's instructions, between September 12 and October 31, 1992, supplemental drilling investigation, ground water sampling and site monitoring was performed, involving an additional five drill holes along the periphery of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results of this work indicated further contamination. As a result Imperial Oil instructed Morrow to complete a historical review of the premises so as to determine any previous activities which had been conducted both on site and in any surrounding properties which might account for the contaminated soils and groundwater. The historical review process revealed several gas service stations had previously been located in the area, including one located on the north side of South Fraser Way, opposite the subject site. However there was no strong evidence of any migration of contaminants from any other source in the area, such as to justify a demand that any third party contribute to the costs of any remediation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this point Morrow, on behalf of Imperial Oil, contacted Lee of ML Plaza to request permission to perform further drilling off site. Since previous drilling at the periphery of the Imperial Oil site had indicated contamination had migrated off site, off site drilling was required to confirm this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is no dispute that it was only as a result of Morrow's telephone call conversation with Lee in March 1993 that Lee became aware the underground storage tanks had earlier been removed from the Esso service station location. Lee recalled that Morrow sought permission to drill six drills holes in the ML Plaza parking area, outside the boundaries of Imperial Oil's own leasehold property. At trial, Lee insisted that during the course of the telephone conversation there was no mention of contamination. Nor was there any mention of contamination in the letter which followed on April 26, 1993 (See Exhibit 1, Tab 23). Since the station had been shut down in May 1992 and the lease was due to terminate in 1995, Lee said he simply surmised that Imperial Oil was doing its "due diligence" so as to restore the property to its original condition, in accordance with the terms of the lease. From his point of view, so long as the drilling work did not interfere with any of the mall tenants' quiet enjoyment of the property, there was no cause for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off-site drilling confirmed the presence of "significant sources of contamination" of both the soil and ground water. Morrow confirmed that, with the exception of the north west quadrant, there was significant contamination which extended east across the entire site as well as southeast off-site "to an unconfirmed distance". Morrow recommended the installation of a vapour extraction system ("VES") for the treatment of shallow and deep soil zones as well as the installation of a catalytic oxidation unit ("Catox unit") for treatment of any hydrocarbon vapours. Lee, on behalf of ML Plaza, approved the installation of the Catox unit. Morrow subsequently dealt directly with the Ministry of Environment ("MOE") and with ML Plaza's consent in hand, obtained a formal Approval of Imperial Oil's application to discharge hydrocarbon contaminants to the air from the soil vapour treatment facility (see Approval A-13235 dated October 18, 1994) (Exhibit 1, Tab 33). That permit covered a period of 15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approving the permit application, Lee testified he understood that Imperial Oil was effectively remediating the site and to that end, required MOE's approval to discharge emissions into the atmosphere. At that point, he testified he was confident that Imperial Oil, being a well-recognized national company, would be capable of returning the site to its original condition and that there was no need to either interfere with the remediation plans, much less sue Imperial Oil for any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June 1995, much to Lee's surprise, Imperial Oil renewed its lease for a second five-year term commencing September 1, 1995. Lee understood the modification and extension of the lease was required so as to provide Imperial Oil with the time required to perform a remediation of the contaminants located on the leased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July 6, 1995, Mr. Porter of Devon Estates Limited (subsidiary of Imperial Oil), wrote to Lee enclosing a plan of the proposed vapour extraction system. Lee was distressed to see that the proposed system included a treatment system enclosure approximately 12' high, with a stack extending some fifteen feet in height. The compound itself would measure 10 feet by 20 feet, a slightly smaller footprint than the former gas kiosk which measured 9 feet by 27 feet. In Lee's view the proposed treatment enclosure would present as an unsightly "fortress-like building" to the drive-by public, thus detracting customers who might suppose some large construction project was underway at the mall which would limit access to the various businesses.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Imperial Oil relayed its final version of the treatment facility layout to Lee in September 1995, and again Lee complained. He insisted the treatment facility be relocated to some other area of the mall for two reasons. Firstly, he testified he was concerned with the tenants' complaints regarding the location of the treatment facility and the resulting reduced visibility and effect on business. Secondly, he testified he was concerned the location of the treatment facility might possibly affect ML Plaza's redevelopment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Lee advised the Imperial Oil representative, Mr. de Leeuw, that unless Imperial Oil accommodated ML Plaza's complaints, it would take the position the lease had not been renewed and had therefore expired on August 31,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Warren Downs of Davis &amp; Company, solicitors for Imperial Oil, responded by letter dated September 18, 1995. Mr. Downs expressed the view that the lease had indeed been validly renewed by letter dated June 28, 1995 and he requested cooperation in allowing the installation of the remediation system to proceed without delay. In the event ML Plaza refused to confirm the renewal of the lease, he advised that Imperial Oil would pursue its "legal rights and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receipt of Davis &amp; Company's letter, Lee instructed Mr. Nabata to respond. By letter dated September 27, 1995, Mr. Nabata confirmed, on behalf of ML Plaza, that while the lease had indeed been renewed, Imperial Oil's remediation proposal and in particular, the location of the treatment facilities on the site, were not contemplated in the terms of the lease and were unacceptable to ML Plaza.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At the suggestion of Mr. Downs, the parties and their solicitors met on November 9, 1995. Following that meeting, Mr. Nabata reiterated ML Plaza's concerns that the remediation had been planned without consultation with ML Plaza and did not come within the framework of the activities contemplated by the lease. Notwithstanding this position, he repeated ML Plaza's "without prejudice" offer to consent to the remediation on the following terms:</w:t>
      </w:r>
      <w:r>
        <w:rPr>
          <w:rFonts w:ascii="arial" w:eastAsia="arial" w:hAnsi="arial" w:cs="arial"/>
          <w:sz w:val="20"/>
          <w:lang w:val="en-US" w:eastAsia="en-US" w:bidi="ar-SA"/>
        </w:rPr>
        <w:cr/>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Imperial Oil would provide ML Plaza with a complete indemnity as to any costs or damages that it might suffer, including any vacancies during the time the remedial work was carried out;</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Imperial Oil would obtain each tenant's approval of the remediation plans;</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Imperial Oil would obtain a release from each tenant of any claims they might have for any alleged breach of their lease arising directly or indirectly from Imperial Oil's remediation work;</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Imperial Oil would consult with ML Plaza concerning the layout of the proposed equipment and any barriers, etc.</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extent that Imperial Oil's remediation work would adversely affect ML Plaza's planned redevelopment work, Imperial Oil would indemnify ML Plaza for any damages resulting from any delay in the redevelopment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Downs and Mr. Nabata continued to trade correspondence concerning the relocation of the treatment facility. Mr. Nabata suggested a relocation of the treatment facility to an area behind the BCCA location on site. Imperial Oil rejected this suggestion noting that any such relocation would require additional emission modelling to determine whether any health risk would be posed to neighbouring receptors. Further any proposed relocation would require an amendment to MOE's approval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Nabata suggested Imperial Oil once again meet with the various tenants so as to properly outline the remediation program. Imperial Oil responded that the tenants were already fully aware of the details of the remediation program and that no further consultation or meeting was warranted. Mr. Downs reminded Mr. Nabata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client is not, by commencing the work, accepting the terms and conditions of your letter of November 16, 1995. My client does, however, acknowledge your client's position that the work is being done entirely at the risk of my client and without prejudice to any remedies that might be available to ML Plaza Holdings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trial, Lee reluctantly admitted that in 1995, he and his counsel, Mr. Nabata, did discuss the possibility of commencing a legal action against Imperial Oil. However he said the matter was not discussed "in much detail" since ML Plaza remained focused on how to convince Imperial Oil to relocate the treatment facility structure. He pointed out that Mr. Nabata was not a litigation lawyer and that had ML Plaza intended to commence legal action, he would have retained a litigation counsel as he did in 1999. In any case, he could not recall any discussion with Mr. Nabata about any potential limitation period which might affect ML Plaza if it failed to commenced action against Imperial Oil. He admitted that no one from Imperial Oil ever asked that ML Plaza delay commencement of action or refrain from commencing action against Imperial Oil.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early May 1996, Lee contacted Morrow to advise that ML Plaza had engaged an architect to design a 4000 square foot building adjacent to the Nevada Bob's store. In early June 1996, ML Plaza's architect, Mr. Siegfried Toews, Lee and Mr. Adrian Michielsen of Morrow met. As set out in Mr. Michielsen's memorandum of June 7, 1996, the purpose of the meeting was to discuss the possible options for the location of the Catox unit for the vapour extraction system at the site (See Exhibit 1, Tab 59). Lee asked that the treatment enclosure be located as far west as possible, along the northern portion of Imperial Oil's leased lands, in order to allow for the construction of a new building which would be attached to the existing Nevada Bob's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While Lee insisted in his direct evidence that ML Plaza's plans at that point were to construct a three-storey building with underground parking, on cross examination he resiled from that evidence and confirmed that the only plan under consideration was the construction of a one-storey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Michielsen recalled that during the meeting, he confirmed with both Lee and his architect that Imperial Oil's planned remediation system would be operating over a 3-5 year period. He specifically denied ever telling Lee or his architect that the presence of any contamination would rule out any plans ML Plaza might have for expansion or redevelopment at the site. To the contrary, so far as Mr. Michielsen was concerned, Imperial Oil's planned remediation program could proceed in conjunction with any ongoing redevelopment plans which ML Plaza might have, as had been the case at a number of other Esso sites. Mr. Michielsen testified that at the meeting, he nevertheless underscored the fact that the approval of any development plan would rest with the City of Abbotsford ("City"). His memorandum of June 7, 1996 (Exhibit 1, Tab 59) confirms his understanding that Mr. Toews would be meeting with the City planning officials to discuss those plans (Exhibit 1, Tab 62). Mr. Michielsen requested that Mr. Toews forward any approved architectural drawings to Imperial Oil. No such drawings were ever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Following this meeting Mr. Toews did meet with the City officials. As set out in his subsequent memorandum to Lee, dated June 13, 1996, he testified that he was told a "Building Permit would only be issued if the environmental engineer declares the contamination on the property adjacent to the Esso site as free and clear of all short term or long term contamination". Further he testified that the one deep well off-site Imperial Oil's leased lands "would preclude any environmental report stating that there was zero contamination for three to five years adjacent to Nevada Bob" (Exhibit 1, Tab 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no point before reaching his conclusion did Mr. Toews consult with an engineer or environmental consultant to determine whether the City's position was correct or what alternative plan might accommodate the situation. Nor did Lee or Mr. Toews, on Lee's behalf, bring the City's response to the attention of Imperial Oil. Imperial Oil simply continued to wait for ML Plaza's production of the engineering and architectural drawings for its proposed redevelopment plans, which drawings were never forthcoming. In the interim the VES commenced operation in September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May 1997 ML Plaza considered expanding the BCAA building to accommodate Nevada Bob's. Ultimately this development did not proceed, since Nevada Bob's would not commit to moving to this new location. In 1997, ML Plaza did proceed with the construction of an addition to the BCAA building. Lee admitted that the hydrocarbon contamination on the lands posed no impediment to this development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early 1998, Morrow advised ML Plaza that the initial Vapour Discharge Permit issued by MOE would soon expire and that Imperial Oil required an extension of the permit. Operation of the VES (vapour extraction system) ceased on January 31, 1998 pending ML Plaza's approval of Imperial Oil's permit extension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On February 6, 1998, Lee, Mr. Toews, and representatives from both Morrow and Imperial Oil attended a meeting to discuss ML Plaza's development plans for the mall. This time, Lee advised of ML Plaza's plan to construct a three-storey building with underground parking. Imperial Oil requested drawings which would show the dimensions, depth and location of the new proposed building so as to decide how remediation should proceed so as to accommodate the new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Following the meeting Mr. Toews produced two relatively rudimentary sketches of the proposed building (Exhibit 1, Tab 91). Mr. Toews then consulted with the City and was advised that the City would approve the building permit, provided ML Plaza obtained clearance from MOE. Mr. Toews anticipated excavation to approximately 10 feet into the gravel based below the Nevada Bob's site and that there might well be contaminated soil below this level (Exhibit 1, Tab 94). MOE provided ML Plaza with a list of environmental consultants for retainer to assist in addressing compliance with the Contaminated Sites Regulation (Exhibit 1, Tab 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the months which followed, Imperial Oil tried to reassure ML Plaza that the City would allow ML Plaza to proceed with the redevelopment plans, subject to receiving an Approval in Principle from MOE, and obtaining the necessary development permit, soil removal permit, traffic impact study and geotechnical engineering drawings. It requested that ML Plaza forward those engineering drawings of the sub-structures of the building so that Imperial Oil's application for approval in principle of the proposed remediation program could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Notwithstanding Imperial Oil's repeated requests, ML Plaza never took any steps to provide any such drawings. Now were any steps taken to obtain the advice or assistance of any environmental consultants. As Lee testified at trial, ML Plaza was unwilling to incur the costs of both engineering and architectural drawings, if there was no guarantee that at the end of the process, the City might withhold the issuance of an occupancy permit, based on some remaining environmental concerns. Before ML Plaza would incur such costs, he insisted that Imperial Oil commit itself from the outset to reimbursing ML Plaza for any costs associated with any of the remediation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mid-April 1998, Lee wrote to Imperial Oil, insisting that Imperial Oil guarantee or indemnify ML Plaza for various costs associated with the remediation work and any losses which followed, associated with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Imperial Oil responded, once again reassuring Lee that the City would accept MOE's approval which, if accompanied by a letter of assurance from Imperial Oil's environmental consultant, would be sufficient to allow the occupancy permit to be issued at the conclusion of the project. Further it noted that "any reasonable incremental costs" directly associated with the excavation, during building construction, of contaminated soils or costs relating to the installation of a building protection system would be the responsibility of Imperial Oil. Likewise, Imperial Oil advised that if, at the conclusion of the construction, the building could not be occupied solely as a result of the environmental contamination caused by Imperial Oil, the resulting loss of income would also be Imperial Oil's responsibility (Exhibit 1, Tab 108).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Lee rejected this proposal, believing that Imperial Oil's limitation of responsibility to the "reasonable" costs incurred by ML Plaza was too subjective a measure. In his view, whether reasonable or not, all costs ought to be for Imperial Oil's account so long as they related to remediation of the contaminated soils.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October 1998, Imperial Oil provided a Revised Remediation Agreement to ML Plaza, incorporating the offers referred to earlier. ML Plaza never responded to the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the interim, ML Plaza decided to forgo redevelopment of the Nevada Bob's buildings, having secured a new tenant (the Mad Butcher) for a five-year lease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the spring of 1999, pursuant to the terms of an Access agreement, ML Plaza permitted Imperial Oil access to lands outside its leased area, so as to do further retesting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2000, Imperial Oil proposed a remediation plan which involved excavation of the shallow soils and a dual phase extraction system in the lower soils. ML Plaza consulted with the mall tenants and as a result of their objections, refused to provide Imperial Oil with permission to proceed. However in doing so, it must be noted that ML Plaza never retained its own independent environmental consultant or suggested any alternative means of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Likewise in 2001, Imperial Oil and Morrow consulted further with the various mall tenants, attempting to modify the remediation plans so as to meet their concerns. A revised remediation plan (the Remedial Execution Plan) was prepared in June 2001. This plan was sent out to the tenants and again, based on the tenants' objections, ML Plaza refused to provide Imperial Oil with permission to proceed with any remediation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both 2002 and 2003, ML Plaza granted Imperial Oil access to the lands to perform further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3.0 The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At trial, a Mr. Brant Dorman of Next Environmental Inc. ("Next Environmental") testified on behalf of the plaintiff. Next Environmental was retained by the Royal Bank of Canada in mid 2003 to provide a Stage 1, Preliminary Site Investigation for the Royal Bank of Canada, in support of ML Plaza's continuing financing from the bank. This Stage 1 study (Exhibit 2, Tab 156), essentially parrots the earlier historical review report prepared by Morrow, thus confirming "there is a high likelihood of significant contamination in soil and/or groundwater on the Site" due to the activities at the former Imperial Oil service station. However based at least partly on Lee's own advice that a remediation plan had been prepared by Imperial Oil and would soon be underway, no further investigations were recommended. At trial, a Mr. Lee from the Royal Bank of Canada, confirmed that the presence of the contaminants on site did not negatively affect ML Plaza's position in terms of ongoing financing from the 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the report, Next Environmental adopts Morrow's earlier advice concerning the delineation of the hydrocarbon plume on site. Mr. Dorman notes at pp. 20-21: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According to Mr. Lee and the Remediation Milestone Report 1997, soil and groundwater contamination exists on the Site due to the leakage in the former USTs. Also, according to Mr. Lee, the Site has been investigated and a remediation plan has been designed. Remediation of the Site should start in September of this year. According to the Remediation Remedial Report 1997 and the Groundwater Analytical Results Drawing 2001, the dissolved phase hydrocarbon plume appears delineated, except to the south side. However, </w:t>
      </w:r>
      <w:r>
        <w:rPr>
          <w:rFonts w:ascii="arial" w:eastAsia="arial" w:hAnsi="arial" w:cs="arial"/>
          <w:i/>
          <w:color w:val="000000"/>
          <w:sz w:val="20"/>
          <w:lang w:val="en-US" w:eastAsia="en-US" w:bidi="ar-SA"/>
        </w:rPr>
        <w:t>due to the low concentrations of the contaminants in the south side of the plume, it is expected that the plume was confined within the Site boundaries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(my emphasis)</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Despite its apparent adoption of the Next Environmental report, the plaintiff also relied on the evidence of a Dr. Stuart Wyse of Stantec Consulting (Exhibit 5, Tab 203, report dated June 30, 2004) and the evidence of Ms. Jennifer Berkeley (Exhibit 5, Tab 208-209).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Wyse is an expert in the establishment and implementation of control management and remediation of contaminated waste sites. It should be noted that Dr. Wyse relied exclusively on the data gathered by Morrow and did not carry out any additional testing or monitoring on site. While Dr. Wyse accepts Morrow's opinion that the site remains contaminated, he disagrees that the hydrocarbon plume is static (not moving), such that the plume can be clearly delineated. To the contrary, he concludes "it is reasonable to presume that a contaminated groundwater plume historically extended south and below the (mall) buildings. As a consequence, there is a potential for contaminated groundwater to be present under the buildings".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At trial, he conceded that he could express no definitive opinion but rather could only express his own uncertainty or speculation as to whether there was an actual boundary to the contamination. His hypothesis is that hydrocarbons may have entered the utility (storm sewer) corridors from the west and travelled south. He conceded that before any firm opinion could be offered, he would have to conduct further testing and monitoring of drill wells, particularly in the utility corridors.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Likewise, Dr. Wyse rejected Imperial Oil's plan to accomplish remediation by way of MNA (Monitored Natural Attenuation). While this is often an acceptable form of remediation, he noted that at the present there was no clear indication of the biological activity of the groundwater using the geochemical indicators. In other words, in his opinion it was impossible to say whether sufficient numbers and types of bacteria were present in the sub-soils so as to achieve biological degradation. He recommended further studies, before any timeframe for completion of degradation could be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Berkeley also testified on behalf of the plaintiff. She is an environmental scientist with Stantec, with a Master of Science, Soil Science. She has ten years of experience in environmental site assessment and analytical chemistry. Interestingly, Ms. Berkeley did conduct the intrusive investigation of the utility corridors recommended by Dr. Wyse in his June 2004 report. These investigations were conducted in mid September 2005. The results of the investigation confirmed that the storm sewer lines surrounding the former service station were NOT contaminated with petroleum hydrocarbons.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While Ms. Berkeley was satisfied the contaminant plume had been delineated to the north of the former underground tank nest site, she was not satisfied the plume to the south could be so delineated. She concluded that the concentrations of various hydrocarbons had increased significantly since Morrow's last testing in 2003, indicating that two narrow bands of contaminated soil and groundwater had migrated south from the source area along two preferential flow pathways. In her opinion, since the plume would continue to act as a source to groundwater along those preferential pathways MNA remediation without source removal or control was not an appropriate approach to remediation at this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defence relied on the various reports prepared by Morrow (See Detailed Site Investigation Report, May 3, 2001 (Joint Book of Documents, Vol. 3); Remedial Execution Plan June 19, 2001 (Joint Book of Documents, Vol. 4, Tab 195); Site Monitoring &amp; Sampling Reports March 11, 2003 and August 22, 2003 (Joint Book of Documents, Vol. 4, Tab 196-197); Screening Level Human Health and Ecological Risk Assessment, April 26, 2004 (Joint Book of Documents, Vol. 4, Tab 198); Memorandum Regarding Soil Vapour Monitoring Well Installations (Joint Book of Documents, Vol. 4, Tab 199).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Wilson's report of April 26, 2004 confirmed that whatever hydrocarbon contamination was present posed no risk to human health and the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upshot of the various Morrow reports is that notwithstanding the cessation of the VSE remediation work in 1998, the hydrocarbon concentrations in the groundwater had decreased significantly between June 1999 and January 2003 in a majority of the wells sampled. Further hydrocarbon concentration in groundwater from wells located just beyond the leading edge of the hydrocarbon plume had decreased since 1999 and, based on the groundwater data collected in 2003, appeared to be at a steady state. In other words, the groundwater contamination does not appear to be moving beyond the areas delineated by Morrow.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addition, Imperial Oil relied on the expert opinions of Dr. DeCesare, Ms. Patricia Carmichael and Mr. Ross Wilson of Morrow dated December 8, 2004 (Exhibit 5, Tabs 206 and 207). Their joint report dated December 8, 2004 addresses Dr. Wyse's opinion that the zone of contamination has not been delineated and that further investigation was required to confirm no continuing movement of groundwater to the south. While they agree it is possible contaminated groundwater may have, at some time before 2003, migrated to the south beneath the mall building, they concluded it was "highly unlikely" a secondary plume now existed beneath the mall buildings. Further they concluded the extent of the groundwater hydrocarbon plume has indeed been delineated up gradient of this location, as evidenced by the results from several well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particular, Patrician Carmichael concluded that the geographical parameters established that the hydrocarbons were being biodegraded on site, that significant aggressive natural attenuation (degradation) was occurring on site and that the hydrocarbon plume appeared to be in a steady state. In her view, all of the conditions in the subsurface lend themselves to the development of a MNA plan for remediation.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DeCesare is an environmental scientist. His expertise involves regular liaison with the Ministry of the Environment. Given the removal of the source control (ie tanks and dispensers), the recovery of all free phase product, the confirmation of no contaminants in the soil since 1998-1999, and the evidence supporting the finding of a stable or shrinking plume, he opined that all of the requirements had been met to allow for the Ministry of the Environment's approval of this MNA process. While he acknowledged that the contaminated sites regime had been overhauled significantly since 1997, with the coming into force of the Waste Management Act, which was then repealed and replaced with the Environmental Management Act in 2004, he insisted nevertheless that the principal remedial options remained the same. In any case, he has opined that neither regulatory regime would have blocked the progress of any plans ML Plaza may have had for redevelopment.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4.0 Issues: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plaintiff's action time-barred by virtue of the application of any limitation periods in the Limitation Act?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not, is the plaintiff liable in nuisance and the application of the Rule in Rylands v. Fletcher?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not, is the plaintiff liable for breach of the express or implied terms of the lease agreement between the parties?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 is liable, what damages are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5.0 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5.1 Is the Plaintiff's action time-barred?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plaintiff's action was commenced on March 12, 1999, almost seven years after the decommissioning of the service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defence submits that even assuming liability, all of the plaintiff's common law claims based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nuisance and Rylands v. Fletcher are barred by the two year limitation period provided for in s. 3(2)(a) of the Limitation Act. The defence submits the plaintiff's cause of action arose no later than May 29, 1992 when the Imperial Oil service station was decommissioned and the underground storage tanks and distribution system were removed. Following that date it says there could be no further release of hydrocarbons from Imperial Oil's operations and hence no basis for any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Likewise the defence submits the plaintiff's claim for indemnity of its losses pursuant to s. 4.10 of the Lease is also barred by the six-year limitation period provided for in s. 3(5) of the 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defence submits that the only claim of the plaintiff which is not statute-barred is the claim pursuant to s. 47(5) of the Environmental Management Act. However, it submits that such a cost recovery can only relate to the costs actually incurred by the plaintiff in carrying out remediation. Since the plaintiff has never undertaken any remediation work, the defence says there are no costs for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As I understand the plaintiff's position, it is that while the plaintiff's cause of actions may have arisen in May, 1992, by virtue of the spreading contamination, its cause of action in nuisance continued into the two-year period prior to March 12, 1999 (when the Writ of Summons was issued), such that it cannot be said the plaintiff's nuisance claim is time barred. The plaintiff says that notwithstanding Imperial Oil's remediation efforts, the source of the hydrocarbon contamination was never totally eliminated and that the "non-elimination of the source area" led to continuing contamination of the plaintiff's land until at least 2005. Relying upon the results of the groundwater studies, Mr. Le Dressay submits the hydrocarbon plume area beneath the site was continuing to expand as at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There is no dispute that where damage is the cause of action or part of the cause of action, a statute of limitations runs from the date of the damage and not from the date of the act which caused the damage. If there is fresh damage within the statutory period, an action in respect of those damages will not be barred. (Roberts v. Portage la Prairie (City), </w:t>
      </w:r>
      <w:hyperlink r:id="rId801" w:history="1">
        <w:r>
          <w:rPr>
            <w:rFonts w:ascii="arial" w:eastAsia="arial" w:hAnsi="arial" w:cs="arial"/>
            <w:i/>
            <w:color w:val="0077CC"/>
            <w:sz w:val="20"/>
            <w:u w:val="single"/>
            <w:shd w:val="clear" w:color="auto" w:fill="FFFFFF"/>
            <w:lang w:val="en-US" w:eastAsia="en-US" w:bidi="ar-SA"/>
          </w:rPr>
          <w:t>[1971] S.C.R. 481</w:t>
        </w:r>
      </w:hyperlink>
      <w:r>
        <w:rPr>
          <w:rFonts w:ascii="arial" w:eastAsia="arial" w:hAnsi="arial" w:cs="arial"/>
          <w:color w:val="000000"/>
          <w:sz w:val="20"/>
          <w:lang w:val="en-US" w:eastAsia="en-US" w:bidi="ar-SA"/>
        </w:rPr>
        <w:t xml:space="preserve"> (S.C.); Dufferin Paving and Crushed Stone Ltd. v. Anger, </w:t>
      </w:r>
      <w:hyperlink r:id="rId802" w:history="1">
        <w:r>
          <w:rPr>
            <w:rFonts w:ascii="arial" w:eastAsia="arial" w:hAnsi="arial" w:cs="arial"/>
            <w:i/>
            <w:color w:val="0077CC"/>
            <w:sz w:val="20"/>
            <w:u w:val="single"/>
            <w:shd w:val="clear" w:color="auto" w:fill="FFFFFF"/>
            <w:lang w:val="en-US" w:eastAsia="en-US" w:bidi="ar-SA"/>
          </w:rPr>
          <w:t>[1940] S.C.R. 174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However, Imperial Oil submits that there was no "continuing nuisance" which can bring the commencement of the subject action within the applicable limitation period since no fresh damage occurred after the site was decommissioned on May 29, 1992. Relying on the decision in Dufferin, the defendant submits that "fresh damage" must be sustained within the limitation period before a plaintiff can commence an action based on a continuing nuisance. In other words, "new" or "additional" damage must be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Roberts and Dufferin line of authority was considered and applied by the Manitoba Queens Bench in Eureka Oils Ltd. v. Colli </w:t>
      </w:r>
      <w:hyperlink r:id="rId803" w:history="1">
        <w:r>
          <w:rPr>
            <w:rFonts w:ascii="arial" w:eastAsia="arial" w:hAnsi="arial" w:cs="arial"/>
            <w:i/>
            <w:color w:val="0077CC"/>
            <w:sz w:val="20"/>
            <w:u w:val="single"/>
            <w:shd w:val="clear" w:color="auto" w:fill="FFFFFF"/>
            <w:lang w:val="en-US" w:eastAsia="en-US" w:bidi="ar-SA"/>
          </w:rPr>
          <w:t>(1983) 25 Man.R. (2d) 166</w:t>
        </w:r>
      </w:hyperlink>
      <w:r>
        <w:rPr>
          <w:rFonts w:ascii="arial" w:eastAsia="arial" w:hAnsi="arial" w:cs="arial"/>
          <w:color w:val="000000"/>
          <w:sz w:val="20"/>
          <w:lang w:val="en-US" w:eastAsia="en-US" w:bidi="ar-SA"/>
        </w:rPr>
        <w:t>. In Eureka, a farmer had entered into a petroleum and natural gas lease with an oil company in 1951, pursuant to which the oil company was permitted to deposit salt water resulting from the production of oil into the wells on the farmer's land. The oil company stored the salt water in a metal tank. Salt water leaked from that tank and caused damage to the soil. The metal tank was removed in 1960 and replaced with a wooden tank. The oil wells continued in production until late 1962. In 1962 the parties entered into a further agreement, pursuant to which it was agreed the farmer would be paid a certain sum as compensation for any damage to the land which had occurred as a result of the leakage of salt water. In 1980, the oil company ultimately commenced action to enforce terms of that agreement, while the defendant farmer counter-claimed for damages arising from the continuing nuisance on the lands. The oil company took the position the defendant's counterclaim was statute-barred, for failing to comply with the six-year limitation period set out in the applicable Statute of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While the trial judge was satisfied there was no continuing salt water leakage after the removal of the tanks in 1962, he nevertheless found that the damage to the defendant's land had continued to spread, right up to the date of trial ([paragraph] 27). He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has a new cause of action for each day he suffered damage by reason of the plaintiff's wrongdoing. He can bring such action for all damages sustained within six years before commencement of his action. This, of course, means that claims arising before that date, i.e. prior to May, 1974, are unenforceable.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He continued at [paragraph]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recognize that ..... the plaintiff in the present case did not continue to use the steel tank after the year 1962. Nevertheless, the wrong complained of by the defendant was not, in my opinion, complete, once and for all', once the steel tank had been removed. Damage is an essential element in the wrong of nuisance; it is a part of the cause of action. I am of the view that the nuisance created by the plaintiff continues and gives rise to a cause of action each day that </w:t>
      </w:r>
      <w:r>
        <w:rPr>
          <w:rFonts w:ascii="arial" w:eastAsia="arial" w:hAnsi="arial" w:cs="arial"/>
          <w:b/>
          <w:color w:val="000000"/>
          <w:sz w:val="20"/>
          <w:lang w:val="en-US" w:eastAsia="en-US" w:bidi="ar-SA"/>
        </w:rPr>
        <w:t>additional</w:t>
      </w:r>
      <w:r>
        <w:rPr>
          <w:rFonts w:ascii="arial" w:eastAsia="arial" w:hAnsi="arial" w:cs="arial"/>
          <w:color w:val="000000"/>
          <w:sz w:val="20"/>
          <w:lang w:val="en-US" w:eastAsia="en-US" w:bidi="ar-SA"/>
        </w:rPr>
        <w:t xml:space="preserve"> damage occurs. (my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defence here underscores the need for "additional" damage beyond the date the station was decommissioned. It notes that in Eureka there was expert evidence that the saline areas had continued to increase even to the time of trial and were expected to continue to increase in size in the future. Further there was expert evidence that the expansion of the salt water had caused actual, tangible physical damage. Finally, there was evidence that the land itself was less valuable that it would otherwise have been, had it not been affected by salinity.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am satisfied that all of these case authorities make it clear that in the face of a limitation defence, the mere presence of contaminants in the soils or groundwater is not sufficient to found a claim for damages for a continuing nuisance. Rather there must be evidence of "additional damage" sustained within the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Here, relying on the opinions expressed in the various Morrow reports, I am not persuaded the plaintiff has established, on a balance of probabilities, that there was any "fresh" or "additional" damage sustained by the plaintiff in the two-year period prior to the commencement of the action on March 12, 1999. In order to prove such a continuing nuisance, I accept the defendant's submission that the plaintiff would have to prove:</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hydrocarbon contamination (plume) was expanding as at March 12, 1997 (two years prior to the commencement of the action);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levels of hydrocarbon concentrations in the expanding plume area exceeded the Contaminated Site Regulation ("CSR") commercial standards, such that the soils could be considered "contaminated",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hydrocarbon contamination from the expanding plume as at March 12, 1997 resulted in "additional damage" in the sense that there was some tangible consequence.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Regarding the first criteria, the evidence is not clear. While Ms. Carmichael acknowledges that the hydrocarbon concentrations beyond the edge of the plume have significantly decreased since the 1999 testing, there is no evidence that the plume was either expanding or contracting between March 12, 1997 and March 12, 1999. My impression is that at best, one may conclude there was no increase in the amount of free phase hydrocarbons since 1998, and no expansion in the plume since 1999. In my view, this leaves open the question of any particular expansion of the plume between March 1997 and March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Since I have no evidence to make a specific finding the plume was expanding during this period, it follows that I can make no finding that the levels of hydrocarbons in any expanding plume exceeded C.S.R. standards during this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Finally, I find that the plaintiff has failed to prove on a balance of probabilities that whatever hydrocarbon contamination was in place, as at March 1997, had any tangible consequence upon the plaintiff, in the sense of resulting in any block to any redevelopment plans or resulting in a diminution in the value of the plaintiff's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At present the evidence is that the mall is still being used for its highest and best use. The mall has generated a profit with little or no vacancy throughout. Beyond Mr. Toews' evidence of his advice from the City, there is no evidence the plaintiff is or actually has been precluded from redeveloping on the land because of the contamination. Certainly no evidence was adduced from any environmental consultant to challenge the overwhelming evidence from Imperial Oil and its experts that any remediation plans could have proceeded in tandem with ML Plaza's redevelopment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On a review of the evidence I am led to the conclusion that in 1996 the plaintiff simply accepted Mr. Toews' views that an addition to the Nevada Bob's building was not possible, given the presence of contamination. The plaintiff took no steps to either investigate the matter further, or to advise Imperial Oil of Mr. Toew's views, or to otherwise consult with environmental consultants so as to obtain more professional advice. I accept the evidence from the various Imperial Oil witnesses including Mr. de Leeuw, Mr. Michielsen, and more particularly Dr. DeCesare that any number of remediation alternatives and regulatory processes were available throughout to the plaintiff which would have allowed for a redevelopment of the site had the plaintiff chosen to proceed. Over the years the plaintiff has rejected any number of different offers to remediate the site, including the final offer of October 1998 to pay for all remediation costs associated with the redevelopment and indemnify the plaintiff for any losses after completion of the redevelopment.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the end result, I am satisfied there was no "continuing nuisance" in the two-year period prior to March 12, 1999, such that it can be said the plaintiff's action was brought in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Imperial Oil estopped from relying on a limitation period defence?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has submitted that in the circumstances of this case, even if ML Plaza's claim is statute-barred, Imperial Oil is estopped from relying on a limitation period due to the doctrine of promissory estoppel. As I understand it, ML Plaza relies on a number of assurances provided by Imperial Oil over the years, including:</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Imperial Oil's confirmation by way of the "estoppel letter" dated January 7, 1988 that the Imperial Oil lease (including clause 4.10) was valid and binding ,thus allowing the plaintiff to rely on Imperial Oil's promise to indemnify ML Plaza for any loss or damage to the property resulting from Imperial Oil's operations on the leased premises;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Imperial Oil's re-confirmation of such assurance at the time of the renewal of the lease in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my view, there is no need to address the claim for indemnity against Imperial Oil under s. 4.10 of the lease. While a number of different defences regarding the claims under the lease have been advanced, it is sufficient to note that even assuming the lease is enforceable and there is some contractual obligation on Imperial Oil's part to indemnify ML Plaza for any loss and damage associated with the operations on the land, there have been no out-of-pocket expenses incurred by the plaintiff resulting from Imperial Oil's operations at the Leased premises, and therefore no claim which requires reimbursement. The only expenses actually incurred by the plaintiff to date are the "management fees" paid by the plaintiff to Lee's own company. As I understand it, those amounts are management fees paid to Lee, via his consulting company, as a means of structuring his tax liability. However these costs for day-to-day management of the company have not been characterized by Lee or any witness as expenses arising from Imperial Oil's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While Mr. Le Dressay did not address the matter, I take it that in relying on the doctrine of promissory estoppel, the plaintiff also relies on the various attempts by Imperial Oil to obtain ML Plaza's consent to a remediation plan, at which times Imperial Oil repeatedly accepted responsibility for any "reasonable incremental costs" associated with the excavation of soils contaminated by Imperial Oil, as well as any loss of income associated with the remediation work. Such terms were contained in the draft Remediation Agreement rejected by ML Plaza. Those terms were also reiterated most recently in the letter of Mr. Downs, dated March 12, 1999, in which,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Imperial Oil Limited will accept responsibility for all economic loss suffered by ML Plaza ... including loss of rental income on the above noted lands, which is caused or contributed to by environmental contamination caused by Imperial Oil or the remediation of such contamination. The foregoing is, of course, premised upon the application of the principles of equity and common law relating to the establishment of a claim for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As I noted earlier, Imperial Oil was never able to persuade ML Plaza to accept the terms of any remediation agreement. However the issue remains whether any of the foregoing statements are sufficient to estop Imperial Oil from relying upon any limitation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my view, in the circumstances of this case, the plaintiff has not established that Imperial Oil is estopped from relying on any limitation defence due to the doctrine of promissory estoppel. In order to rely on such a doctrine a party must establish (a) that the other party has, by words or conduct, made a promise or assurance which was intended to affect their legal relationships and be relied upon; and (b) that, in reliance on the promise or assurance not to rely on the limitation period defence, the representee failed to commence an action within the relevant limitation period. (See Maracle v. Travellers Indemnity Co. of Canada, </w:t>
      </w:r>
      <w:hyperlink r:id="rId804" w:history="1">
        <w:r>
          <w:rPr>
            <w:rFonts w:ascii="arial" w:eastAsia="arial" w:hAnsi="arial" w:cs="arial"/>
            <w:i/>
            <w:color w:val="0077CC"/>
            <w:sz w:val="20"/>
            <w:u w:val="single"/>
            <w:shd w:val="clear" w:color="auto" w:fill="FFFFFF"/>
            <w:lang w:val="en-US" w:eastAsia="en-US" w:bidi="ar-SA"/>
          </w:rPr>
          <w:t>(1991) 80 D.L.R. (4th) 652</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Here, while there were ongoing discussions and negotiations wherein Imperial Oil repeatedly agreed to remediate the property to commercial standards, there is no evidence that Imperial Oil ever expressly or impliedly agreed to waive whatever limitation period might be applicable. There was a lengthy exchange of correspondence between Mr. Nabata and Mr. Downs in the fall and winter of 1995, in which Mr. Nabata objected to Imperial Oil proceeding with any remedial work. By way of letter dated November 16, 1995 Mr. Nabata advised that ML Plaza would only consent on certain terms, including Imperial Oil's agreement to provide ML Plaza with a "complete indemnity as to any costs or damages that it might suffer". Mr. Downs responded by letter dated February 28, 1996 in which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client has agreed to delay the commencement of the work until next week in order to give your client ample time to commence legal proceedings if it so desires. Otherwise, my client will be commencing installation of the remediation system on the leased premises on or about March 7, 1996 and, if the consent of the tenants is obtained as aforesaid, on the lands offsite the leased premises.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Lastly, in order to ensure there is no misunderstanding between the parties, my client is not, by commencing the work, accepting the terms and conditions of your letter of November 16,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my view the correspondence which passed between the parties makes it clear that neither party had any intention of waiving any of their legal rights and that neither party did so in reliance on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To the extent that it can be said Imperial Oil's willingness to remediate the site amounts to an assurance relied upon by ML Plaza, I find that this assurance is entirely different to that required at law to establish promissory estopped. This was an assurance of a willingness to remediate the site, not an assurance that it would not rely on any limitation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Here, Lee has admitted that he and Mr. Nabata discussed the possibility of suing Imperial Oil in 1995 but chose not to do so. There is no evidence that either Lee or Mr. Nabata relied on anything which Imperial Oil said or did, in holding off on the filing of a protective Writ.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6.0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Since I have found the plaintiff's claim is statute-barred, there is no need to address the balance of the issues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plaintiff's action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BOYD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1" style="position:absolute;z-index:251891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05"/>
          <w:headerReference w:type="default" r:id="rId806"/>
          <w:footerReference w:type="even" r:id="rId807"/>
          <w:footerReference w:type="default" r:id="rId808"/>
          <w:headerReference w:type="first" r:id="rId809"/>
          <w:footerReference w:type="first" r:id="rId81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11" w:history="1">
        <w:r>
          <w:rPr>
            <w:rFonts w:ascii="arial" w:eastAsia="arial" w:hAnsi="arial" w:cs="arial"/>
            <w:b/>
            <w:bCs/>
            <w:i/>
            <w:color w:val="0077CC"/>
            <w:kern w:val="32"/>
            <w:sz w:val="28"/>
            <w:szCs w:val="32"/>
            <w:u w:val="single"/>
            <w:shd w:val="clear" w:color="auto" w:fill="FFFFFF"/>
            <w:lang w:val="en-US" w:eastAsia="en-US" w:bidi="ar-SA"/>
          </w:rPr>
          <w:t>M.R. v. British Columbia, [2002] B.C.J. No. 2614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Lander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30, May 1, 3, 7 - 10, 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June 17 - 20 and 28.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19,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Nanaimo Registry Nos. 17301, 19112</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2614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1557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120 A.C.W.S. (3d) 151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M.R., plaintiff, and Her Majesty the Queen in Right of the Province of British Columbia, F.P. and R.P., defendants (Nanaimo Registry No. 17301) And between L.V.T., plaintiff, and Her Majesty the Queen in Right of the Province of British Columbia, F.P. and R.P., defendants (Nanaimo Registry No. 19112)</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2"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0" w:name="Keywords_45"/>
      <w:bookmarkEnd w:id="290"/>
      <w:r>
        <w:rPr>
          <w:rFonts w:ascii="arial" w:eastAsia="arial" w:hAnsi="arial" w:cs="arial"/>
          <w:b/>
          <w:color w:val="000000"/>
          <w:sz w:val="20"/>
          <w:lang w:val="en-US" w:eastAsia="en-US" w:bidi="ar-SA"/>
        </w:rPr>
        <w:t>Torts — Trespass — Assault and battery — Sexual assault — Duty of care — Claims against public officials, authorities or boards — Limitation of actions — Persons under disability and exemptions and exclusions — Infants — Application of limitation periods.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1" w:name="Case Summary_42"/>
            <w:bookmarkEnd w:id="29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Actions by MR and LVT against their foster father RP, their foster mother FP and the Crown for damages for physical, emotional and sexual abuse. MR alleged that RP had frequently sexually abused her when she was between the ages of nine and 16. The abuse included fondling, oral sex and intercourse. She also alleged that she had been raped on several occasions by another foster child, who admitted at trial to sexually abusing MR. LVT alleged that she was raped once by another foster child when she was six years old. MR and LVT alleged that FP had punished them with emotional and physical cruelty. Other former foster children testified about various incidents of emotional, physical and sexual abuse by the foster parents. Social workers assigned to the foster parents' home had made little contact with the foster parents and had not suspected any abusive behaviour. MR had suffered from symptoms of post-traumatic stress disorder in her early adulthood, experienced difficulty with interpersonal relationships and had evidence of a personality dysfunction. At the time of trial, she had stabilized her life. In 1986 and 1994, she had considered suing RP and FP. LVT, who had been abused by her parents and sexually abused by other males through childhood, suffered from anxiety, post-traumatic stress and depression. By 1994, she had received compensation for sexual assault under the Victims of Crime Act. In 1995, she was advised of her right to sue. The actions were brought 22 and 20 years after MR and LVT, respectively, had reached the age of majority.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2" w:name="Holdings of Court_29"/>
            <w:bookmarkEnd w:id="292"/>
            <w:r>
              <w:rPr>
                <w:rFonts w:ascii="arial" w:eastAsia="arial" w:hAnsi="arial" w:cs="arial"/>
                <w:color w:val="000000"/>
                <w:sz w:val="20"/>
                <w:lang w:val="en-US" w:eastAsia="en-US" w:bidi="ar-SA"/>
              </w:rPr>
              <w:t>HELD: Action by MR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She was entitled to $50,000 in nonpecuniary damages. Action by LVT dismissed. Both actions for personal and emotional injury should have been brought earlier and were dismissed as statute-barred. LVT's claim for sexual assault was also dismissed. The allegations required a high standard of proof and her evidence was vague and unreliable. The evidence of the other foster children was not admissible as similar fact evidence. It had no probative value, as the descriptions of the acts were too diverse. MR was a credible witness and there was direct evidence supporting her allegations. The Crown was liable on the basis of non-delegable duty. There was no evidence that MR had suffered any past wage loss, or that she would experience a future loss of opportunity. There was also no basis for an aggravated damages award and, as there was insufficient evidence that MR would require counselling, no future care costs were awarded.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3" w:name="Legislation Cited_29"/>
      <w:bookmarkEnd w:id="29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3"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Act, R.S.B.C. c. 266, s. 3(2).</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Victims of Crime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4" w:name="Counsel_46"/>
      <w:bookmarkEnd w:id="29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4" style="position:absolute;z-index:251808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G.M. Dickson, Q.C., for the plaintiffs. S.J. Harper and K. Birney, for the defendant, Her Majesty the Queen.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5" w:name="Judgment_46"/>
      <w:bookmarkEnd w:id="295"/>
      <w:r>
        <w:pict>
          <v:line id="_x0000_s1245" style="position:absolute;z-index:25185894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6" w:name="LANDER J."/>
            <w:bookmarkEnd w:id="296"/>
            <w:r>
              <w:rPr>
                <w:rFonts w:ascii="arial" w:eastAsia="arial" w:hAnsi="arial" w:cs="arial"/>
                <w:b/>
                <w:color w:val="000000"/>
                <w:sz w:val="30"/>
                <w:lang w:val="en-US" w:eastAsia="en-US" w:bidi="ar-SA"/>
              </w:rPr>
              <w:t>LANDER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two actions were tried together at Nanaimo, British Columbia. Each of the trials concern allegations of physical, emotional and sexual abuse perpetrated by R.P. and F.P., former foster parents of M.R. and L.V.T., two of their former foster children. Also it is alleged by the plaintiffs that sexual assaults were perpetrated against both plaintiffs by other foster children residing in the P. foster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plaintiffs' claim against the Provincial Crown is that these allegations of abuse, they say they suffered while in the foster care is based upon vicarious liability, non-delegable authority, breach of fiduciary duty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R.P. is deceased. F.P. who is 89 is in an extended care home in Williams Lake. She did not file an appearance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evidence reveals that M.R. was placed by the Superintendent of Child Welfare at the P.'s home in September 1961 and remained there until July 1975.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L.V.T., on the other hand, was placed by the Superintendent in the P.'s home in July 1964 and was removed from that home in August 1965.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Ms. M.R., in her evidence, alleged that R.P. frequently sexually abused her from the time, starting when she was approximately nine years old until she was 16 years old. She also states that an older foster child resident in the home, R.F. </w:t>
      </w:r>
      <w:r>
        <w:rPr>
          <w:rFonts w:ascii="arial" w:eastAsia="arial" w:hAnsi="arial" w:cs="arial"/>
          <w:color w:val="000000"/>
          <w:sz w:val="18"/>
          <w:lang w:val="en-US" w:eastAsia="en-US" w:bidi="ar-SA"/>
        </w:rPr>
        <w:t>[Ed. note: hereafter referred to as R.F. (1)]</w:t>
      </w:r>
      <w:r>
        <w:rPr>
          <w:rFonts w:ascii="arial" w:eastAsia="arial" w:hAnsi="arial" w:cs="arial"/>
          <w:color w:val="000000"/>
          <w:sz w:val="20"/>
          <w:lang w:val="en-US" w:eastAsia="en-US" w:bidi="ar-SA"/>
        </w:rPr>
        <w:t>, sexually assaulted her on several occasions. Further, Ms. M.R. testified that Mrs. F.P. treated her with physical and emotional cruelty.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L.V.T. alleges that Mrs. F.P. treated her with physical and emotional cruelty throughout her stay in the P.'s home. Also her evidence was that she was sexually assaulted on one occasion by an older male foster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Both plaintiffs' allege that they have been seriously psychologically harmed as a result of their experiences in the foster care of the 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M.R.'s action was commenced by writ of summons on July 17, 1997. Ms. L.V.T.'s action was commenced by writ of summons on February 9,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testified that she is 45 years of age, resides in Pemberton, British Columbia, with her common-law husband. She has an 11 year old son. She is a store supervisor employed by the Government Liquor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M.R., to the best of her recollection, revealed that she was placed in foster care when she was a baby and when she was five years old she went to the P.'s residence and spent 12 years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M.R. went into detail about her arrival at the P.'s home and she described the home as a "big old farmhouse in Errington, British Columbia." She said there were four bedrooms in the house, privy outdoors and that there were "so many kids in the house the house couldn't be kept clean."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M.R. went on to describe her relationship with two other foster children, R.F. [hereafter referred to as R.F. (2)] and R.F. (1). She said she became friends with R.F. (2) her elder by three years. She said R.F. (1) was five years older than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other person in the house with whom she felt a relationship with was D.P., the daughter of the defendants. Ms. M.R. stated D.P. was "pretty good to me and she would help me out with school work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M.R. in describing Mrs. F.P. said she was short woman, not a very happy person and was never nice around the children. She said, "She was very mean" to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to R.P. she said he was a medium build man, grey hair, seemed like "a friendly sort of 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to corporal punishment Ms. M.R. said that Mrs. F.P. would "smack me with her hand and backside with a leather belt." However, it is interesting that Ms. M.R. said "I think she was meaner with the other kids. I saw her dunk kids in a horse trough outside the house. Their heads were pushed under the water." The dunking she said happened on one occasion. Ms. M.R. said over the 12 years "I couldn't say how many times I was struck but the last time Mrs. F.P. struck me I was in my early teens."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M.R. went on to describe what she called "a kangaroo court. The kids would line up in two lines and the child who was bad had to run between the lines and be hit by the other kids." She stated that she would be in the line up in the living room. She said she was seven, eight or nine when she was involved in this kangaroo court. The court, she said, occurred every two weeks and it went on for a couple of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M.R. said that during the period when she lived in the P.'s home she referred to Mr. and Mrs. P. as mom and dad because, she said, "I wanted to be part of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She went on to say there was another punishment that was inflicted by Mrs. F.P. on another girl who had long hair. Mrs. F.P. according to Ms. M.R. "chopped her hair off" for doing something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It was Ms. M.R.'s opinion that Mrs. F.P. "didn't seem to like me very much. She said I was worthless and that my mom and dad won't come to see me." Ms. M.R. said over time I began to believe it and it mattered to her because she said "I wanted to be loved and cared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to the alleged sexual abuse, Ms. M.R. said, "Mr. R.P. sexually abused me when I was a child." It began, she said, "when I was seven or eight, he would fondle me." She said, "This was before my menstrual cycle started that he had sexual contact with me." She said he would come up behind her and "put his hands down my top and down my backside." "He would touch the top part of my body but I had no breasts then." Ms. M.R. said "I didn't like it, it was confusing to me." She said that "he would touch my vagina." She also stated that she remembered him touching other children. However, she does not remember the names of those other girls.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M.R. said that just before her menstrual cycles began he would expose himself and he would ask me to touch his genitals. She said this took place three times in the outdoor washroom. She also stated there was oral sex.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M.R. said that when she went to the outdoor bathroom he seemed to know I was going out there and he knew I was afraid of the dark and he would go with me. He then told me "Don't tell anyone." She said "I was afraid of being punished so I never told anyone." She stated that they had sexual intercourse in the house at a time when only he and she were left in the house. She said "I was left alone with him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to the foster child, R.F. (1), she said, "He raped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M.R. went on to say that the acts of sexual intercourse with Mr. R.P. stopped when she was about 15 when she told him to leave her alone. She said that it was then that she finally understood it was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As to R.F. (1) she said "I had sexual contact with him but I don't know how old I was." She said, "We had to walk to school and he would be waiting for me and would attack me in the bushes." She said she was by herself and she was eight or nine. She said, that "We had sexual intercourse and he used force." She said, "Later, I would just go with him, it was quite a few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to the Superintendent of Child Welfare's social workers and their contact with her, Ms. M.R. said, "I don't remember having a social worker. I don't remember anyone ever talking to me from the Ministry." She said "I do remember social workers coming to the P.'s house to talk with the 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her direct examination, Ms. M.R. described her life after she left the P.'s home; she was 17 years of age and had completed high school. Ms. M.R., after leaving the P.'s home was employed and she appeared to have no personal problems with drinking or drugs but her relationships were problematic. She did agree that while living in the West-end of Vancouver and working for the Guaranteed Trust, she started using street drugs and marihuana. She said however, "I quit when I was in my 30's and I also quit drinking."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M.R. stated that after 1974, when she left the foster home, "I remained in touch with the 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She said that D.P. came to see her about ten years later and she told D.P. about her relationship with her father. D.P. in her testimony agreed that this conversation took place. However, Ms. D.P. said Ms. M.R. told her about sexual relations with Mr. R.P. at Ms. M.R.'s apartment in Parksville, after Ms. M.R. left the foster home. Ms. D.P. said Ms. M.R. did not tell her about sexual relations with her father while living in the P.'s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M.R. suffers from bi-polar disorder. However, her evidence revealed that she controls it with medication since 1994. Dr. O'Shaughnessy, the psychiatrist called by the plaintiffs, states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M.R. has a significant psychiatric history. Her first episode occurred at approximately 24 when she experienced visual hallucinations and was hospitalized at St. Paul's Hospital. She was diagnosed as having Bipolar Affective Disorder or manic depression. Physicians recommended ongoing treatment with lithium, a mood stabilizer, but she declined. She had a second hospitalization at approximately age 30 with similar symptoms and was hospitalized at Nanaimo General Hospital for one day. She was again resistant to take lithium. Her third hospitalization occurred in 1994 at Lions Gate Hospital and I have had the opportunity of reviewing these records. They confirm the diagnosis of Bipolar Affective Disorder. She had a good response to medications and responded quickly. Since that time she has been on lithium carbonate as a mood stabilizer and has done quite well. She has been able to discontinue psychiatric follow up and Dr. Ledgerwood, her family doctor, now manages her lithium.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find that this affliction has not affected her ability to comprehend what occurred to her within the P. home. I have relied on Dr. O'Shaughnessy's conclusion in arriving at this determination: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above, Ms. M.R. did describe intrusive memories, nightmares, and flashbacks of what occurred when she was much younger. Over time these have abated and she no longer exhibits any major intrusive memories of the assaults. She has been able to understand what occurred in its context and I think her rather charitable view of what occurred in the P. family is the product of working through the abusive relationship. Putting it simply, I think she has dwelled long and hard over what has happened and has been able to reconcile in her mind what occurred and to some extent understand the motivations of Mr. R.P. I think this has served to assist her in putting things in context although she continues to underestimate the impact the childhood sexual assaults have had upon her personality development and choice of partners and choice of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As to Ms. M.R. present personal life, she said that she met J., the man with whom she lives with now in Pemberton in 1998. She described his drinking habits and his use of cocaine. She said that J. was offered a job at Whistler in 1998, he is a printer. He obtained a full time press job there and six months later the company was sold and he lost this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O'Shaughnessy testified. His evidence and report dated April 12, 2001, is helpful in understanding the present psychological status of Ms. M.R. and more importantly what affect the environment at the P.'s home and the alleged conduct of Mr. R.P. upon her has affected her at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O'Shaughnessy opined that Ms. M.R. has been able to develop emotional relationships despite her previous difficulties with the P.s, he states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Despite her husband's difficulties, she reports that they have a close relationship emotionally and she has been able to discuss intimate details with him without difficulty. She disclosed the sexual abuse to him some years ago and he has been quite supportive. She indicates to me that she is primarily responsible for organizing the family activities and resources and she is the dominant member of the relationship. She has some insight to recognize that she has always chosen men who allowed her to control and/or organize the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to the impact of the sexual abuse Dr. O'Shaughnessy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had the opportunity of talking in detail about the impact of the sexual abuse on Ms. M.R. It is evident from her description that her relationship with Mr. R.P. apart from the sexual abuse was quite positive and in fact she has many fond memories, as noted above. Indeed, if the sexual abuse had not occurred, she indicates that this would have been a very positive experience in her life and no doubt she would have continued her relationship with the P. family. She is aware that it as a complicated and ambivalent relationship in which on the one hand she sought his attention and affection because she felt there was relatively little coming from Mrs. F.P. Further. She describes that she liked Mr. R.P. who was described as a humorous and child-oriented type individual. She became extremely conflicted in her own mind over the sexual abuse. On the one hand, it is evident that she enjoyed the emotional attention and later enjoyed the physical arousal precipitated by the genital manipulation and eventual intercourse. On the other hand, she recognized that such behaviour was inappropriate and harmful and led her to considerable confusion as to the relationship with Mr. R.P. Eventually she sorted this out by simply severing contact with him after she disclosed the abuse to D.P.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M.R. tells me she does not have any major difficulties related to sexual dysfunction which is commonly seen in individuals with similar backgrounds. There is no evidence of Post-Traumatic Stress Disorder such as intrusive memories, nightmares, or recollections at this point although she certainly describes many such symptoms in her late teens and early twenties until she had the opportunity to think through the impact of the sexual abuse. She tells me during these periods she was quite distressed at various times but she seems to have been able to reconcile herself to what occurred and she has been able to stabilize her own life, especially in the last 10 years, and focus on her own child and marital relationships. It would appear that having her own child has had a major positive impact on Ms. M.R. This is not uncommon insofar as any person who has had difficulties in childhood tends to relive their own experiences when they have their own children. She has managed by devoting herself to her child and ensuring that he would never be apprehended or taken away. This was particularly important to her in 1994 when her common-law husband was drinking to excess and she was hospitalized with the result that he son was temporarily taken into care of the Ministry. She indicated she vowed she would never allow this to happen again and has become quite devoted to maintaining stability in the family thereafter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 sense she has been engaged in the psychological mechanisms of undoing, i.e. dealing in many ways with her own experiences by ensuring the protection of her own child.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current time, Ms. M.R. does not experience any intrusive memories, nightmares, or flashbacks of the sexual assaults by Mr. R.P. She is having difficulties recently in terms of diminished libido but previously did not experience any significant sexual dysfunction, as noted above. She denies any major signs or symptoms of anxiety at the current time and her moods are quite stable now that she is on lithium.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There were no current signs or symptoms of any impairment in her mood nor was there any evidence of any marked anxiety symptoms, panic attacks, phobic features, or symptoms of Post-Traumatic Stress Disorder. I saw no evidence of any though-form disorder, perceptual abnormalities, or delusional though content.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At the conclusion of his report Dr. O'Shaughnessy provides his diagnosis of M.R.: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is a 44-year-old woman currently suing for sexual abuse that occurred when she was a foster child from ages five through 17 in the P. family. Before commenting on the specifics of Ms. M.R.'s case, it is important to recognize that there are difficulties in determining causation between childhood traumatic events and adult outcome in terms of psychiatric functioning and/or personality functioning. In general terms, there are not any one-to-one clear relationships but rather all these aspects tend to be over-determined by multiple factors. Having said that, however, it is clear from the medical literature that children who have been sexually abused, especially within the family, have a significantly higher rate of a number of specific disorders in adulthood including substance abuse difficulties, Personality Disorders, specific psychiatric illnesses, sexual dysfunction, and relationship difficulties. The literature is also clear, however, that the response by individual to traumatic events in childhood is quite variable such that some individuals will have relatively little discernible psychological damage while others will be devastated.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O'Shaughnessy goes on to describe the sexual interference allegedly conducted by Mr. R.P. and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Certainly from her description of the abuse it is the type of activity that would lead to serious psychological damages to the vast majority of people who had experienced it.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evident that although I understand there were other problems in the P. home, Ms. M.R. has somewhat of a sanitized view of the situation compared to other individuals I have met who were also in the same family. I suspect much of this has to do with her own psychological need to perceive her life as being normalized. In addition, Ms. M.R. is philosophical about the P. family and has been able to put herself in the place of both Mr. and Mrs. P. in her attempt to understand how these behaviours occurred and their impact on her. She is in fact quite understanding of the stresses and problems faced by both Mr. and Mrs. P. at the time and quite charitable in her perceptions. Although she acknowledges that at times Mrs. F.P. was somewhat strict and frequently used corporal punishment, she also is aware that Mrs. F.P. may well have been under a great deal of stress with the number of children in the family and the usual coping with farm demands etc. She does not describe any significant physical abuse or emotional abuse and in many ways looks upon her life in the P. family as quite positive apart from the sexual assaults by Mr. R.P. As above, I suspect this is a sanitized retrospective view of her childhood.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Notwithstanding what Dr. O'Shaughnessy describes as Ms. M.R. doing extremely well in her life considering her background and frequency of sexual abuse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She does, however, have evidence of personality dysfunction that in my opinion is likely a consequence of the sexual abuse and other matters that occurred in her foster family. As I noted above, she has had particular difficulties in interpersonal relationships in which she seems to clearly choose men who have serious emotional or social problems and I think this reflects her own sense of impaired self-image.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She has been able to understand what occurred in its context and I think her rather charitable view of what occurred in the P. family is the product of working through the abusive relationship. Putting it simply, I think she has dwelled long and hard over what has happened and has been able to reconcile in her mind what occurred and to some extent understand the motivations of Mr. R.P. I think this has served to assist her in putting things in context although she continues to underestimate the impact the childhood sexual assaults have had upon her personality development and choice of partners and choice of lifestyle.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that Ms. M.R. has always been highly motivated and obviously has a great deal of personal resources to draw upon such that she has been able to maintain stable employment throughout her life. . . . Her prognosis is obviously positive given her strong motivation and stability to date and I would anticipate that she will continue to do well, especially if offered psychological counselling to enhance the quality of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R.F. (1) was called by the plaintiff. He is presently age 51 and resides in Duncan and is a construction worker. He testified that he grew up in the P.'s home. He arrived there in May 1955 and lived with the P.s until July 1969.when he left having attained 19 years of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He remembers being punished by spanking, beatings with the razor-strap with a big buckle on it. He said "At first the old man did it and then when I was 8, 9, and 10 it was the woman."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R.F. (1) testified and described that he wet his bed a lot and he would be punished for it, he stated: "She, Mrs. F.P. would rub the wet pyjamas in my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R.F. (1) also described his sister R.F. (2)'s bed in the attic as being covered with mesh bedsprings and completely enclosed.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R.F. (1) admitted that during the period in which he lived at the P.s he started to sexually abuse his sister R.F. (2) and M.R. He said, "I must have been a teenager." He said he had contact with M.R. in the rooms in the garage and once in the bushes or maybe twice. It is important to note that in Mr. R.F. (1)'s direct testimony as a witness for the plaintiff he said, "We never had actual sexual intercourse." Finally, Mr. R.F. (1) described the P.'s home as "a horrible place to be." He said further "no one ever came to see me and no social worker ever talked to him while he was in the P.'s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called W.S., who is presently 47 years of age and lives in Prince George. He was placed in the P.'s home on April 30th, 1964 and lived there until July 1966. He remembers that R.F. (1), R.F. (2), D.P. and M.R. as living in the home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He said that when he arrived at the P.'s home, Mrs. F.P. at first was pleasant to them and gave them extravagant meals. He said that subsequent to the punishment he received was excessive and painful he believed. He said Mrs. F.P. would grab him by the hair; she would strap him with a paddle or a spoon. He said at one time he stepped in her garden and she hit him with the wooden spoon. He said, "It hurt."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He testified that Mrs. F.P. would call him "A dirty rotten little Indian and that I was going to grow up like my parents." He said that Mrs. F.P. would not allow him to look her directly in the eye and that he had to look down. He said that if he looked her in the eye he would be struck. He described the food as I take it, not being very good and said that he was always hungry and that he had to wear hand-me-down clothes.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He alleged that D.P. would hit him by slapping him across the head. He said Mrs. F.P. was there and she wouldn't do anything when her daughter struck him. He said Mr. R.P. would strap him with his pants down and that he was always instructed by Mrs. F.P.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He went on to state that she never hit R.F. (1) or D.P. and occasionally she hit M.R.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According to Mr. W.S. it was his sister's long hair that was cut off by Mrs. F.P. and stated he overheard Mrs. F.P. on the telephone say that she would receive a lot of money for it. Mr. W.S. said that as to punishment, "they had to do laps of an approximate three hectare field. It had to be along the fence at a certain pace and if they went too slow they would be strapped."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W.S. said at times that "Mr. R.P. would take M.R. and my sister into the bedroom one at a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W.S. went on to say that he had spoken to his social worker. "I spoke to my social worker about the punishment to myself and my brother and sister, the social worker told me to be quiet and I had to endure it." Mr. W.S. said that when the social worker came for a monthly visit he spoke to her four to six times. He said the social worker would then go to Mrs. F.P. and then he said "I would really get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 further witness was V.B. formally V.B. Ms. V.B. is aged 41 and she was placed in the P.'s home in the Fall of 1966. She was five at the time she entered the P.'s home and remained there for one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punishment she said for walking on the grass was crawling on a gravel driveway in front of the P.'s home. She said it was long and it hurt. She said it was "Mrs. F.P. that made us do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V.B. complained that Mrs. F.P. cut her hair off. Further, she said, she wasn't allowed to talk to her brothers.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S.P. (née P.) was called by the plaintiff. She said that she was 46 years old, lives in Courtenay and she resided in P.'s home from January 21, 1970, to May 21, 1971. She testified that when she was outside the house on orders, I take it, of Mrs. F.P., "If I heard screams from the house I was to ignore these screams." She said, "I wasn't allowed to talk with the other children. I was not allowed to go into my sister's room or my brother's room." She said, "I was never hit, I was just yelled 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S.P. said food was scarce and it was controlled by Mrs. F.P. She said her younger sister's hair was cut off by Mrs. F.P.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thought Mr. R.P. was a nice guy. He would buy me cigarettes." She also said that Mr. R.P. took her to a barn dance and gave her alcohol. When they got home she said Mrs. F.P. and he were fighting about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S.P. stated she remembers a girl named M.R. "Mr. R.P. was always touching M.R." Touching the breasts but she couldn't recall if there was any touching below the chest. She said that when they went out with Mrs. F.P., M.R. never went with them and that Mr. R.P. would remain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cross-examination when asked about the screams that she had testified to in direct examination, she replied, "After I spoke to you (Ms. Birney, counsel for the defence) I remembered the screams."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M.R. said that when she was 30 years old she placed an ad in the paper in hopes of locating her biological parents. She was successful and she met with her parents and five siblings in Nanaimo. Mr. R. testified on behalf of his daughter.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On cross-examination Mr. R. repeated that M.R. told him in 1986 that she had been molested by "her dad" - foster father. Mr. R. told her to go to the police but she didn't want to he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 former foster child named S.W. (née: R.) testified for the plaintiffs. She resided in the P.'s home from June 28, 1974, to August 1, 1979. She is 41 years of age and lives in Nanaimo.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S.W. described her arrival at the P.'s home at the age of 13. She said she was greeted and she was shown her bedroom and was told to go outside after lunch. She said she went outside and wandered around and looked around and went to an old swing in the front and then went to the garage and workshop.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R.P. came out and gestured for me to come toward him. I went up to him and he took me inside the workshop. He pulled down my pants and underwear and stuck his penis in my vagina. He raped me. He didn't speak to me at all. I didn't say anything. He took 5 to 10 minutes. He was on top of me and he withdrew and he sent me out of the garage. I felt dirty. I didn't know what to do because it was my first day at the P.'s home. I was afraid of what might happen to me. It was the only time that it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She said, during her time at the P.'s home, Mr. and Mrs. P. ignored her after meals. She was sent outside until the next meal. She said she was not allowed to dress "like the other kids." She said, "When I was 13, Ms. D.P. was my size, she was small. She tried to discipline. She told me to bend over and she hit me and I laughed and Mrs. F.P. never hit me again. I left the P.'s home in 1979 and I told my social worker sometime between 1985 and 1987 about what happened to me because it bothered me. The social worker looked into it but nobody came and spoke to me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It is interesting to note that on cross examination, when being asked about the allegation that Mr. R.P. raped her on the first day she arrived at the P.'s home, she replied: "I am sure I was raped the first day I was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She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not certain of the time when I first told someone about the rape. It could have been a financial assistance worker. I asked a social worker when I was 19 to find out about my family and aboriginal background. I had a long meeting with the social worker - it may have been Mrs. Wheeler, Drew Wheeler.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Unfortunately, Ms. S.W. came under care for schizophrenia for which she was diagnosed in 1998. She said she started to hear voices and these voices, she said, "...were telling me things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 called R.F. (2), the sister of R.F. (1), who is presently 49 years of age. R.F. (2) went to the P.'s home on May 19, 1955, to November, 1969. She was two years of age when she arrived at the P.'s home. She readily admitted on her direct examination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blank spots in my memory. I have seen copies of my records and they definitely have brought back memories.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Ms. R.F. (2) stated that her brother, R.F. (1), and she were the first children in the P.'s home. Ms. R.F. (2) stated that she remembers M.R., W.S. and L.V.T.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As to her relationship with Mrs. F.P., she said that Mrs. F.P. was very cold toward her and she never felt relaxed.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state of being punished was normal. It was quite frequent.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She said the children were strapped across the "butts and hands." She said that Mrs. F.P. was "harsh to the extreme, you would wonder when it would stop, it was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Ms. R.F. (2) described a cage she was obliged to sleep in the attic. She went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were bats up there. I thought they would get caught in my hair and I would get rabies.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At one time she said at dinner when she sat at her place there was a dead mouse on her plate. She said, "I couldn't believe it was real."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It is interesting to note that Ms. R.F. (2) said that the P.s had favourites, their daughter, D.P., M.R., and R.F.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walked into the room. He was feeling M.R.'s bum and breast. M.R. was about 11 I am guessing. I didn't say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On cross examination Ms. R.F. (2)'s memory was revealed as hazy. One can understand that this was because of the period of time that has passed since she was in the P.'s home and that her memory could be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first issue to be determined is what use should be made of the evidence of R.F. (2), R.F. (1), S.W. (R.), S.P. (P.).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These witnesses were resident in the P.'s home at the same time as M.R. and some of them for part of period when Ms. L.V.T. was present, that is, from July, 1964, to August, 1965.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advances the events as "similar fact evidence." The court is able to consider this evidence as direct evidence as to the conduct of the P.s relative to the children who were there at the same time as Ms. M.R. and Ms. L.V.T. On the submissions of counsel it is difficult to ascertain what the plaintiff submits as "similar fact evidence." With the greatest respect, this was not well enunciated. However, applying the law to the evidence the following points must be considered:</w:t>
      </w:r>
      <w:r>
        <w:rPr>
          <w:rFonts w:ascii="arial" w:eastAsia="arial" w:hAnsi="arial" w:cs="arial"/>
          <w:sz w:val="20"/>
          <w:lang w:val="en-US" w:eastAsia="en-US" w:bidi="ar-SA"/>
        </w:rPr>
        <w:cr/>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relevance of the disputed evidence</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weight of the evidence</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amalgamation of relevance and weight to arrive at "probative value"</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due regard to the exclusory presumption consider whether the probative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One aspect of the evidence that I have heard is that there is no system or design or pattern of similar behaviour suggesting that any of the witnesses' evidence had probative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It is apparent from the evidence that the witnesses for the plaintiff allege that the punishment meted out by Mrs. F.P. was cruel. However, the varying descriptions of those acts are so diverse that the court can give little weight to their evidence. For example: the witness Mr. B. describes being made to crawl up the driveway. None of the other witnesses called, present at the same time as Mr. B., testified as to either seeing that or being compelled to do it themselves. The other example is the mouse on the plate being testified to by R.F. (2). There must have been children and in all likelihood Ms. M.R. might have remembered such a startling occurrence at the dinner table. I cite these as examples of what I consider the inadequacy in the witnesses' evidence about the P.'s alleged tortious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evidence of the alleged sexual acts of Mr. R.P. also lacks any degree of showing a system or design by him. However, the evidence of R.F. (2) that she saw Mr. R.P. fondling M.R. is, of course, direct evidence and 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Where the evidence of the witnesses called for the plaintiff might be said to be "similar fact evidence," I find that this evidence is inadmissible both in the M.R. and L.V.T.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 L.V.T., testified that she is 44 years of age, unemployed. She receives a Level 2 pension for anxiety, post-traumatic stress, and depression. Ms. L.V.T. resided in the P. home from July, 1964, to August, 1965. She at the time would have been six years old when she entered the home and seven years old when she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Ms. L.V.T. has throughout her life suffered greatly at the hands of adults, particularly, her parents. She had six siblings whom her mother would leave alone. She stated before being apprehended by the Ministry, she experienced sexual abuse from her maternal grandfather. She stated her father went to jail for raping her sister when she was eight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Her description of her life in the family home is distressing and one can consider that her early existence had a profound affect upon her which is still being manifested.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L.V.T. alleges that she was raped by a boy who was living in the P.'s house, on the first day she was placed there. She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don't know when the rape occurred. He raped me. He put his penis in my vagina and forcibly had sex with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During this encounter she said: "I felt like I left my body but I knew I was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She went on to say in her direct examination that she didn't know the boy's name, but that she saw him later in the kitchen having dinner. She told no one about the attack.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Ms. L.V.T. stated that her sister Denise who was also in the care of the P.s was punished for eating clover because she was hungry. She was compelled to put cardboard casts on her arms and to eat like a dog at the dinner table. Mrs. F.P. was the perpetrator of that alleged extraordinary punishment says Ms. L.V.T. Again, no other witness who might have been present at the time was called to support Ms. L.V.T.'s assertion.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One aspect of Ms. L.V.T.'s evidence that reveals a degree of vagueness and unreliability, I find, is when she stated that she had a bowel movement in the potty that was available in the bedroom upstairs rather than going to the outhouse. She said she was punished: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were lined up by Mrs. F.P. She had two boys as helpers on the farm. They were bigger and we were dunked in the horse trough. We were stripped. I remember being put in and under water and feeling like I was going to die. I was held down. I had a panic feeling. I got the message that I had done something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evidence of D.P. is that there were no employees or helpers on the farm, Mr. R.P. himself did all the work on the farm according to her. None of the other witnesses called by the plaintiff describe helpers or workers that were on the farm when they were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Ms. L.V.T. went on in her direct evidence to describe her father and her mother's boyfriends sexually assaulting her. This unfortunate lady has been an object of male sexual aggression that could have no effect other than causing extreme confusion and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Later in Ms. L.V.T.'s direct examination she said in response to her counsel's questions: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was a time when I didn't remember the boy raping me or seeing Ms. Marshall (a counsellor). Little by little things came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never wanted to sue. I never knew I could sue for child abuse until I saw you (referring to Ms. Dickson, plaintiff's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On cross-examination Ms. L.V.T. was asked about her interviews with Dr. O'Shaughnessy, the plaintiff's expert. She was asked about Dr. O'Shaughnessy's report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L.V.T. tells me that after her father was jailed when she was eight years of age the family situation deteriorated further because of her mother's ongoing alcohol abuse difficulties. Further, there was some disclosure of the allegations that he sexually abused her older sister that was discovered by other children who in turn teased her. Ms. L.V.T. denies that father sexually abused her although I note in other records that this may have also occurred. Her difficulties were further complicated by the fact that her mother pressured Ms. L.V.T. to testify in father's sexual assault trial. She testified that she had witnessed the sexual assault of her older sister because she was pressured by her mother although she states she could not recall what she actually saw or said at the time and certainly this appears to be a confusing issue for her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When asked about this particular paragraph she stated - "I told him what I wanted to believe."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This deals, of course, with the father assaulting her sister however, it reveals that Ms. L.V.T. suffers from difficulty in determining what is reality. She went on further to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I saw Dr. O'Shaughnessy, I didn't think about the fact that this report would be put in front of a judge. I am sure it was a foster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She was referring to her allegation that it was a foster child in the P.'s home who raped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 called as a witness Deborah Marshall, who is a registered clinical counsellor who practices in Nanaimo. She has counselled L.V.T. since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Ms. Marshall said there was minimal mention of Ms. L.V.T.'s time in foster care and she said, "It really didn't come up in any way until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Her evidence is important on cross examination. Ms. Marshall said when she first saw Ms. L.V.T. as a result of an assault by a case worker she had already made claims and received an award under the Victims of Crime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Ms. Marshall discussed the abuse that Ms. L.V.T. alleged occurred in the P.'s home, but she said that she didn't know the details of the abuse. She did say that she was told about deprivation of food, but she was never told about the well incident (I take that to mean the water trough incident.) She did record it, however, but she didn't follow up on it. She said it was stressful. There was a disturbance there. She said she was no longer seeing Ms. L.V.T. Ms. Marshall said that in her opinion it wasn't helpful to pursue the past, she was focusing on the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It is apparent from this evidence that as early as 1994, Ms. L.V.T. was aware that she could be compensated and was compensated under the Victims of Crime Act for the allegations of sexual assault upon her. It is not apparent from the evidence whether the compensation was inclusive of the alleged sexual assault of which she now complains.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defence opened by calling Ruth Emma McHaffie, a retired social worker. She was employed in the Ministry from 1961 to 1988. She was asked about her in-service training, her education within the Ministry and her work history. Ms. McHaffie stated, "I worked in many positions in the office, I was familiar with the function of the Ministry." She said, "In 1965 I took on child protection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When asked about the P.s she said, "I remember Mrs. F.P., a very kind woman, very tiny." She said she did not have distinct recollection of Mr. R.P.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She reviewed the records of M.R. but she said it was very difficult to place a child who had a handicap, mental retardation and grand mal epilepsy. She stated that the P.'s home became a permanent foster home for M.R. She said the Ministries concern was that a child was going to have a long-term stable home maintenance and cost was not the issue. She did agree that contact between the social worker and the P.s, where there was a long-term arrangement was not as frequent as for other children who were in temporary care. She said the Ministry would consider a child who was in a permanent placement and they would not be in contact with the foster parents often as the child would be considered as an adopted child. She did agree that the Ministry had a responsibility to keep in touch. She said they would have contact with the foster parent and the foster parent would draw anything to the social worker's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With reference to the P.s she said, "They did not mind taking any child. We were very glad about that." She went on to state that it was extremely difficult to place children with behavioural problems and that she said "The P.s took on kids who were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Ms. McHaffie was asked about sexual abuse and she stated that they did not have any training but if it was brought to her attention they were required to report it to the police. The Ministry according to her did produce a manual in 1980 relative to child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She said we never suspected the P.s of any untoward behaviour she thought of them as "people we could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She said between 1961 and 1970's corporal punishment was acceptable in society as long as it was not harsh.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When asked about M.R., Ms. McHaffie said on her review of the records that M.R. was not "a normal child" and that when she inspected the P.'s home she had no difficulty in talking to Mrs. F.P. She would take into account the emotional atmosphere of the home and when she was there the kids were playing and they looked like they were being properly nourished.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Ms. McHaffie agreed that when she was responsible for the P.'s home she said her first responsibility was the safety of the children. She said "I never had any suspicion of physical abuse by the P.s. I never had any complaint of physical abuse by the P.s." It was Ms. McHaffie's opinion that M.R. had made a very good adjustment to the 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Ms. McHaffie said M.R. never told me that she had been sexually abused by Mr. R.P. No complaints that she had been physically abused or emotionally abused.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Ms. McHaffie said that she was L.V.T.'s social worker for a short time. When she was asked about adding bleach to the bathwater for the children, she said that the water supply was short in Errington and that it would not be considered abuse. She said further that the amount of bleach would be a factor and that it was for the protection of the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She said she had never received a complaint that a child had been dunked in a horse trough. She said had she received complaints she would have investigated to find out the circumstances. With reference to R.F. (2) and R.F. (1), she said she had no reason to suspect such untoward sexual conduct by R.F.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On cross-examination she was asked about the policy of the Ministry and how she dealt with the placements of children. She was asked whether she would have made notes had she received complaints. She said, "I have no notes but if I had made them they would be on the file."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She agreed with Ms. Dickson that once a child was in a long-term placement, it would be her responsibility to supervise. She said I had to maintain a contact with the family and there were various degrees of planning. She once again repeated that a long-term placement was to be considered as if the child was adopted.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As to the B. children, she said, she was responsible for them for one year. She was asked about Exhibit 15, wherein she made two entries and she agreed that there was no mention of what happened with the B.s within the P.'s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Further, with reference to the B. children, Ms. McHaffie stated that she was aware that the B. children were unhappy. They expressed their unhappiness to their mother. She said she could not remember whether the B. children were asked why they were unhappy. She stated with reference to these children she shared the responsibility with another social worker. She did agree that she reviewed the P. file and said "I was concerned about the problems identified in the P.'s home." She said she could never substantiate the allegation that Mrs. F.P. was taking children for "monetary motivation." She did add as follows: "One cannot see how anyone could make enough money considering the amount that they were being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Ms. Dickson cross-examined Ms. McHaffie about M.R. She said a part-time placement was hard for M.R. because it was suspected that she had health problems and retardation which subsequently proved to be untrue. In 1963 they were looking for a home that might adopt M.R. Ms. McHaffie's opinion of M.R. was that she was not vindictive, a liar or manipulative and that she was "good in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Ms. McHaffie was asked about forms of punishment and in particular she was asked about forcing a child to eat twigs with cabbage. She stated that this was an unacceptable form of punishment.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Graham Peter Ramsay was the District Supervisor of the Ministry of Children and Family Maintenance from 1980 to 1986. His district was the centre of Nanaimo south to Ladysmith. He said Parksville had a separate office. Mr. Ramsay, I found to be a competent forthright witness, however, his memory of the events was not good. This is explained, I find, by the number of files he would have dealt with and the time that has elapsed since he was employed by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Ramsay had set forth policies and what steps the Ministry would take in certain circumstances. His memory was such that he said he did not recall getting any complains, he said they were very rare but he would not go so far as to say that there were no complains.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Edmond Ross was called. He also is a retired social worker and he was employed in the Nanaimo office from June 1961 to 1966. He said that "It never entered our minds that a foster parent was sexually assaulting a child. Nothing ever occurred to cause suspicion." He did agree on direct examination that he had no training about indicators of sexual abuse. His visits to foster homes depended on whether the child was a permanent or a temporary placement.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cross-examination he told Ms. Dickson, "I can't say when I took over the care of the children in the P.'s home. The 1964 records show my first involvement." He stated that he was not involved before that. Mr. Ross was asked about R.F. (1) and R.F. (2). He was referred to Exhibit 10, Tab 1 page 18 and he said he had no memory of that. He said, "I can't remember a child expressing unhappiness to me." He said his practise would be to investigate a child's unhappiness if he received such a complaint. He said that he would investigate the matter to see if a child were being deprived of adequate nourishment and clothing and if so he would take action. He did agree with Ms. Dickson that there was always a risk that physical abuse would occur by foster parents. He said, we would discuss with foster parents the type of supervision that they would provide.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final, former employee, of the Ministry called was Judy Forbister. She dealt with S.W. (R.) in 1984 and her allegations of sexual abuse. She did say that she interviewed S.W. on October 20, 1984, and that was the only time that she met her. Ms. Forbister said that because Ms. S.W. was an adult, she encouraged her to report her allegations to the police. Ms. Forbister went on to say, "My impression was that she did not want to report it." She stated her mandate was protection of children and that she did consider an adult complaint important because if there were any children in the home that would be of concern to her. She stated she had no further contact with Ms. S.W. after October 25, 1984. She further stated she had no other historical complaint of sexual abuse in a foster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Ms. D.P., the child of R.P. and F.P. was called by the defence. She is now 53 years old, divorced with two children. She is employed as a clerk by the Provincial Government at Williams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Ms. D.P. described growing up in Errington. She said that her parents had 18 acres which included a large meadow in front and eight acres around the house which was fenced. She said there was livestock in the eight acres. She stated that they never had a bull. They had milk goats, a Jersey cow, calf, two female donkeys and a horse. She could not remember the year that they obtained the cow and the calf.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Ms. D.P. lived on the Errington property until 1967 when she married. After her marriage she and her husband lived adjacent to the parents' property. She resided with her husband on that property from 1967 to 1980 and then she and her husband moved to Williams Lake.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When asked about foster children in the home she said she remembered R.F. (1), and said, he was like her "kid brother." She did agree she had an incident with R.F. (1) which was I find mere normal childhood sexual curiosity and nothing more. She said she never saw R.F. (1) participate in any act such as that with any other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When asked in direct examination about her wardrobe compared to the foster children in the P.'s home, she said, "I am not conscious of it but the foster children were dressed comparably to me." She did say that her parents practised thrift. She said, "All the kids had chores, there was a schedule drawn up and the chores were rotated." "The children were expected to do their homework."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She stated, "I was a responsible person, I obtained good grades in school and I didn't get into any trouble with drugs or alcohol." She was asked to describe the house and the bedrooms and the attic. She said, the attic was a multi-purpose room, it was used sometimes as a bedroom but she stressed that there was no cage or box with a bed in it in the attic. She said there was no shortage of food in the house. As to corporal punishment, she said, "My parents had a ping pong paddle, threats were made but it was never used." She denied there was ever a kangaroo court or a gauntlet form of punishment.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Ms. D.P. said there was never any hired help on the property. She said her father maintained the eight acres himself. A hired hand was not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Ms. D.P. described M.R. as "A sweet little girl, a girl of a mild nature." She said, "I believe M.R. did well in school. She wasn't a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As to the use of the outhouse as opposed to the indoor plumbing she said that that was required because of the low water table in the Errington area and there was a shortage of water so it was necessary to use the outhouse. Also, she stated, that she could not recall a tin bathtub for watering livestock. She stated that she never saw a child being dunked in a horse trough. She was shown photographs of the inside of the home which she identified. She stated that there was no door on the parents' bedroom but later a curtain was placed over the entrance.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Ms. D.P. did state that she remembered L.V.T. and to her she seemed "quite happy." As to the B. children, she vaguely remembers them. She denied in direct examination any sexual contact with the witness 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She said that she kept in touch with M.R. after M.R. left the P.'s home and that she heard from M.R. in 1984 and M.R. wanted to have a conversation with her. They met in Vancouver and M.R. told her that while she was in her apartment in Parksville she had gone to bed with my father. She did not tell me she had sexual relations with my father while she was living in our home in Errington.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On cross-examination Ms. D.P. replied to Ms. Dickson that she is, "I am at menopause age and I don't have a very clear memory of things. Day to day things are vague and I was focused on myself, like children do." She said, "It was a normal child thing that I would not be paying much attention to the foster children." She said, as to M.R., "We were not close there was a significant age difference."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Ms. D.P. said she does not keep in touch with any of the former foster children. She said she had no falling out with R.F. (1), she thought of him as a brother. She said, she does not recall talking to any social worker. However, she did have a vague recollection of Mrs. McHaffie but she did not know if she was in fact a social worker.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Once again, she restated that she never saw her mother or father applying physical punishment to the children. She said, "I am not saying that corporal punishment wasn't applied, I didn't see it." Again, she stated that she did not remember her mother keeping R.F. (2) in a cage in the attic.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Ms. D.P. went on to state, "I never saw my father touch any of the foster girls inappropriately."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That completed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issues to be determined are whether the physical, emotional and sexual abuse complained of by the plaintiffs occurred as alleged or at all.</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physical and emotion abuse complained of did occur are the plaintiffs' claims in respect of it barred on the basis of the Limitation Act?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abuse complained of did occur is the Crown liable for it on the basis of vicarious liability; non-delegable duty; breach of fiduciary duty and/or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Crown in its statement of defence advances as a defence the Limitation Act R.S.B.C. c. 266.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M.R. issued the writ in these proceedings on July 17, 1997 some 24 to 29 years after the alleged acts are to have occurred. Ms. M.R. reached her age of majority on July 13, 1975.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evidence of Ms. M.R. and the records reveal that in 1987, a hospital social worker recommended that Ms. M.R. have psychotherapy and she was referred to the Columbia House Community Care facility for that. In 1994, Ms. M.R. continued counselling from Dr. Gaite, a psychiatrist, when she informed him about her foster care experiences. About that time she told her husband that - "She might want to go to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In February 1997, Ms. M.R. testified in the case of K.L.B. v. British Columbia, </w:t>
      </w:r>
      <w:hyperlink r:id="rId812" w:history="1">
        <w:r>
          <w:rPr>
            <w:rFonts w:ascii="arial" w:eastAsia="arial" w:hAnsi="arial" w:cs="arial"/>
            <w:i/>
            <w:color w:val="0077CC"/>
            <w:sz w:val="20"/>
            <w:u w:val="single"/>
            <w:shd w:val="clear" w:color="auto" w:fill="FFFFFF"/>
            <w:lang w:val="en-US" w:eastAsia="en-US" w:bidi="ar-SA"/>
          </w:rPr>
          <w:t>[2001] B.C.J. No. 584</w:t>
        </w:r>
      </w:hyperlink>
      <w:r>
        <w:rPr>
          <w:rFonts w:ascii="arial" w:eastAsia="arial" w:hAnsi="arial" w:cs="arial"/>
          <w:color w:val="000000"/>
          <w:sz w:val="20"/>
          <w:lang w:val="en-US" w:eastAsia="en-US" w:bidi="ar-SA"/>
        </w:rPr>
        <w:t xml:space="preserve">, </w:t>
      </w:r>
      <w:hyperlink r:id="rId812" w:history="1">
        <w:r>
          <w:rPr>
            <w:rFonts w:ascii="arial" w:eastAsia="arial" w:hAnsi="arial" w:cs="arial"/>
            <w:i/>
            <w:color w:val="0077CC"/>
            <w:sz w:val="20"/>
            <w:u w:val="single"/>
            <w:shd w:val="clear" w:color="auto" w:fill="FFFFFF"/>
            <w:lang w:val="en-US" w:eastAsia="en-US" w:bidi="ar-SA"/>
          </w:rPr>
          <w:t>2001 BCCA 221</w:t>
        </w:r>
      </w:hyperlink>
      <w:r>
        <w:rPr>
          <w:rFonts w:ascii="arial" w:eastAsia="arial" w:hAnsi="arial" w:cs="arial"/>
          <w:color w:val="000000"/>
          <w:sz w:val="20"/>
          <w:lang w:val="en-US" w:eastAsia="en-US" w:bidi="ar-SA"/>
        </w:rPr>
        <w:t xml:space="preserve"> an action concerning physical abuse in the P.'s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Ms. M.R.'s father discussed with Ms. M.R. as early as 1986 the allegations made by Ms. M.R. to him about the physical and emotional abuse she experienced in the P.'s home. As stated earlier, her father said that she should go to the police and it was then that Ms. M.R. considered bringing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At no time subsequent to the conversations with Mr. R. or with her husband or Dr. Gaite did she seek any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With reference to the tortious acts alleged in the statement of claim by Ms. M.R. exclusive of the sexual acts, I find that her action should have been commenced prior to July 17, 1997. Her action for personal and emotional injury, are statute barred by s. 3(2) of the 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As to Ms. L.V.T., she reached the age of majority on February 9, 1977.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evidence reveals that in 1990, Ms. L.V.T. went to a sexual assault centre and talked about the sexual abuse and to the police in Victoria, B.C. Further, the evidence reveals on April 12, 1995, she was advised by an officer of Victims of Criminal Injuries of the right to sue the wrongdoer. Ms. L.V.T. first sought legal advice about the claims that are made in this matter in September of 1997, and the writ was issued on February 9, 1998, on her 40th birthday, some 35 years after the alleged torts and sexual assault were committed against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 find that the claims of Ms. L.V.T., exclusive of the sexual assaults claimed in her statement of claim, are statute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There remains to be decided in both actions the claim "based on misconduct of a sexual nature." The plaintiffs' right to bring an action for a sexual assault is not governed by a limitation period. See: Limitation Act R.S.B.C s. 3(2)l). As to the allegations of sexual misconduct claimed by Ms. M.R. and Ms. L.V.T., the court must consider the standard of proof that is required. The court of appeal in M.B. v. British Columbia, </w:t>
      </w:r>
      <w:hyperlink r:id="rId813" w:history="1">
        <w:r>
          <w:rPr>
            <w:rFonts w:ascii="arial" w:eastAsia="arial" w:hAnsi="arial" w:cs="arial"/>
            <w:i/>
            <w:color w:val="0077CC"/>
            <w:sz w:val="20"/>
            <w:u w:val="single"/>
            <w:shd w:val="clear" w:color="auto" w:fill="FFFFFF"/>
            <w:lang w:val="en-US" w:eastAsia="en-US" w:bidi="ar-SA"/>
          </w:rPr>
          <w:t>[2001] B.C.J. No. 586</w:t>
        </w:r>
      </w:hyperlink>
      <w:r>
        <w:rPr>
          <w:rFonts w:ascii="arial" w:eastAsia="arial" w:hAnsi="arial" w:cs="arial"/>
          <w:color w:val="000000"/>
          <w:sz w:val="20"/>
          <w:lang w:val="en-US" w:eastAsia="en-US" w:bidi="ar-SA"/>
        </w:rPr>
        <w:t xml:space="preserve"> (B.C.C.A.) determined that the standard of proof requires a high degree of probability commensurate with the seriousness of the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In L.D. v. G.P., </w:t>
      </w:r>
      <w:hyperlink r:id="rId814" w:history="1">
        <w:r>
          <w:rPr>
            <w:rFonts w:ascii="arial" w:eastAsia="arial" w:hAnsi="arial" w:cs="arial"/>
            <w:i/>
            <w:color w:val="0077CC"/>
            <w:sz w:val="20"/>
            <w:u w:val="single"/>
            <w:shd w:val="clear" w:color="auto" w:fill="FFFFFF"/>
            <w:lang w:val="en-US" w:eastAsia="en-US" w:bidi="ar-SA"/>
          </w:rPr>
          <w:t>[2001] B.C.J. 2582</w:t>
        </w:r>
      </w:hyperlink>
      <w:r>
        <w:rPr>
          <w:rFonts w:ascii="arial" w:eastAsia="arial" w:hAnsi="arial" w:cs="arial"/>
          <w:color w:val="000000"/>
          <w:sz w:val="20"/>
          <w:lang w:val="en-US" w:eastAsia="en-US" w:bidi="ar-SA"/>
        </w:rPr>
        <w:t xml:space="preserve"> (B.C.S.C.) Madam Judge Downs in referring to a decision of Madam Justice Stromberg-Stein of this court in V.(J.L.) v. H (P). </w:t>
      </w:r>
      <w:hyperlink r:id="rId815" w:history="1">
        <w:r>
          <w:rPr>
            <w:rFonts w:ascii="arial" w:eastAsia="arial" w:hAnsi="arial" w:cs="arial"/>
            <w:i/>
            <w:color w:val="0077CC"/>
            <w:sz w:val="20"/>
            <w:u w:val="single"/>
            <w:shd w:val="clear" w:color="auto" w:fill="FFFFFF"/>
            <w:lang w:val="en-US" w:eastAsia="en-US" w:bidi="ar-SA"/>
          </w:rPr>
          <w:t>(1997), 31 B.C.L.R. (3d) 155</w:t>
        </w:r>
      </w:hyperlink>
      <w:r>
        <w:rPr>
          <w:rFonts w:ascii="arial" w:eastAsia="arial" w:hAnsi="arial" w:cs="arial"/>
          <w:color w:val="000000"/>
          <w:sz w:val="20"/>
          <w:lang w:val="en-US" w:eastAsia="en-US" w:bidi="ar-SA"/>
        </w:rPr>
        <w:t xml:space="preserve">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Madam Justice Stromberg-Stein also discussed the standard of proof in such cases. She said this at paragraphs 117 through 120 of her judgment: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civil standard of proof on a balance of probabilities is a flexible standard that enables Courts to require a higher degree of probability of persuasion in a case involving allegations of sexual, physical and emotional abuse made by a child against a parent. The seriousness of the allegations and the gravity of the consequences requires a high degree of probability that the allegations are true. This approach was set out by Lord Denning in Bater v. Bater, [1950] 2 All E.R. 458 (C.A.), at 459: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case may be proved by a preponderance of probability, but there may be degrees of probability within that standard. The degree depends on the subject matter. A civil court, when considering a charge of fraud, will naturally require a higher standard of probability than that which it would require considering whether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were established. It does not adopt so high a degree as a criminal court, even when it is considering a charge of a criminal nature, but still it does require a degree of probability which is commensurate with the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 propose to deal firstly with Ms. L.V.T.'s allegations of sexual misconduct by the "older foster boy" who she says sexually assaulted her on the first day she was in the P.'s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Dr. O'Shaughnessy in his report concerning Ms. L.V.T. states at page 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L.V.T. tells me she has a clear memory of one sexual assault as well as memories for part of other events. It is difficult to know in retrospect whether these are part of the same events or separate ones that have been collated in her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Applying the standard of proof required in these cases, I find that Ms. L.V.T.'s evidence is unreliable and therefore she has not met the standard of proof and her claim for sexual assault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Ms. M.R. underwent an examination for discovery on November 19, 2001, in Vancouver. At page 85, question 379 she was asked the following question:</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you were in the P. home, did you have any other sexual experience with other males?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Question 390:</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Okay, so you didn't have any sexual contact with any of the boys living in the P. home?</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Counsel for the defendant Ms. Harper, put question 733 to Ms. M.R.:</w:t>
      </w:r>
      <w:r>
        <w:rPr>
          <w:rFonts w:ascii="arial" w:eastAsia="arial" w:hAnsi="arial" w:cs="arial"/>
          <w:sz w:val="20"/>
          <w:lang w:val="en-US" w:eastAsia="en-US" w:bidi="ar-SA"/>
        </w:rPr>
        <w:cr/>
      </w:r>
    </w:p>
    <w:p>
      <w:pPr>
        <w:numPr>
          <w:numId w:val="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I could ask you to refer to a document in tab 1, which is the nursing history dated April 30th, 1980?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882"/>
        <w:gridCol w:w="69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Ms. Dickson:</w:t>
            </w:r>
          </w:p>
        </w:tc>
        <w:tc>
          <w:tcPr>
            <w:tcW w:w="67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Sorry, what date?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Question 734:</w:t>
      </w:r>
    </w:p>
    <w:p>
      <w:pPr>
        <w:numPr>
          <w:numId w:val="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page 2 under "Sexual History", the first sentence says, quote:</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M.R.'s first sexual experience was at about the age of ten with her foster brother. And throughout her young teen and older teen years, she had numerous sexual contacts with foster brothers, brief liaisons with boyfriends at school and with other men in her adult year.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Was that true?</w:t>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don't think so. I don't remember that.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Question 735:</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 that never happened?</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Question 762:</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But again the reference to sexual activities with various -- with various foster brothers is -- that's not what happened, was it?</w:t>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 I didn't. I don't know where this is all coming from.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On cross-examination at trial Ms. M.R. was asked about the questions cited above, and her response was - "At discovery I denied sexual contact with foster brothers, I did it three times." She went on to state, "I apologize for denying it." Then those specific questions were put to Ms. M.R. by counsel, and she said the answers were not true. These questions were directed to her assertion that she had been sexually assaulted by R.F.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Crown asked that I find that Ms. M.R.'s evidence is unreliable and in fact, not truthful, in that she lied on discovery and therefore her entire evidence is suspect.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On re-direct examination concerning her allegations about R.F. (1) having sexual intercourse with her, Ms. M.R. stated, "I gave the wrong answers about R.F. (1), my mind was set on talking about my foster parents." She went on to say, "I didn't want to get Mr. R.F. (1) in trouble."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Notwithstanding the defence's confrontation of Ms. M.R.'s discovery testimony as being untruthful, I have concluded on all of the evidence that she is credible. I accept her explanation as to why she did not refer to the assaults by R.F.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As to the basis of the liability of the defendant Her Majesty the Queen, I find it to be based upon non-delegable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In K.L.B. P.B. H.B. and V.E.R.B. v. Her Majesty the Queen in the Right of the Province of British Columbia, and F.P. and R.P. and F.H., V.H., Jane Doe and John Doe, </w:t>
      </w:r>
      <w:hyperlink r:id="rId812" w:history="1">
        <w:r>
          <w:rPr>
            <w:rFonts w:ascii="arial" w:eastAsia="arial" w:hAnsi="arial" w:cs="arial"/>
            <w:i/>
            <w:color w:val="0077CC"/>
            <w:sz w:val="20"/>
            <w:u w:val="single"/>
            <w:shd w:val="clear" w:color="auto" w:fill="FFFFFF"/>
            <w:lang w:val="en-US" w:eastAsia="en-US" w:bidi="ar-SA"/>
          </w:rPr>
          <w:t>2001 BCCA 221</w:t>
        </w:r>
      </w:hyperlink>
      <w:r>
        <w:rPr>
          <w:rFonts w:ascii="arial" w:eastAsia="arial" w:hAnsi="arial" w:cs="arial"/>
          <w:color w:val="000000"/>
          <w:sz w:val="20"/>
          <w:lang w:val="en-US" w:eastAsia="en-US" w:bidi="ar-SA"/>
        </w:rPr>
        <w:t>, Mackenzie J.A. in dealing with the basis for liability in that case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The liability of the Crown in Critchley, </w:t>
      </w:r>
      <w:hyperlink r:id="rId816" w:history="1">
        <w:r>
          <w:rPr>
            <w:rFonts w:ascii="arial" w:eastAsia="arial" w:hAnsi="arial" w:cs="arial"/>
            <w:i/>
            <w:color w:val="0077CC"/>
            <w:sz w:val="20"/>
            <w:u w:val="single"/>
            <w:shd w:val="clear" w:color="auto" w:fill="FFFFFF"/>
            <w:lang w:val="en-US" w:eastAsia="en-US" w:bidi="ar-SA"/>
          </w:rPr>
          <w:t>[1998] B.C.J. No. 2587</w:t>
        </w:r>
      </w:hyperlink>
      <w:r>
        <w:rPr>
          <w:rFonts w:ascii="arial" w:eastAsia="arial" w:hAnsi="arial" w:cs="arial"/>
          <w:color w:val="000000"/>
          <w:sz w:val="20"/>
          <w:lang w:val="en-US" w:eastAsia="en-US" w:bidi="ar-SA"/>
        </w:rPr>
        <w:t>, was characterized as vicarious liability. Generally, vicarious liability has been dependent upon an employer-employee relationship. The relationship of foster parents to the Crown is probably better characterized as that of independent contractor rather than employee. Liability for the torts of independent contractors is usually analyzed under non-delegable duty rather than vicarious liability and, in my view, it is preferable to apply a non-delegable duty analysis in addressing liability for the torts of foster parents. I would characterize the Crown's obligation as a non-delegable duty arising from the status of the Crown's representative as guardian of children in care combined with the duty of special diligence imposed by law, as discussed above.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The issue involves both statutory construction and policy. In M.B., Madam Justice Prowse has applied the leading case of Lewis (Guardian ad litem of) v. British Columbia, </w:t>
      </w:r>
      <w:hyperlink r:id="rId817" w:history="1">
        <w:r>
          <w:rPr>
            <w:rFonts w:ascii="arial" w:eastAsia="arial" w:hAnsi="arial" w:cs="arial"/>
            <w:i/>
            <w:color w:val="0077CC"/>
            <w:sz w:val="20"/>
            <w:u w:val="single"/>
            <w:shd w:val="clear" w:color="auto" w:fill="FFFFFF"/>
            <w:lang w:val="en-US" w:eastAsia="en-US" w:bidi="ar-SA"/>
          </w:rPr>
          <w:t>[1997] 3 S.C.R. 1145</w:t>
        </w:r>
      </w:hyperlink>
      <w:r>
        <w:rPr>
          <w:rFonts w:ascii="arial" w:eastAsia="arial" w:hAnsi="arial" w:cs="arial"/>
          <w:color w:val="000000"/>
          <w:sz w:val="20"/>
          <w:lang w:val="en-US" w:eastAsia="en-US" w:bidi="ar-SA"/>
        </w:rPr>
        <w:t>, and concluded that liability there can be founded on non-delegable duty as well as vicarious liability. I agree that if there is a non-delegable duty on governments to maintain highways, then surely policy dictates that a similar duty applies to children in care, in the absence of a clear legislative direction to the contrary. I cannot find such a clear contrary statement in the Protection of Children Act. In my opinion, the Crown is responsible for the torts of foster parents as a non-delegable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have relied on R.F. (1)'s admission of sexual assault of Ms. M.R. and her evidence relative to the allegations of the sexual assaults by Mr. R.P. and I find that the plaintiff has proved her case on the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The evidence reveals that Ms. M.R. has dealt with her past extremely well. As previously cited Dr. O'Shaughnessy has also concluded that her insight is such that she has done extremely well considering what she has gone through. I find an appropriate award for Ms. M.R. is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As to her claims for past wage loss, future loss of opportunity, I find that these claims have not been made out. She is employed by the Provincial Government as a Liquor Store Manager and there is absolutely no evidence that she has suffered past wage loss caused by the conduct of Mr. R.P. or Mr. R.F. (1). There is absolutely no evidence that there is any possible future loss of opportunity.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As stated earlier in these reasons Ms. M.R. suffers from a bi-polar disorder and that may at some time in the future cause her difficulties but that is not as a result of the conduct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As to aggravated damages, I find in these circumstances there is no basis for such an award. Had the Ministry and its employees known of the conduct of Mr. R.P. and Mr. R.F. (1) and done nothing about it, then, of course, there would be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The plaintiff also seeks costs of future care with reference to Ms. M.R. Dr. O'Shaughnessy, in his report states that Ms. M.R. would require future counselling to deal with the consequences of the abuse suffered in foster care. I am not satisfied from Ms. M.R.'s evidence that she will require that counselling. She seems to be in a reasonably stable relationship, albeit she is not married however, she deals well with her day to day existence. There will be no award for 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plaintiff also seeks equitable pre-judgment interest on the pain and suffering award. I find that Ms. M.R. has not satisfied me that this is an appropriate case for equitable pre-judgment interest relative to her pain and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As to the issue of costs, Ms. M.R. will have her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Considering the circumstances of Ms. L.V.T., I am reluctant to award costs against her. However, notwithstanding her failure to prove the case under any head of damages, I am prepared to reserve on the issue of costs. Should Crown seek their costs, they may set the matter down at some future date in Nanaimo, when convenient for counsel for Ms. L.V.T.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LANDER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6" style="position:absolute;z-index:251892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18"/>
          <w:headerReference w:type="default" r:id="rId819"/>
          <w:footerReference w:type="even" r:id="rId820"/>
          <w:footerReference w:type="default" r:id="rId821"/>
          <w:headerReference w:type="first" r:id="rId822"/>
          <w:footerReference w:type="first" r:id="rId82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24" w:history="1">
        <w:r>
          <w:rPr>
            <w:rFonts w:ascii="arial" w:eastAsia="arial" w:hAnsi="arial" w:cs="arial"/>
            <w:b/>
            <w:bCs/>
            <w:i/>
            <w:color w:val="0077CC"/>
            <w:kern w:val="32"/>
            <w:sz w:val="28"/>
            <w:szCs w:val="32"/>
            <w:u w:val="single"/>
            <w:shd w:val="clear" w:color="auto" w:fill="FFFFFF"/>
            <w:lang w:val="en-US" w:eastAsia="en-US" w:bidi="ar-SA"/>
          </w:rPr>
          <w:t>Nemoto (Litigation guardian of) v. Phagura, [2014] B.C.J. No. 283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W.J. Harris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12-16 and November 20-22,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18,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M135024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283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262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Ryotaro Nemoto, also known as Ryoutarou Nemoto, an Infant by his Mother and Litigation Guardian, Sanae Nemoto and the said Sanae Nemoto, Plaintiffs, and Paramjit S. Phagura, Wells Fargo Equipment Finance Company/Societ, De Financement D'Equipment Wells Fargo and BBD Trucking &amp; Excavating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7"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7" w:name="Keywords_46"/>
      <w:bookmarkEnd w:id="297"/>
      <w:r>
        <w:rPr>
          <w:rFonts w:ascii="arial" w:eastAsia="arial" w:hAnsi="arial" w:cs="arial"/>
          <w:b/>
          <w:color w:val="000000"/>
          <w:sz w:val="20"/>
          <w:lang w:val="en-US" w:eastAsia="en-US" w:bidi="ar-SA"/>
        </w:rPr>
        <w:t>Damages — Physical and psychological injuries — Physical injuries — Body injuries — Back and spine — Neck — Soft tissue — Psychological injuries — Emotional and mental distress — Action for damages for injuries sustained in motor vehicle accident allowed — Plaintiff, who was 10 years old at time of accident, and his sister were passengers in vehicle that was driven by their mother — Car was rear-ended by tractor trailer while it stopped at red light — Plaintiff suffered cervical sprain and soft tissue injuries to his back, shoulders and neck — Pain was largely resolved as were psychological injuries that plaintiff suffered.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Cost of future care — Loss of earning capacity — Children — Action for damages for injuries sustained in motor vehicle accident allowed — Plaintiff, who was 10 years old at time of accident, and his sister were passengers in vehicle that was driven by their mother — Car was rear-ended by tractor trailer while it stopped at red light — Plaintiff suffered cervical sprain and soft tissue injuries to his back, shoulders and neck — Pain was largely resolved as were psychological injuries that plaintiff suffered.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8" w:name="Case Summary_43"/>
            <w:bookmarkEnd w:id="29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Ryotaro Nemoto for damages for injuries sustained in a motor vehicle accident. Ryotaro and his sister Rui were passengers in a car that was driven by their mother Sanae Nemoto. They stopped at a red light when the vehicle was rear ended by a tractor trailer, which pushed Sanae's vehicle into the intersection. There was extensive damage to the rear of Sanae's vehicle. Ryotaro was 10 years old at the time of the collision on August 27, 2008 and he was 15 when he testified at trial. The police attended at the scene but no ambulance was called. Sanae took the children home and she tried to get them to relax. Ryotaro claimed that he suffered both physical and psychological injury from the accident. The defendants admitted liability for the accident but they disputed the extent of Ryotaro's injuries.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9" w:name="Holdings of Court_30"/>
            <w:bookmarkEnd w:id="299"/>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Ryotaro was awarded damages of $42,912. He was generally a reliable witness, even though his evidence was sometimes vague when he described his injuries. The accident caused Ryotaro to suffer a cervical sprain and soft tissue injuries to his back, shoulders and neck. This resulted in headaches, nausea and pain in these areas. The pain from these injuries was intense until the end of 2008. The pain was reduced in 2009 and 2010. As Ryotaro was able to continue with his sports and other activities and he did not miss any school, except to attend medical appointments, this demonstrated that the pain gradually diminished in intensity as well as in frequency. His condition significantly improved over this period. Ryotaro currently suffered from occasional discomfort but it was relatively minor and manageable. As for psychological injury, Ryotaro experienced nightmares and post-traumatic anxiety after the accident. However, his anxieties were largely resolved by 2011. He currently functioned well academically, socially and in his family, with only occasional discomfort and anxiety. Ryotaro was awarded $40,000 for non-pecuniary damages. His future earning capacity was not diminished as a result of the accident and, therefore, no award was made under this category. Ryotaro was awarded $750 for future care costs, for additional therapy sessions with his registered clinical counsellor to address his residual anxiety. He was also awarded $2,162 for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0" w:name="Counsel_47"/>
      <w:bookmarkEnd w:id="30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8"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J.F.R. Chouinard and A.E. Kuntze.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A. Spence.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1" w:name="Judgment_47"/>
      <w:bookmarkEnd w:id="301"/>
      <w:r>
        <w:pict>
          <v:line id="_x0000_s1249" style="position:absolute;z-index:25180979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2" w:name="W.J. HARRIS J."/>
            <w:bookmarkEnd w:id="302"/>
            <w:r>
              <w:rPr>
                <w:rFonts w:ascii="arial" w:eastAsia="arial" w:hAnsi="arial" w:cs="arial"/>
                <w:b/>
                <w:color w:val="000000"/>
                <w:sz w:val="30"/>
                <w:lang w:val="en-US" w:eastAsia="en-US" w:bidi="ar-SA"/>
              </w:rPr>
              <w:t>W.J. HARRIS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August 27, 2008, Ryotaro Nemoto ("Ryotaro") and his sister, Rui Nemoto ("Rui), were passengers in a Toyota Corolla driven by their mother, Sanae Nemoto ("Ms. Nemoto"). Ms. Nemoto was stopped at a red light at the intersection of Brunette Avenue and Braid Street in New Westminster when her motor vehicle was rear ended by a Freightliner tractor trailer, which pushed Ms. Nemoto's vehicle into the intersection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Ryotaro, Rui and Ms. Nemoto had just moved to Canada from Japan a few months before the collision occurred. Their father has stayed in Japan for his work. Ryotaro was ten years of age at the time of the collision. At the time he gave evidence at trial he was 15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collision occurred at approximately 8:30 pm on a rainy evening. The family had just been shopping at a local Ikea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Ryotaro testified as to his recollection of the collision. He recalls feeling a "really big impact" and there being a "really loud sound". He said that the impact pushed him forward, knocking his head forward. The back window of the vehicle broke sending glass into the car's interior. He was seated in the rear of the vehicle and wearing a three point restraint.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He recalls being frightened and crying. He was able to get out of the car on his own. He said that he was surprised to see the size of the truck that had "crushed" part of his mother's car. After the collision, Ryotaro and Rui stood near the car, while Ms. Nemoto was arguing with the truck driver. Both Ryotaro and Rui were crying.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police attended at the scene but there was no ambulance called. They did not go to the hospital. The mother took the children home by taxi and tried to get them to relax, with a warm bath and hot drinks.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It is admitted that the Freightliner which struck the back of the Toyota was a large vehicle, weighing about 32,000 kg. The Freightliner cab did not have a trailer attached at the time of the collision. There was extensive damage to the rear of the mother's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Despite the MVA, Ryotaro has adapted to his new life in Canada. He initially attended elementary schools in the Burnaby School District where he received English language training. He is now in high school. He is a good student and is engaged in various sports activities such as baseball and soccer, as well as Air Cadets. He participates in activities which recognize his cultural heritage, such as abacus lessons.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claims damages and expenses for injuries resulting from the MVA, including non-pecuniary damages; damages for loss of capacity; costs of care future care;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have admitted liability for the MVA. However, the extent of the plaintiff's injuries and the amount of damages to which the plaintiff is entitled are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claims physical and psychological injuries resulting from the motor vehicle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Physical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Ryotaro testified that he experienced tension and pain in his back, shoulder and neck, as well as headaches, following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He was seen by a physician at a walk in clinic on the day following the accident. The records indicate pain in his neck and back, with a clinical note of tenderness in the paracervical and trapezius muscle, and decreased range of motion in the neck with full - although painful - neck flexion.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 following week, Ryotaro complained to his family doctor, Dr. Lee, of headaches, low back pains and mild nausea.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subsequent visits to Dr. Lee, Ryotaro continued to complain of back and neck pain and was diagnosed with soft tissue injury to his neck and back (cervical and lumbar strain). A course of physiotherapy was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Ryotaro received physiotherapy in 2008 and 2009 and chiropractic treatment for his back and neck in 2009 and 2010. He also used massage and hot packs to help with pain. He testified he did the stretching exercises which were recommended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Ryotaro was not absent from school because of the accident, other than to attend medical appointments. He was advised to continue participation in sports activities. After the accident, he played soccer and baseball. He testified to having some pain when he "headed" the ball in soccer. He also testified that he was on the shooting team in Air Cadets and that it hurt his neck, shoulder and back when he had to shoot from the prone position for long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 also stated that since the accident, his back gets sore after studying for long periods or doing repetitive abacus drills.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Although Ryotaro stated in direct examination that the tightness and pain in his back and neck continue to be present, on cross examination he was referred to his evidence from his 2011 examination for discovery where he had said the tightness in his back had gone away completely; his statement to Dr. Arora in 2011 that he no longer had any physical symptoms; and his statements to Dr. Harada that he no longer had back pain in May of 2010 and no longer had tightness in his neck or shoulders in 2012. Ryotaro testified that he meant to say that he didn't have any pain at that time the questions were asked but didn't mean to suggest that he did not still have pain in his back and neck.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Psychological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respect of psychological injury, Ryotaro described feeling nervous in traffic after the accident, particularly when he was near trucks or when he heard the sounds of ABS brakes. He testified that it sometimes reminds him of the accident and makes him worry that it will happen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Nemoto testified that after the MVA, he was reluctant to get into the car and would look around nervously when they were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 also testified that since the collision he avoids going to Ikea with his sister and mother because it makes him nervous - even today. He also takes a longer route to school to avoid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He stated that he continues to feel nervous and panicked in traffic sometimes and was referred to a recent occasion when he got nervous and tense in a tunnel on the way to Dr. Weiss'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was evidence that Ryotaro experienced nightmares after the accident. His mother gave evidence that he would wake up sweaty and screaming or crying, and she would try and console him. Ryotaro said he doesn't remember the nightmares but recalls waking up with his pillow soaked with sweat. Ryotaro said that this hasn't happened recently. However, Ms. Nemoto noted there was a recent incident in the summer of 2012 when he was calling out in the middle of the night as a result of a nightmare.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Ryotaro testified that although he would like to learn to drive, as he will soon be turning 16 years of age, he didn't feel ready to get a driver's licence as he is too anxious in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Lee recommended that Ryotaro see a psychologist in 2008 and 2009, although he didn't see a psychologist until 2010. Ms. Nemoto wanted a Japanese speaking psychologist, but one was difficult to find.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Ryotaro ultimately saw Dr. Harada. Dr. Harada is a psychologist who speaks Japanese. Ryotaro testified that she taught him how to relax and that this really helped him with his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Medical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Lee is a family physician who gave evidence at trial for the defendant. His report is dated October 19, 2012. Dr. Lee was Ryotaro's physician from September 2008 to April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Lee first saw Ryotaro shortly after the MVA, on September 3, 2008. Ryotaro was complaining of headaches, low back pains and mild nausea. At that time Dr. Lee diagnosed Ryotaro with cervical sprain and a possible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Ryotaro complained of persistent intermittent neck and shoulder pain in 2008 and 2009, which he reported was worse when sitting for extended periods doing homework. In September of 2009, Dr. Lee diagnosed Ryotaro with chronic neck and upper back sprain.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Lee also heard complaints, mainly through Ms. Nemoto, of Ryotaro experiencing nightmares, fatigue and anxiety in 2008 and 2009. Dr. Lee diagnosed Ryotaro with post-traumatic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Physiotherapy and chiropractic treatment were recommended for Ryotaro, as well as psychological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2010, it was reported to Dr. Lee that the counselling Ryotaro received from Dr. Harada had alleviated his nightmares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Lee noted that, by 2011, Ryotaro still had intermittent neck pain but had full range of motion and was able to participate in sports without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Dr. Lee's opinion, the prognosis for Ryotaro's pain symptoms was excellent and he would not be limited in his participation in sports or future employment. He deferred to a psychologist or psychiatrist with regard to a prognosis for Ryotaro's psychological symptoms.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Arora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Arora is a family physician who gave evidence at the request of plaintiff's counsel. His report is dated June 21,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Ryotaro first saw Dr. Arora in February of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his report, Dr. Arora noted that physiotherapy and chiropractic therapy had helped Ryotaro and that by October of 2011 "he was no longer experiencing any physical symptoms". Based upon the physical examination he conducted in June of 2012, he confirmed that Ryotaro was not bothered by the symptoms caused by the MVA and concluded that his prognosis was excellent: "his injuries will not limit him in terms of activities of daily living, recreation or future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With respect to Ryotaro's psychological health, in Dr. Arora's opinion, Ryotaro did suffer psychological symptoms from the MVA which had a significant impact on his personal and academic life. Although Dr. Arora stated in his report that he deferred to Dr. Harada on this matter, his evidence at trial was that it was his understanding that, by 2011, Ryotaro was no longer experiencing nightmares.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Weiss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Weiss is a child and adolescent psychiatrist who gave evidence on behalf of the plaintiff. Her report is dated December 1, 2012. Dr. Weiss reviewed the medical records of Dr. Lee, Dr. Arora, and Dr. Harada and interviewed the plaintiff in the presence of Ms. Nemoto. There was no interpreter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Weiss noted in her report the plaintiff's difficulty with language and his tendency to agree with the interviewer. She also noted it took considerable time to simplify the language and to make the questions specific enough that he could provide reliable information. She said this was further exacerbated by his wish to please and his difficulty expressing his emotions.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Weiss emphasized the effect of Japanese culture in interviewing Ryotaro, which she testified explained his inclination to minimize the effects of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Weiss diagnosed the plaintiff with moderately severe post-traumatic stress disorder ("PTSD"), chronic pain and nightmares, which were caused, in her opinion, by the MVA. In her report she said that although he has maintained good academic, social and family functioning, this was because he was so highly motivated. In her opinion, the MVA has significantly diminished his quality of life and left him with residual anxiety and pain. She said that his pain, while improved, has not remitted and continues to affect his well-being "profoundly".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With respect to his prognosis, Dr. Weiss' evidence was that she disagreed with the "excellent" prognosis given by Dr. Arora on the basis that it is not possible to infer such a prognosis where the plaintiff has experienced chronic pain at the level of "7/10" from the time of the MVA to the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her report Dr. Weiss concluded: "The prognosis of the PTSD and moderate generalized anxiety that have been ongoing for four years puts him at risk for lifetime struggles with anxiety and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Under cross examination, Dr. Weiss agreed that it was a deviation from standard practice to interview Ryotaro with his mother present. She said she felt this was necessary as Ryotaro was not relating his feelings. She testified that Ms. Nemoto and Ryotaro would sometimes speak in Japanese before responding and that they told her they were arguing about the effects of the MVA. She said she sometimes heard first from Ms. Nemoto, who would then try and get Ryotaro to respond to Dr. Weiss'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Dr. Weiss admitted, during cross examination, that certain facts and assumptions in her report were not accurate, in that two family physicians had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previously diagnosed Ryotaro with PTSD or night terrors. However, she said the physicians listed symptoms which could have formed the basis of such a diagnosis. Dr. Weiss was also unable to support the statement in her report that Dr. Arora had noted in June 2012 had said that the plaintiff's pain would still flare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She clarified that she had not done a systematic pain scale on Ryotaro and that it was Ryotaro who reported his pain, although 80% improved, was at the level of 7/10. Dr. Weiss testified she observed a child who would not give into the pain he was feeling.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Vallance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Vallance is a forensic psychiatrist who was called by the defence. He used an interpreter during the interview he conducted with Ryotaro and his mother. He also reviewed related medical records and excerpts from the examination for discovery of Ryotaro. His report is dated February 3,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Vallance focussed on the psychological problems experienced by Ryotaro following the collision. In his report, he stated that the "accident itself would have been a frightening experience for him and particularly coming at a vulnerable time so recent to his move to Canada". He referred to Ryotaro having developed symptoms of anxiety including bad dreams and anxiety in traffic situations, although he noted that Ryotaro had other sources of anxiety in his life at the time due to his separation from his father and entering a new school system without English proficiency.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Vallance did not agree that the symptoms Ryotaro developed were as serious or are continuing, as Dr. Weiss suggested. While Dr. Valance agreed in cross examination that Ryotaro had, in the period immediately following the collision, certain symptoms which are consistent with PTSD, he did not agree with Dr. Weiss' diagnosis that Ryotaro currently suffers from the disorder, nor did he agree that Ryotaro is "at risk for lifetime struggles with anxiety and stress". Dr. Vallance stated that based on his own interview with Ryotaro and other information, any pain or anxiety Ryotaro experienced from the collision was no longer interfering with his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Vallance's opinion was that Ryotaro's symptoms of nightmares and anxiety in traffic had largely remitted by 2010. He referred to the "consensus" that Ryotaro is functioning at a very high level academically and socially: he is doing well at school, has friends, and is involved in various activities. He did not believe that Ryotaro's future plans to be a paleontologist have been compromised by anxiety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Vallance noted that Ryotaro reported to him that he now generally feels comfortable in his mother's car; that Ryotaro could hardly remember feeling anxious about the sound of brakes; and that Ryotaro did not react to two loud sirens which occurred during his interview with Dr. Vallance.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Vallance referred to Dr. Harada's note of May 29, 2010, that Ryotaro reported "he did not feel anxiety when a truck was passing by their car", and her note of June 29, 2010, that Ryotaro had "no headaches or dizziness and was no longer experiencing fear and anxiety during car driving when a truck passed, good sleep, no night terror, no fear and anxiety during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Vallance testified that he not believe there were symptoms to support the conclusion that Ryotaro suffered a concussion in the collision. He said that Ryotaro did not report to him that he had hit his head in the collision and that Ryotaro wasn't treated as if he had suffered a concussion. Dr. Vallance testified that it was his opinion that Ryotaro's headaches were cervicogenic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With regard to the two recent incidents of Ryotaro becoming frightened and anxious in the tunnel on the way to Dr. Weiss' office and his calling out after a nightmare, Dr. Vallance attributed Ryotaro's reaction as more likely due to his having to relive the circumstances of the collision for the purposes of his sister's litigation and his own litigation, as well as anxiety transmitted from his mother. He believed this type of occurrence will disappear once the litigation is over.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Harada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Harada is a registered clinical counsellor, who has a PhD in psychology. Prior to coming to Canada she worked in Japan as a clinical psychologist providing psychotherapy for children and adolescents. Dr. Harada was called by the plaintiff's counsel. Her report is dated May 4,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Harada was also treating Rui for injuries due to the MVA.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Harada first saw Ryotaro on April 24, 2010 as a result of a referral from Dr. Lee. Dr. Harada was asked to provide a psychological assessment and psychotherapy in relation to Dr. Lee's diagnosis of anxiety and nightmares resulting from the MVA. She said her main role was not to diagnose Ryotaro but to treat Ryotaro's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After Dr. Harada provided three counselling sessions, she reported to Dr. Lee on June 2, 2010 that the plaintiff's pain and fear during car travel had subsided.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After two subsequent sessions, Dr. Harada reported that Ryotaro was free from headaches and dizziness and no longer experienced fear and anxiety during car travel, although he complained of pain on the left side of his neck and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All of the counselling sessions were conducted in Japanese.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response to a request from counsel for the plaintiff for a medical legal report, she saw Ryotaro again for a reassessment on February 1, 2012. She reported that he "did not have dizziness or tightness of the neck and shoulder, although he suffered from a minor headache".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her report, she diagnosed Ryotaro with PTSD and Sleep Terror Disorder, based upon the DSM-IV-TR criteria, as well as headaches and dizziness. In her evidence at trial she clarified that she did not form this diagnosis at the time she was treating him in 2010, although she had a suspicion of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Dr. Harada's report she stated Ryotaro's symptoms of PTSD, sleep terrors, headaches and dizziness had all diminished; that his prognosis for a complete recovery was "very good"; and that his injuries "will not limit his future recreational activities, activities of daily life and/or opportunities with employment". However, in her evidence at trial she expressed a caution that the symptoms of PTSD can resurface in later years, as it is a chronic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Under cross examination, she agreed that her report to Dr. Lee of June 2, 2010 does not refer to any suspicion of PTSD. She also agreed that her 2012 diagnosis of PTSD centered around Ryotaro's fear of being a passenger in a motor vehicle, even though Ms. Nemoto had told her at the time of the reassessment that Ryotaro was no longer fearful when being driven.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Harada agreed that Ryotaro would not meet the DSM-IV-TR criteria for PTSD based upon his condition in 2012, although she reiterated that PTSD is a chronic condition. Similarly, Dr. Harada agreed that she diagnosed Sleep Terror Disorder in 2012, even though there had been no complaints of nightmares since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 and Reliability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factors to be considered when assessing credibility were summarized by Madame Justice Dillon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aff'd </w:t>
      </w:r>
      <w:hyperlink r:id="rId601"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602"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603"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[1952] 2 D.L.R. 354</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Counsel for the defendants submits that the plaintiff's evidence is not reliable with respect to his injuries, the duration of his injuries, and their impact on his activities, referring to Ryotaro's inability to recall important aspects of his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 agree that that there is a need to exercise caution and to examine all of the evidence carefully in a case such as this, which is founded to a considerable extent on subjective evidence. There must be evidence of a convincing nature to overcome the improbability that the pain continued, in the absence of objective symptoms, well beyond the normal recovery period: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Maslen v. Rubenstein</w:t>
      </w:r>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(1993), 83 B.C.L.R. (2d) 131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With regard to Ryotaro's evidence, while I accept that, at times, he had difficulty recalling how his condition progressed since the MVA and what he said to others about his injuries, I do not conclude from this that his evidence is unreliable. In that regard, it is important to consider his age and maturity and to assess his evidence in an age appropriate manner which takes into account, for example, his conception of time and capacity to recall events which have occurred some time ago: </w:t>
      </w:r>
      <w:r>
        <w:rPr>
          <w:rFonts w:ascii="arial" w:eastAsia="arial" w:hAnsi="arial" w:cs="arial"/>
          <w:i/>
          <w:color w:val="000000"/>
          <w:sz w:val="20"/>
          <w:lang w:val="en-US" w:eastAsia="en-US" w:bidi="ar-SA"/>
        </w:rPr>
        <w:t>R. v. C.C.F.</w:t>
      </w:r>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[1997] 3 S.C.R. 1183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consider that Ryotaro was generally a reliable witness, even though his evidence was sometimes vague in his description of his injuries. Where it is necessary to discount or reject his evidence on a particular matter, I will address this in the course of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Counsel for the defendants also submits that the evidence of Dr. Weiss should not be relied upon because she did not use an interpreter in the interview; she allowed Ryotaro and Ms. Nemoto to discuss their responses to her questions before answering; and she relied too much upon the evidence of Ms. Nemoto in formulating her opinion regarding Ryotaro. Counsel further contends that certain of the assumptions in her report were not established at trial by any of the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Counsel for the plaintiff submits that Dr. Weiss, who is a child psychiatrist, should be accepted over Dr. Vallance, who is not. He contends that Dr. Weiss conducted the interview as she did because Ryotaro was unable to describe what happened to him. Counsel contends that Dr. Weiss' report makes it clear that she relied on what Ryotaro was reporting.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With respect to the evidence of Dr. Weiss and Dr. Vallance, to the extent that there are differences of opinion which bear on my decision, I will address these in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plaintiff must establish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range of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As Chief Justice McLachlin stated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614"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95"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primary test for causation asks: but-for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the plaintiff have suffered the injury? The "but-for" test recognizes that compensation for negligent conduct should only be made where a substantial connection between the injury and the defendant's conduct is present: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paras. 21-23.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As the plaintiff's claim of psychological injury in this case, I refer to the principles to be applied in assessing claims of psychological injury, which were summarized by Mr. Justice Lambert in </w:t>
      </w:r>
      <w:r>
        <w:rPr>
          <w:rFonts w:ascii="arial" w:eastAsia="arial" w:hAnsi="arial" w:cs="arial"/>
          <w:i/>
          <w:color w:val="000000"/>
          <w:sz w:val="20"/>
          <w:lang w:val="en-US" w:eastAsia="en-US" w:bidi="ar-SA"/>
        </w:rPr>
        <w:t>Yoshikawa v. Yu</w:t>
      </w:r>
      <w:r>
        <w:rPr>
          <w:rFonts w:ascii="arial" w:eastAsia="arial" w:hAnsi="arial" w:cs="arial"/>
          <w:color w:val="000000"/>
          <w:sz w:val="20"/>
          <w:lang w:val="en-US" w:eastAsia="en-US" w:bidi="ar-SA"/>
        </w:rPr>
        <w:t xml:space="preserve"> </w:t>
      </w:r>
      <w:hyperlink r:id="rId780" w:history="1">
        <w:r>
          <w:rPr>
            <w:rFonts w:ascii="arial" w:eastAsia="arial" w:hAnsi="arial" w:cs="arial"/>
            <w:i/>
            <w:color w:val="0077CC"/>
            <w:sz w:val="20"/>
            <w:u w:val="single"/>
            <w:shd w:val="clear" w:color="auto" w:fill="FFFFFF"/>
            <w:lang w:val="en-US" w:eastAsia="en-US" w:bidi="ar-SA"/>
          </w:rPr>
          <w:t>(1996), 21 B.C.L.R. (3d) 318</w:t>
        </w:r>
      </w:hyperlink>
      <w:r>
        <w:rPr>
          <w:rFonts w:ascii="arial" w:eastAsia="arial" w:hAnsi="arial" w:cs="arial"/>
          <w:color w:val="000000"/>
          <w:sz w:val="20"/>
          <w:lang w:val="en-US" w:eastAsia="en-US" w:bidi="ar-SA"/>
        </w:rPr>
        <w:t xml:space="preserve"> at paras. 12-13 (C.A.),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important to understand what is established and what is not established by the decision in </w:t>
      </w:r>
      <w:r>
        <w:rPr>
          <w:rFonts w:ascii="arial" w:eastAsia="arial" w:hAnsi="arial" w:cs="arial"/>
          <w:i/>
          <w:color w:val="000000"/>
          <w:sz w:val="20"/>
          <w:lang w:val="en-US" w:eastAsia="en-US" w:bidi="ar-SA"/>
        </w:rPr>
        <w:t>Maslen v. Rubenstein</w:t>
      </w:r>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(1993), 83 B.C.L.R. (2d) 131</w:t>
        </w:r>
      </w:hyperlink>
      <w:r>
        <w:rPr>
          <w:rFonts w:ascii="arial" w:eastAsia="arial" w:hAnsi="arial" w:cs="arial"/>
          <w:color w:val="000000"/>
          <w:sz w:val="20"/>
          <w:lang w:val="en-US" w:eastAsia="en-US" w:bidi="ar-SA"/>
        </w:rPr>
        <w:t xml:space="preserve"> (C.A.]. I propose to set out a number of principles extracted from the reasons of Mr. Justice Taylor, for the Court, in the </w:t>
      </w:r>
      <w:r>
        <w:rPr>
          <w:rFonts w:ascii="arial" w:eastAsia="arial" w:hAnsi="arial" w:cs="arial"/>
          <w:i/>
          <w:color w:val="000000"/>
          <w:sz w:val="20"/>
          <w:lang w:val="en-US" w:eastAsia="en-US" w:bidi="ar-SA"/>
        </w:rPr>
        <w:t>Maslen</w:t>
      </w:r>
      <w:r>
        <w:rPr>
          <w:rFonts w:ascii="arial" w:eastAsia="arial" w:hAnsi="arial" w:cs="arial"/>
          <w:color w:val="000000"/>
          <w:sz w:val="20"/>
          <w:lang w:val="en-US" w:eastAsia="en-US" w:bidi="ar-SA"/>
        </w:rPr>
        <w:t xml:space="preserve"> case. The first point is a preliminary point and appears in </w:t>
      </w:r>
      <w:r>
        <w:rPr>
          <w:rFonts w:ascii="arial" w:eastAsia="arial" w:hAnsi="arial" w:cs="arial"/>
          <w:i/>
          <w:color w:val="000000"/>
          <w:sz w:val="20"/>
          <w:lang w:val="en-US" w:eastAsia="en-US" w:bidi="ar-SA"/>
        </w:rPr>
        <w:t>Maslen</w:t>
      </w:r>
      <w:r>
        <w:rPr>
          <w:rFonts w:ascii="arial" w:eastAsia="arial" w:hAnsi="arial" w:cs="arial"/>
          <w:color w:val="000000"/>
          <w:sz w:val="20"/>
          <w:lang w:val="en-US" w:eastAsia="en-US" w:bidi="ar-SA"/>
        </w:rPr>
        <w:t xml:space="preserve"> at p. 133 under the heading "(a) The Background":</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establish that the pain, discomfort or weakness is "real" in the sense that the victim genuinely experiences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remaining ten points are drawn from the part of the reasons headed "(b) The Basic Principles" at pp. 134 to 137:</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must establish that his or her psychological problems have their cause in the defendant's unlawful act.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psychological problems do not have their cause in the defendant's unlawful act if they arise from a desire on the plaintiff's part for such things as care, sympathy, relaxation or compensation.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psychological problems do not have their cause in the defendant's unlawful wrongful act if the plaintiff could be expected to overcome them by his or her own inherent resources, or "will-power".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psychological problems exist, or continue, because the plaintiff for some reason wishes to have them, or does not wish them to end, their existence or continuation must be said to have a subjective, or internal, cause. (NOTE: I consider that this proposition must deal with the conscious mind, otherwise it seems to me to beg the question; see my first observation, later in this Part of these reasons.)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court could not say whether the plaintiff really desired to be free of the psychological problems, the plaintiff would not have established his or her case on the critical issue of causation.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question of mitigation, or failure to mitigate, arises only after causation has been established.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sufficient to ask whether a psychological condition such as "chronic, benign pain syndrome" is "compensable". Such a psychological condition may be compensable or it may not. The identification of the symptoms as "chronic benign pain syndrome" does not resolve the questions of legal liability or the question of assessment of damages.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unlikely that medical practitioners can answer, as matters of expert opinion, the ultimate questions on which these cases often turn.</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Justice Spencer, at trial in the </w:t>
      </w:r>
      <w:r>
        <w:rPr>
          <w:rFonts w:ascii="arial" w:eastAsia="arial" w:hAnsi="arial" w:cs="arial"/>
          <w:i/>
          <w:color w:val="000000"/>
          <w:sz w:val="20"/>
          <w:lang w:val="en-US" w:eastAsia="en-US" w:bidi="ar-SA"/>
        </w:rPr>
        <w:t>Maslen</w:t>
      </w:r>
      <w:r>
        <w:rPr>
          <w:rFonts w:ascii="arial" w:eastAsia="arial" w:hAnsi="arial" w:cs="arial"/>
          <w:color w:val="000000"/>
          <w:sz w:val="20"/>
          <w:lang w:val="en-US" w:eastAsia="en-US" w:bidi="ar-SA"/>
        </w:rPr>
        <w:t xml:space="preserve"> case, put the overall test quite correctly in these words: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[C]hronic benign pain syndrome will attract damages ... where the plaintiff's condition is caused by the defendant and is not something within her control to prevent. If it is true of a chronic benign pain syndrome, then it will be true also of other psychologically-caused suffering where the psychological mechanism, whatever it is, is beyond the plaintiff's power to control and was set in motion by the defendant's fault.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evidence of a "convincing" nature to overcome the improbability that pain will continue, in the absence of objective symptoms, well beyond the recovery period, but the plaintiff's own evidence, if consistent with the surrounding circumstances, may nevertheless suffice for the purpose.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sure Mr. Justice Taylor did not consider that the "basic" principles which he set out exhausted all the possibilities for the application of principle to the difficult problems in these cases. The general principles which apply in relation to causation in law will apply to psychological injury as they apply to physical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plaintiff's counsel claims that the plaintiff suffered both physical and psychological injury from the MVA. The defendants' counsel does not dispute that there were both physical and psychological injuries to the plaintiff which resulted from the MVA, but disagrees as to the nature and extent of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With respect to physical injuries, counsel for the defendants says that they were minor in nature and were substantially, if not completely resolved by 2010. With respect to the psychological injury, counsel says that while the plaintiff experienced some bad dreams and anxiety from the MVA, these symptoms did not last long and did not rise to the level of a psychiatric disorder of PTSD or Sleep Terror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Counsel for the plaintiff claims that the MVA has caused injuries to the plaintiff's neck, shoulders and back, which resulted in considerable pain and discomfort which persists to this day. Counsel also claims that the MVA caused psychological harm to the plaintiff, including Sleep Terror Disorder and Post Traumatic Stress Disorder, which also persists to this day and has had a substantial impact on the course of the plaintiff's life.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Physical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With respect to the physical injuries, I accept the medical evidence from Dr. Lee, who treated the plaintiff after the MVA, that the MVA caused a cervical sprain and soft tissue injury to the plaintiff's back, shoulders and neck, which resulted in headaches, nausea and pain in those areas. From the plaintiff's own account and the medical report of Dr. Lee, I find that the pain associated with the physical injuries was intense in the period immediately following the MVA until the end of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find that during 2009 and 2010 his pain was limited to his neck and upper back/shoulder area, and was intermittent in nature. As he was able to continue with his sports and other activities and did not miss any school (except to attend medical appointments), I am satisfied that the pain gradually diminished in intensity as well as frequency. I find his condition significantly improved over this period. It is likely that the plaintiff's participation in physiotherapy, exercises and physical activities assisted in his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also accept the medical evidence of Dr. Arora that by October of 2011, the plaintiff was not experiencing any physical symptoms. That said, I do not dispute that after this time the plaintiff has experienced, on occasion, some discomfort in his neck while sitting for a sustained period, such as when shooting an air rifle, or when looking in a particular direction while heading a ball in soccer. But the plaintiff's own account considered together with the medical evidence leads me to find that this occasional discomfort is relatively minor and manageable.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do not accept the contention that these ongoing physical symptoms limit the plaintiff's ability to study or concentrate in any significant way. It is clear that the plaintiff is an intelligent and motivated student, and I do not find any physical impairment sufficient to stand in the way of his success.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Psychological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With respect to the psychological effects of the MVA, there is a difference of opinion between the two psychiatrists who testified on the seriousness of the injury and its impact on the plaintiff's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Dr. Weiss' opinion, the plaintiff has moderately severe PTSD, nightmares and chronic pain which "puts him at risk for lifetime struggles with anxiety and stress". In Dr. Vallance's opinion, while the plaintiff had pain and anxiety as a result of the MVA, "that has not been so for a long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accept the evidence of the plaintiff and Ms. Nemoto that he experienced nightmares and anxiety following the accident, which is also supported by the medical evidence. I also accept the medical evidence that the plaintiff had post-traumatic anxiety for a period following the MVA, during which time he had symptoms which are consistent with PTSD. However, I do not accept that the plaintiff's psychological condition continues to be as severe or chronic as Dr. Weiss suggested.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prefer the evidence of Dr. Vallance regarding the plaintiff's condition. Unlike Dr. Weiss, Dr. Vallance had the benefit of an interpreter when he interviewed the plaintiff. Although he is not a child psychiatrist, he has considerable experience with adolescents. More importantly, his evidence of the plaintiff's level of functioning is more consistent with the evidence of the other professionals who describe his prognosis as excellent or very good. In that regard, although Dr. Weiss described the plaintiff as continuing to experience considerable anxiety and chronic pain, neither the plaintiff's evidence nor the evidence of the other professional witnesses support that level of anxiety or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That said, it is not disputed that the plaintiff had nightmares following the MVA. I find that the nightmares were caused by the MVA and continued for approximately two years. This is consistent with the reports of Ms. Nemoto to Dr. Harada in May and June of 2010; the plaintiff's evidence at trial was that "the really bad nightmares did not last really long"; and the plaintiff's reports to Dr. Vallance that he now has "normal dreams".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While I accept Ms. Nemoto's evidence that the plaintiff had a nightmare more recently, I am not satisfied that the evidence establishes that nightmares continue to cause distress to the plaintiff or that they are indicative of a psychiatric disorder. In that regard, I accept Dr. Vallance's evidence that there were other stressors which may have caused anxiety, including the plaintiff's relocation to Canada, language difficulties and separation from his father, as well as the stress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It is also not disputed that the plaintiff had considerable anxiety in traffic following the MVA. I find that this anxiety resulted from the MVA and was initially so severe that the plaintiff did not want to get into his mother's car. However, the evidence establishes that his anxiety lessened over time. I find his anxiety in traffic was largely resolved by 2011. This is consistent with what he reported to Dr. Harada in 2010 and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While I accept Ryotaro's evidence that he still gets anxious from the sounds of trucks or ABS brakes from time to time, I am not persuaded that these moments of anxiety are significantly affecting his functioning. He does not avoid being in cars and reported to Dr. Vallance that he feels comfortable in his mother's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With regard to Ryotaro's evidence at trial that he does not feel ready to get his driver's licence, he was not yet 16 years old when he gave that evidence. I am not satisfied that the plaintiff has established his anxiety would preclude him from participating in driver training courses to obtain a driver's licence when he requires it. In that regard, I note that the description of the plaintiff's reaction to traffic, which was relied upon Dr. Weiss in her report, was not supported by the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Having considered all of the evidence, I do not accept Dr. Weiss' opinion that the MVA has put the plaintiff at risk for lifetime struggles with anxiety and stress. Without diminishing the psychological injury experienced by the plaintiff for a period of approximately two years following the MVA, I find that the plaintiff is now functioning well academically, socially and in his family, with only occasional discomfort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Non-pecuniary damages are awarded to compensate the plaintiff for pain, suffering, loss of enjoyment of life and amenities. The compensation awarded should be fair to all parties. Fairness is measured against awards made in comparable cases, although they serve only as a guide to appropriate compensation. Each case must be determined on a consideration of its own unique facts: </w:t>
      </w:r>
      <w:r>
        <w:rPr>
          <w:rFonts w:ascii="arial" w:eastAsia="arial" w:hAnsi="arial" w:cs="arial"/>
          <w:i/>
          <w:color w:val="000000"/>
          <w:sz w:val="20"/>
          <w:lang w:val="en-US" w:eastAsia="en-US" w:bidi="ar-SA"/>
        </w:rPr>
        <w:t>Hardychuk v. Johnstone</w:t>
      </w:r>
      <w:r>
        <w:rPr>
          <w:rFonts w:ascii="arial" w:eastAsia="arial" w:hAnsi="arial" w:cs="arial"/>
          <w:color w:val="000000"/>
          <w:sz w:val="20"/>
          <w:lang w:val="en-US" w:eastAsia="en-US" w:bidi="ar-SA"/>
        </w:rPr>
        <w:t xml:space="preserve">, </w:t>
      </w:r>
      <w:hyperlink r:id="rId259" w:history="1">
        <w:r>
          <w:rPr>
            <w:rFonts w:ascii="arial" w:eastAsia="arial" w:hAnsi="arial" w:cs="arial"/>
            <w:i/>
            <w:color w:val="0077CC"/>
            <w:sz w:val="20"/>
            <w:u w:val="single"/>
            <w:shd w:val="clear" w:color="auto" w:fill="FFFFFF"/>
            <w:lang w:val="en-US" w:eastAsia="en-US" w:bidi="ar-SA"/>
          </w:rPr>
          <w:t>2012 BCSC 1359</w:t>
        </w:r>
      </w:hyperlink>
      <w:r>
        <w:rPr>
          <w:rFonts w:ascii="arial" w:eastAsia="arial" w:hAnsi="arial" w:cs="arial"/>
          <w:color w:val="000000"/>
          <w:sz w:val="20"/>
          <w:lang w:val="en-US" w:eastAsia="en-US" w:bidi="ar-SA"/>
        </w:rPr>
        <w:t xml:space="preserve"> at para. 145;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618"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 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leave to appeal ref'd </w:t>
      </w:r>
      <w:hyperlink r:id="rId827"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the Court of Appeal outlined a non-exhaustive list of factors for consideration when assessing non-pecuniary damages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 Harris</w:t>
      </w:r>
      <w:r>
        <w:rPr>
          <w:rFonts w:ascii="arial" w:eastAsia="arial" w:hAnsi="arial" w:cs="arial"/>
          <w:color w:val="000000"/>
          <w:sz w:val="20"/>
          <w:lang w:val="en-US" w:eastAsia="en-US" w:bidi="ar-SA"/>
        </w:rPr>
        <w:t xml:space="preserve">, </w:t>
      </w:r>
      <w:hyperlink r:id="rId619"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Citing the Supreme Court of Canada in </w:t>
      </w:r>
      <w:r>
        <w:rPr>
          <w:rFonts w:ascii="arial" w:eastAsia="arial" w:hAnsi="arial" w:cs="arial"/>
          <w:i/>
          <w:color w:val="000000"/>
          <w:sz w:val="20"/>
          <w:lang w:val="en-US" w:eastAsia="en-US" w:bidi="ar-SA"/>
        </w:rPr>
        <w:t>Lindal v. Lindal</w:t>
      </w:r>
      <w:r>
        <w:rPr>
          <w:rFonts w:ascii="arial" w:eastAsia="arial" w:hAnsi="arial" w:cs="arial"/>
          <w:color w:val="000000"/>
          <w:sz w:val="20"/>
          <w:lang w:val="en-US" w:eastAsia="en-US" w:bidi="ar-SA"/>
        </w:rPr>
        <w:t xml:space="preserve">, </w:t>
      </w:r>
      <w:hyperlink r:id="rId828" w:history="1">
        <w:r>
          <w:rPr>
            <w:rFonts w:ascii="arial" w:eastAsia="arial" w:hAnsi="arial" w:cs="arial"/>
            <w:i/>
            <w:color w:val="0077CC"/>
            <w:sz w:val="20"/>
            <w:u w:val="single"/>
            <w:shd w:val="clear" w:color="auto" w:fill="FFFFFF"/>
            <w:lang w:val="en-US" w:eastAsia="en-US" w:bidi="ar-SA"/>
          </w:rPr>
          <w:t>[1981] 2 S.C.R. 629</w:t>
        </w:r>
      </w:hyperlink>
      <w:r>
        <w:rPr>
          <w:rFonts w:ascii="arial" w:eastAsia="arial" w:hAnsi="arial" w:cs="arial"/>
          <w:color w:val="000000"/>
          <w:sz w:val="20"/>
          <w:lang w:val="en-US" w:eastAsia="en-US" w:bidi="ar-SA"/>
        </w:rPr>
        <w:t xml:space="preserve"> at 637, the Court of Appeal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emphasized at para. 45 that the amount of an award for non-pecuniary damage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should not depend alone upon the seriousness of the injury but upon its ability to ameliorate the condition of the victim considering his or her particular situation ... An appreciation of the individual's loss is the key and the "need for solace will not necessarily correlate with the seriousness of the injury". [Emphasis in original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Further, in </w:t>
      </w:r>
      <w:r>
        <w:rPr>
          <w:rFonts w:ascii="arial" w:eastAsia="arial" w:hAnsi="arial" w:cs="arial"/>
          <w:i/>
          <w:color w:val="000000"/>
          <w:sz w:val="20"/>
          <w:lang w:val="en-US" w:eastAsia="en-US" w:bidi="ar-SA"/>
        </w:rPr>
        <w:t>Zacharias v. Leys</w:t>
      </w:r>
      <w:r>
        <w:rPr>
          <w:rFonts w:ascii="arial" w:eastAsia="arial" w:hAnsi="arial" w:cs="arial"/>
          <w:color w:val="000000"/>
          <w:sz w:val="20"/>
          <w:lang w:val="en-US" w:eastAsia="en-US" w:bidi="ar-SA"/>
        </w:rPr>
        <w:t xml:space="preserve">, </w:t>
      </w:r>
      <w:hyperlink r:id="rId829" w:history="1">
        <w:r>
          <w:rPr>
            <w:rFonts w:ascii="arial" w:eastAsia="arial" w:hAnsi="arial" w:cs="arial"/>
            <w:i/>
            <w:color w:val="0077CC"/>
            <w:sz w:val="20"/>
            <w:u w:val="single"/>
            <w:shd w:val="clear" w:color="auto" w:fill="FFFFFF"/>
            <w:lang w:val="en-US" w:eastAsia="en-US" w:bidi="ar-SA"/>
          </w:rPr>
          <w:t>2005 BCCA 560</w:t>
        </w:r>
      </w:hyperlink>
      <w:r>
        <w:rPr>
          <w:rFonts w:ascii="arial" w:eastAsia="arial" w:hAnsi="arial" w:cs="arial"/>
          <w:color w:val="000000"/>
          <w:sz w:val="20"/>
          <w:lang w:val="en-US" w:eastAsia="en-US" w:bidi="ar-SA"/>
        </w:rPr>
        <w:t xml:space="preserve">, the Court of Appeal clarified the distinction between the principles that apply to causation compared to the measure of damages: while a defendant must take the plaintiff as he finds him, damages should be adjusted where there is a measurable risk that a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(at paras. 13-22). In that regard, the court in </w:t>
      </w:r>
      <w:r>
        <w:rPr>
          <w:rFonts w:ascii="arial" w:eastAsia="arial" w:hAnsi="arial" w:cs="arial"/>
          <w:i/>
          <w:color w:val="000000"/>
          <w:sz w:val="20"/>
          <w:lang w:val="en-US" w:eastAsia="en-US" w:bidi="ar-SA"/>
        </w:rPr>
        <w:t>Zacharias</w:t>
      </w:r>
      <w:r>
        <w:rPr>
          <w:rFonts w:ascii="arial" w:eastAsia="arial" w:hAnsi="arial" w:cs="arial"/>
          <w:color w:val="000000"/>
          <w:sz w:val="20"/>
          <w:lang w:val="en-US" w:eastAsia="en-US" w:bidi="ar-SA"/>
        </w:rPr>
        <w:t xml:space="preserve"> referred to the judgment of Madame Justice Newbury in </w:t>
      </w:r>
      <w:r>
        <w:rPr>
          <w:rFonts w:ascii="arial" w:eastAsia="arial" w:hAnsi="arial" w:cs="arial"/>
          <w:i/>
          <w:color w:val="000000"/>
          <w:sz w:val="20"/>
          <w:lang w:val="en-US" w:eastAsia="en-US" w:bidi="ar-SA"/>
        </w:rPr>
        <w:t>York v. Johnston</w:t>
      </w:r>
      <w:r>
        <w:rPr>
          <w:rFonts w:ascii="arial" w:eastAsia="arial" w:hAnsi="arial" w:cs="arial"/>
          <w:color w:val="000000"/>
          <w:sz w:val="20"/>
          <w:lang w:val="en-US" w:eastAsia="en-US" w:bidi="ar-SA"/>
        </w:rPr>
        <w:t xml:space="preserve"> </w:t>
      </w:r>
      <w:hyperlink r:id="rId830" w:history="1">
        <w:r>
          <w:rPr>
            <w:rFonts w:ascii="arial" w:eastAsia="arial" w:hAnsi="arial" w:cs="arial"/>
            <w:i/>
            <w:color w:val="0077CC"/>
            <w:sz w:val="20"/>
            <w:u w:val="single"/>
            <w:shd w:val="clear" w:color="auto" w:fill="FFFFFF"/>
            <w:lang w:val="en-US" w:eastAsia="en-US" w:bidi="ar-SA"/>
          </w:rPr>
          <w:t>(1997), 37 B.C.L.R. (3d) 235</w:t>
        </w:r>
      </w:hyperlink>
      <w:r>
        <w:rPr>
          <w:rFonts w:ascii="arial" w:eastAsia="arial" w:hAnsi="arial" w:cs="arial"/>
          <w:color w:val="000000"/>
          <w:sz w:val="20"/>
          <w:lang w:val="en-US" w:eastAsia="en-US" w:bidi="ar-SA"/>
        </w:rPr>
        <w:t xml:space="preserve"> at para. 6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Of course, the judgement as to the measure of damages is a much more subtle one than that as to causation, not only because it involves a consideration of mere contingencies as well as probabilities, but because of the range of results available in the discounting of the award, as opposed to the "all or nothing" choice that must be made with respect to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Counsel for the plaintiff seeks compensation for the plaintiff's pain and suffering and submits that the MVA caused or contributed to the plaintiff's injury to his neck, shoulders and back, with Night Terrors and PTSD which persist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Counsel for the plaintiff relies on the following cases to support an award of damages in the amount of $85,000: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Wagner v. Narang</w:t>
      </w:r>
      <w:r>
        <w:rPr>
          <w:rFonts w:ascii="arial" w:eastAsia="arial" w:hAnsi="arial" w:cs="arial"/>
          <w:color w:val="000000"/>
          <w:sz w:val="20"/>
          <w:lang w:val="en-US" w:eastAsia="en-US" w:bidi="ar-SA"/>
        </w:rPr>
        <w:t xml:space="preserve">, </w:t>
      </w:r>
      <w:hyperlink r:id="rId831" w:history="1">
        <w:r>
          <w:rPr>
            <w:rFonts w:ascii="arial" w:eastAsia="arial" w:hAnsi="arial" w:cs="arial"/>
            <w:i/>
            <w:color w:val="0077CC"/>
            <w:sz w:val="20"/>
            <w:u w:val="single"/>
            <w:shd w:val="clear" w:color="auto" w:fill="FFFFFF"/>
            <w:lang w:val="en-US" w:eastAsia="en-US" w:bidi="ar-SA"/>
          </w:rPr>
          <w:t>2003 BCSC 1750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Bonham v. Weir Estate</w:t>
      </w:r>
      <w:r>
        <w:rPr>
          <w:rFonts w:ascii="arial" w:eastAsia="arial" w:hAnsi="arial" w:cs="arial"/>
          <w:color w:val="000000"/>
          <w:sz w:val="20"/>
          <w:lang w:val="en-US" w:eastAsia="en-US" w:bidi="ar-SA"/>
        </w:rPr>
        <w:t xml:space="preserve">, </w:t>
      </w:r>
      <w:hyperlink r:id="rId832" w:history="1">
        <w:r>
          <w:rPr>
            <w:rFonts w:ascii="arial" w:eastAsia="arial" w:hAnsi="arial" w:cs="arial"/>
            <w:i/>
            <w:color w:val="0077CC"/>
            <w:sz w:val="20"/>
            <w:u w:val="single"/>
            <w:shd w:val="clear" w:color="auto" w:fill="FFFFFF"/>
            <w:lang w:val="en-US" w:eastAsia="en-US" w:bidi="ar-SA"/>
          </w:rPr>
          <w:t>2009 BCSC 1080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Yeung v. Dowbiggin</w:t>
      </w:r>
      <w:r>
        <w:rPr>
          <w:rFonts w:ascii="arial" w:eastAsia="arial" w:hAnsi="arial" w:cs="arial"/>
          <w:color w:val="000000"/>
          <w:sz w:val="20"/>
          <w:lang w:val="en-US" w:eastAsia="en-US" w:bidi="ar-SA"/>
        </w:rPr>
        <w:t xml:space="preserve">, </w:t>
      </w:r>
      <w:hyperlink r:id="rId833" w:history="1">
        <w:r>
          <w:rPr>
            <w:rFonts w:ascii="arial" w:eastAsia="arial" w:hAnsi="arial" w:cs="arial"/>
            <w:i/>
            <w:color w:val="0077CC"/>
            <w:sz w:val="20"/>
            <w:u w:val="single"/>
            <w:shd w:val="clear" w:color="auto" w:fill="FFFFFF"/>
            <w:lang w:val="en-US" w:eastAsia="en-US" w:bidi="ar-SA"/>
          </w:rPr>
          <w:t>2012 BCSC 206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Counsel for the defendants submits that an appropriate range for non-pecuniary damages is $10,000 to $25,000, relying on: </w:t>
      </w:r>
      <w:r>
        <w:rPr>
          <w:rFonts w:ascii="arial" w:eastAsia="arial" w:hAnsi="arial" w:cs="arial"/>
          <w:i/>
          <w:color w:val="000000"/>
          <w:sz w:val="20"/>
          <w:lang w:val="en-US" w:eastAsia="en-US" w:bidi="ar-SA"/>
        </w:rPr>
        <w:t>Johnston v. Day</w:t>
      </w:r>
      <w:r>
        <w:rPr>
          <w:rFonts w:ascii="arial" w:eastAsia="arial" w:hAnsi="arial" w:cs="arial"/>
          <w:color w:val="000000"/>
          <w:sz w:val="20"/>
          <w:lang w:val="en-US" w:eastAsia="en-US" w:bidi="ar-SA"/>
        </w:rPr>
        <w:t xml:space="preserve">, </w:t>
      </w:r>
      <w:hyperlink r:id="rId834" w:history="1">
        <w:r>
          <w:rPr>
            <w:rFonts w:ascii="arial" w:eastAsia="arial" w:hAnsi="arial" w:cs="arial"/>
            <w:i/>
            <w:color w:val="0077CC"/>
            <w:sz w:val="20"/>
            <w:u w:val="single"/>
            <w:shd w:val="clear" w:color="auto" w:fill="FFFFFF"/>
            <w:lang w:val="en-US" w:eastAsia="en-US" w:bidi="ar-SA"/>
          </w:rPr>
          <w:t>2002 BCSC 480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Dolha v. Heft</w:t>
      </w:r>
      <w:r>
        <w:rPr>
          <w:rFonts w:ascii="arial" w:eastAsia="arial" w:hAnsi="arial" w:cs="arial"/>
          <w:color w:val="000000"/>
          <w:sz w:val="20"/>
          <w:lang w:val="en-US" w:eastAsia="en-US" w:bidi="ar-SA"/>
        </w:rPr>
        <w:t xml:space="preserve">, </w:t>
      </w:r>
      <w:hyperlink r:id="rId835" w:history="1">
        <w:r>
          <w:rPr>
            <w:rFonts w:ascii="arial" w:eastAsia="arial" w:hAnsi="arial" w:cs="arial"/>
            <w:i/>
            <w:color w:val="0077CC"/>
            <w:sz w:val="20"/>
            <w:u w:val="single"/>
            <w:shd w:val="clear" w:color="auto" w:fill="FFFFFF"/>
            <w:lang w:val="en-US" w:eastAsia="en-US" w:bidi="ar-SA"/>
          </w:rPr>
          <w:t>2011 BCSC 738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Henderson (Guardian ad litem of) v. Peachey</w:t>
      </w:r>
      <w:r>
        <w:rPr>
          <w:rFonts w:ascii="arial" w:eastAsia="arial" w:hAnsi="arial" w:cs="arial"/>
          <w:color w:val="000000"/>
          <w:sz w:val="20"/>
          <w:lang w:val="en-US" w:eastAsia="en-US" w:bidi="ar-SA"/>
        </w:rPr>
        <w:t xml:space="preserve">, </w:t>
      </w:r>
      <w:hyperlink r:id="rId836" w:history="1">
        <w:r>
          <w:rPr>
            <w:rFonts w:ascii="arial" w:eastAsia="arial" w:hAnsi="arial" w:cs="arial"/>
            <w:i/>
            <w:color w:val="0077CC"/>
            <w:sz w:val="20"/>
            <w:u w:val="single"/>
            <w:shd w:val="clear" w:color="auto" w:fill="FFFFFF"/>
            <w:lang w:val="en-US" w:eastAsia="en-US" w:bidi="ar-SA"/>
          </w:rPr>
          <w:t>2003 BCSC 1104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Glew v. Klimm</w:t>
      </w:r>
      <w:r>
        <w:rPr>
          <w:rFonts w:ascii="arial" w:eastAsia="arial" w:hAnsi="arial" w:cs="arial"/>
          <w:color w:val="000000"/>
          <w:sz w:val="20"/>
          <w:lang w:val="en-US" w:eastAsia="en-US" w:bidi="ar-SA"/>
        </w:rPr>
        <w:t xml:space="preserve">, </w:t>
      </w:r>
      <w:hyperlink r:id="rId837" w:history="1">
        <w:r>
          <w:rPr>
            <w:rFonts w:ascii="arial" w:eastAsia="arial" w:hAnsi="arial" w:cs="arial"/>
            <w:i/>
            <w:color w:val="0077CC"/>
            <w:sz w:val="20"/>
            <w:u w:val="single"/>
            <w:shd w:val="clear" w:color="auto" w:fill="FFFFFF"/>
            <w:lang w:val="en-US" w:eastAsia="en-US" w:bidi="ar-SA"/>
          </w:rPr>
          <w:t>2004 BCSC 972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Naks (Guardian ad litem of) v. Hesse</w:t>
      </w:r>
      <w:r>
        <w:rPr>
          <w:rFonts w:ascii="arial" w:eastAsia="arial" w:hAnsi="arial" w:cs="arial"/>
          <w:color w:val="000000"/>
          <w:sz w:val="20"/>
          <w:lang w:val="en-US" w:eastAsia="en-US" w:bidi="ar-SA"/>
        </w:rPr>
        <w:t xml:space="preserve">, </w:t>
      </w:r>
      <w:hyperlink r:id="rId838" w:history="1">
        <w:r>
          <w:rPr>
            <w:rFonts w:ascii="arial" w:eastAsia="arial" w:hAnsi="arial" w:cs="arial"/>
            <w:i/>
            <w:color w:val="0077CC"/>
            <w:sz w:val="20"/>
            <w:u w:val="single"/>
            <w:shd w:val="clear" w:color="auto" w:fill="FFFFFF"/>
            <w:lang w:val="en-US" w:eastAsia="en-US" w:bidi="ar-SA"/>
          </w:rPr>
          <w:t>2012 BCSC 1328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Williamson v. Nakashimada</w:t>
      </w:r>
      <w:r>
        <w:rPr>
          <w:rFonts w:ascii="arial" w:eastAsia="arial" w:hAnsi="arial" w:cs="arial"/>
          <w:color w:val="000000"/>
          <w:sz w:val="20"/>
          <w:lang w:val="en-US" w:eastAsia="en-US" w:bidi="ar-SA"/>
        </w:rPr>
        <w:t xml:space="preserve">, </w:t>
      </w:r>
      <w:hyperlink r:id="rId839" w:history="1">
        <w:r>
          <w:rPr>
            <w:rFonts w:ascii="arial" w:eastAsia="arial" w:hAnsi="arial" w:cs="arial"/>
            <w:i/>
            <w:color w:val="0077CC"/>
            <w:sz w:val="20"/>
            <w:u w:val="single"/>
            <w:shd w:val="clear" w:color="auto" w:fill="FFFFFF"/>
            <w:lang w:val="en-US" w:eastAsia="en-US" w:bidi="ar-SA"/>
          </w:rPr>
          <w:t>2004 BCSC 1348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Bray v. Gaete</w:t>
      </w:r>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2004 BCSC 335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Naks (Guardian ad litem of) v. Hess</w:t>
      </w:r>
      <w:r>
        <w:rPr>
          <w:rFonts w:ascii="arial" w:eastAsia="arial" w:hAnsi="arial" w:cs="arial"/>
          <w:color w:val="000000"/>
          <w:sz w:val="20"/>
          <w:lang w:val="en-US" w:eastAsia="en-US" w:bidi="ar-SA"/>
        </w:rPr>
        <w:t xml:space="preserve">, </w:t>
      </w:r>
      <w:hyperlink r:id="rId840" w:history="1">
        <w:r>
          <w:rPr>
            <w:rFonts w:ascii="arial" w:eastAsia="arial" w:hAnsi="arial" w:cs="arial"/>
            <w:i/>
            <w:color w:val="0077CC"/>
            <w:sz w:val="20"/>
            <w:u w:val="single"/>
            <w:shd w:val="clear" w:color="auto" w:fill="FFFFFF"/>
            <w:lang w:val="en-US" w:eastAsia="en-US" w:bidi="ar-SA"/>
          </w:rPr>
          <w:t>2012 BCSC 1327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Nemoto (Guardian ad litem of) v. Phagura</w:t>
      </w:r>
      <w:r>
        <w:rPr>
          <w:rFonts w:ascii="arial" w:eastAsia="arial" w:hAnsi="arial" w:cs="arial"/>
          <w:color w:val="000000"/>
          <w:sz w:val="20"/>
          <w:lang w:val="en-US" w:eastAsia="en-US" w:bidi="ar-SA"/>
        </w:rPr>
        <w:t xml:space="preserve">, </w:t>
      </w:r>
      <w:hyperlink r:id="rId841" w:history="1">
        <w:r>
          <w:rPr>
            <w:rFonts w:ascii="arial" w:eastAsia="arial" w:hAnsi="arial" w:cs="arial"/>
            <w:i/>
            <w:color w:val="0077CC"/>
            <w:sz w:val="20"/>
            <w:u w:val="single"/>
            <w:shd w:val="clear" w:color="auto" w:fill="FFFFFF"/>
            <w:lang w:val="en-US" w:eastAsia="en-US" w:bidi="ar-SA"/>
          </w:rPr>
          <w:t>2012 BCSC 1809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considering the authorities referred to me, I find the most relevant cases are the following:</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Nemoto,</w:t>
      </w:r>
      <w:r>
        <w:rPr>
          <w:rFonts w:ascii="arial" w:eastAsia="arial" w:hAnsi="arial" w:cs="arial"/>
          <w:color w:val="000000"/>
          <w:sz w:val="20"/>
          <w:lang w:val="en-US" w:eastAsia="en-US" w:bidi="ar-SA"/>
        </w:rPr>
        <w:t xml:space="preserve"> this court considered the claim of the instant plaintiff's sister, Rui, for physical and psychological injuries resulting from the same collision. Mr. Justice Smith found that Rui suffered significant pain and limitations from the date of the accident until the end of 2008, with intermittent pain for another year, and had achieved full recovery within two years of the accident. He also found that Rui experienced severe anxiety while riding in cars for approximately two years and that anxiety still affects her efforts to learn to drive. He assessed non-pecuniary damages at $25,000.</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Wagner</w:t>
      </w:r>
      <w:r>
        <w:rPr>
          <w:rFonts w:ascii="arial" w:eastAsia="arial" w:hAnsi="arial" w:cs="arial"/>
          <w:color w:val="000000"/>
          <w:sz w:val="20"/>
          <w:lang w:val="en-US" w:eastAsia="en-US" w:bidi="ar-SA"/>
        </w:rPr>
        <w:t>, this court considered the claim of a 48 year old woman who was involved in a collision that caused her car to roll several times. She suffered soft tissue injuries, with bruising, headaches, neck and back pain. Her pain became chronic and she was assessed with mild to moderate PTSD which resolved within two years. Although there is a reference in that case to the plaintiff being nervous about driving and unable to drive, it is not clear that this was the result of the accident. In any event, Madame Justice Wedge awarded her non-pecuniary damages of $70,000.</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Johnston</w:t>
      </w:r>
      <w:r>
        <w:rPr>
          <w:rFonts w:ascii="arial" w:eastAsia="arial" w:hAnsi="arial" w:cs="arial"/>
          <w:color w:val="000000"/>
          <w:sz w:val="20"/>
          <w:lang w:val="en-US" w:eastAsia="en-US" w:bidi="ar-SA"/>
        </w:rPr>
        <w:t>, the infant plaintiff was diagnosed with mild soft tissue injury to the right and left trapezius and superficial injuries to his face. These injuries resolved within a year but the plaintiff continued to have sleeping problems, pain, and nightmares. The infant was diagnosed with post-traumatic stress with recurrent nightmares, fear of driving and a change in personality around driving. Madame Justice Quijano awarded $8,000.</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Naks</w:t>
      </w:r>
      <w:r>
        <w:rPr>
          <w:rFonts w:ascii="arial" w:eastAsia="arial" w:hAnsi="arial" w:cs="arial"/>
          <w:color w:val="000000"/>
          <w:sz w:val="20"/>
          <w:lang w:val="en-US" w:eastAsia="en-US" w:bidi="ar-SA"/>
        </w:rPr>
        <w:t>, the plaintiff was eight years of age at the time of the accident and 16 years at the time of trial. The plaintiff was diagnosed with soft tissue injuries to the neck and upper and lower back resulting from the accident. Madame Justice Maisonville awarded $22,000 in non-pecuniary damages for the back pain and for exacerbation of the plaintiff's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accept that the consequences of the MVA were significant for the plaintiff. He suffered intense and then intermittent pain in his neck, shoulders and back for approximately two years and still has occasional pain in his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More significantly, the MVA caused the plaintiff to have psychological problems at a time which was already stressful for him, having just left the life he was familiar with in Japan. The MVA prevented him from fully enjoying his new life in Canada for a significant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In considering the relevant cases, I recognize that there are some similarities to the case involving the plaintiff's sister, Rui. However, having considered all of the evidence and, in particular the expert evidence and the factors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I am satisfied that the plaintiff was more seriously affected by the MVA than was his sister. The plaintiff's post-traumatic anxiety was sufficiently serious that his symptoms met the criteria for PTSD in 2010. In the plaintiff's case the symptoms included the trauma from the collision, intense distress, recurrent nightmares, hyper-vigilance, sleep disturbance and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Accordingly, in all of the circumstances of this case, I conclude that a fair and reasonable award for non-pecuniary damages is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The purpose of damages for loss of earning capacity is to put the plaintiff, insofar as is possible, in the position he would have been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legal framework governing an award for loss of earning capacity was summarized by Madame Justice Dardi in </w:t>
      </w:r>
      <w:r>
        <w:rPr>
          <w:rFonts w:ascii="arial" w:eastAsia="arial" w:hAnsi="arial" w:cs="arial"/>
          <w:i/>
          <w:color w:val="000000"/>
          <w:sz w:val="20"/>
          <w:lang w:val="en-US" w:eastAsia="en-US" w:bidi="ar-SA"/>
        </w:rPr>
        <w:t>Midgley v. Nguyen</w:t>
      </w:r>
      <w:r>
        <w:rPr>
          <w:rFonts w:ascii="arial" w:eastAsia="arial" w:hAnsi="arial" w:cs="arial"/>
          <w:color w:val="000000"/>
          <w:sz w:val="20"/>
          <w:lang w:val="en-US" w:eastAsia="en-US" w:bidi="ar-SA"/>
        </w:rPr>
        <w:t xml:space="preserve">, </w:t>
      </w:r>
      <w:hyperlink r:id="rId842" w:history="1">
        <w:r>
          <w:rPr>
            <w:rFonts w:ascii="arial" w:eastAsia="arial" w:hAnsi="arial" w:cs="arial"/>
            <w:i/>
            <w:color w:val="0077CC"/>
            <w:sz w:val="20"/>
            <w:u w:val="single"/>
            <w:shd w:val="clear" w:color="auto" w:fill="FFFFFF"/>
            <w:lang w:val="en-US" w:eastAsia="en-US" w:bidi="ar-SA"/>
          </w:rPr>
          <w:t>2013 BCSC 693</w:t>
        </w:r>
      </w:hyperlink>
      <w:r>
        <w:rPr>
          <w:rFonts w:ascii="arial" w:eastAsia="arial" w:hAnsi="arial" w:cs="arial"/>
          <w:color w:val="000000"/>
          <w:sz w:val="20"/>
          <w:lang w:val="en-US" w:eastAsia="en-US" w:bidi="ar-SA"/>
        </w:rPr>
        <w:t xml:space="preserve"> at paras. 236-240: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recent jurisprudence of the Court of Appeal has affirmed that the plaintiff must demonstrate both an impairment to his or her earning capacity and that there is a real and substantial possibility that the diminishment in earning capacity will result in a pecuniary loss. If the plaintiff discharges that requirement, he or she may prove the quantification of that loss of earning capacity either on an earnings approach or a "capital asset" approach: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489"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Regardless of the approach, the court must endeavour to quantify the financial harm accruing to the plaintiff over the course of his or her working career: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843"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 xml:space="preserve"> at para. 19;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[2011] B.C.J. No. 1378</w:t>
        </w:r>
      </w:hyperlink>
      <w:r>
        <w:rPr>
          <w:rFonts w:ascii="arial" w:eastAsia="arial" w:hAnsi="arial" w:cs="arial"/>
          <w:color w:val="000000"/>
          <w:sz w:val="20"/>
          <w:lang w:val="en-US" w:eastAsia="en-US" w:bidi="ar-SA"/>
        </w:rPr>
        <w:t>, at para. 183.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enumerated by the court in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844"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at para. 41, aff'd </w:t>
      </w:r>
      <w:hyperlink r:id="rId845"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 the principles which inform the assessment of loss of earning capacity include the following:</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of proof in relation to hypothetical or future events is simple probability, not the balance of probabilities: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 Hypothetical events are to be given weight according to their relative likelihood: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make allowances for the possibility that the assumptions upon which an award is based may prove to be wrong: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79 (S.C.), aff'd </w:t>
      </w:r>
      <w:hyperlink r:id="rId846"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Evidence which supports a contingency must show a "realistic as opposed to a speculative possibility":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847" w:history="1">
        <w:r>
          <w:rPr>
            <w:rFonts w:ascii="arial" w:eastAsia="arial" w:hAnsi="arial" w:cs="arial"/>
            <w:i/>
            <w:color w:val="0077CC"/>
            <w:sz w:val="20"/>
            <w:u w:val="single"/>
            <w:shd w:val="clear" w:color="auto" w:fill="FFFFFF"/>
            <w:lang w:val="en-US" w:eastAsia="en-US" w:bidi="ar-SA"/>
          </w:rPr>
          <w:t>(1990), 75 O.R. (2d) 622</w:t>
        </w:r>
      </w:hyperlink>
      <w:r>
        <w:rPr>
          <w:rFonts w:ascii="arial" w:eastAsia="arial" w:hAnsi="arial" w:cs="arial"/>
          <w:color w:val="000000"/>
          <w:sz w:val="20"/>
          <w:lang w:val="en-US" w:eastAsia="en-US" w:bidi="ar-SA"/>
        </w:rPr>
        <w:t xml:space="preserve"> at 636 (C.A.).</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assess damages for loss of earning capacity, rather than calculating those damages with mathematical precision: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848"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at para. 43. The assessment is based on the evidence, taking into account all positive and negative contingencies.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a claim for "past loss of income" is often characterized as a separate head of damages, it is properly characterized as a component of loss of earning capacity: </w:t>
      </w:r>
      <w:r>
        <w:rPr>
          <w:rFonts w:ascii="arial" w:eastAsia="arial" w:hAnsi="arial" w:cs="arial"/>
          <w:i/>
          <w:color w:val="000000"/>
          <w:sz w:val="20"/>
          <w:lang w:val="en-US" w:eastAsia="en-US" w:bidi="ar-SA"/>
        </w:rPr>
        <w:t>Falati</w:t>
      </w:r>
      <w:r>
        <w:rPr>
          <w:rFonts w:ascii="arial" w:eastAsia="arial" w:hAnsi="arial" w:cs="arial"/>
          <w:color w:val="000000"/>
          <w:sz w:val="20"/>
          <w:lang w:val="en-US" w:eastAsia="en-US" w:bidi="ar-SA"/>
        </w:rPr>
        <w:t xml:space="preserve"> at para. 39. It is compensation for the impairment to the plaintiff's past earning capacity that was occasioned by his or her injuries: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732"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Bradley v. Bath</w:t>
      </w:r>
      <w:r>
        <w:rPr>
          <w:rFonts w:ascii="arial" w:eastAsia="arial" w:hAnsi="arial" w:cs="arial"/>
          <w:color w:val="000000"/>
          <w:sz w:val="20"/>
          <w:lang w:val="en-US" w:eastAsia="en-US" w:bidi="ar-SA"/>
        </w:rPr>
        <w:t xml:space="preserve">, </w:t>
      </w:r>
      <w:hyperlink r:id="rId849"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 xml:space="preserve"> at paras. 31-32;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at para. 185.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burden of proof relating to actual past events is a balance of probabilities, a past hypothetical event will be considered as long as it was a real and substantial possibility and not mere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court in </w:t>
      </w:r>
      <w:r>
        <w:rPr>
          <w:rFonts w:ascii="arial" w:eastAsia="arial" w:hAnsi="arial" w:cs="arial"/>
          <w:i/>
          <w:color w:val="000000"/>
          <w:sz w:val="20"/>
          <w:lang w:val="en-US" w:eastAsia="en-US" w:bidi="ar-SA"/>
        </w:rPr>
        <w:t>Falati</w:t>
      </w:r>
      <w:r>
        <w:rPr>
          <w:rFonts w:ascii="arial" w:eastAsia="arial" w:hAnsi="arial" w:cs="arial"/>
          <w:color w:val="000000"/>
          <w:sz w:val="20"/>
          <w:lang w:val="en-US" w:eastAsia="en-US" w:bidi="ar-SA"/>
        </w:rPr>
        <w:t xml:space="preserve"> at para. 40 summarized the pertinent legal principles governing the assessment of post-accident, pre-trial loss of earning capacity and concluded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 the determination of a plaintiff's prospective post-accident, pre-trial losses can involve considering many of the same contingencies as govern the assessment of a loss of future earning capacity. ... As stated by Rowles J.A. in </w:t>
      </w:r>
      <w:r>
        <w:rPr>
          <w:rFonts w:ascii="arial" w:eastAsia="arial" w:hAnsi="arial" w:cs="arial"/>
          <w:i/>
          <w:color w:val="000000"/>
          <w:sz w:val="20"/>
          <w:lang w:val="en-US" w:eastAsia="en-US" w:bidi="ar-SA"/>
        </w:rPr>
        <w:t>Smith v. Knudsen</w:t>
      </w:r>
      <w:r>
        <w:rPr>
          <w:rFonts w:ascii="arial" w:eastAsia="arial" w:hAnsi="arial" w:cs="arial"/>
          <w:color w:val="000000"/>
          <w:sz w:val="20"/>
          <w:lang w:val="en-US" w:eastAsia="en-US" w:bidi="ar-SA"/>
        </w:rPr>
        <w:t xml:space="preserve">, </w:t>
      </w:r>
      <w:hyperlink r:id="rId850" w:history="1">
        <w:r>
          <w:rPr>
            <w:rFonts w:ascii="arial" w:eastAsia="arial" w:hAnsi="arial" w:cs="arial"/>
            <w:i/>
            <w:color w:val="0077CC"/>
            <w:sz w:val="20"/>
            <w:u w:val="single"/>
            <w:shd w:val="clear" w:color="auto" w:fill="FFFFFF"/>
            <w:lang w:val="en-US" w:eastAsia="en-US" w:bidi="ar-SA"/>
          </w:rPr>
          <w:t>2004 BCCA 613</w:t>
        </w:r>
      </w:hyperlink>
      <w:r>
        <w:rPr>
          <w:rFonts w:ascii="arial" w:eastAsia="arial" w:hAnsi="arial" w:cs="arial"/>
          <w:color w:val="000000"/>
          <w:sz w:val="20"/>
          <w:lang w:val="en-US" w:eastAsia="en-US" w:bidi="ar-SA"/>
        </w:rPr>
        <w:t>, at para. 29,</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"What would have happened in the past but for the injury is no more "knowable" than what will happen in the future and therefore it is appropriate to assess the likelihood of hypothetical and future events rather than applying the balance of probabilities test that is applied with respect to past actual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this case counsel for the plaintiff claims that the plaintiff has suffered a loss of capacity, both in the confidence required to obtain a driver's licence, as well as from the sequelae of possible future episodes of anxiety and PTSD.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As noted above, I am not satisfied that the plaintiff has established that he continues to suffer from a physical or psychological condition which would preclude him from obtaining his driver's licence or which would interfere with his future educational studies. The symptoms from the MVA have largely resolved. The evidence supports the conclusion that the plaintiff is doing well at school and in his social and family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conclude that the plaintiff's future earning capacity has not been diminished as a result of the MVA. I therefore decline to award damages for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The plaintiff is entitled to compensation for the cost of future care based on what is reasonably necessary to restore him to his pre-accident condition in so far as that is possible. When full restoration cannot be achieved, the court must strive to assure full compensation through the provision of adequate future care. The award is to be based on what is reasonably necessary on the medical evidence to preserve and promote the plaintiff's mental and physical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631"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para. 172 (S.C.), aff'd </w:t>
      </w:r>
      <w:hyperlink r:id="rId846"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Spehar (Guardian ad litem of) v. Beazley</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2002 BCSC 1104</w:t>
        </w:r>
      </w:hyperlink>
      <w:r>
        <w:rPr>
          <w:rFonts w:ascii="arial" w:eastAsia="arial" w:hAnsi="arial" w:cs="arial"/>
          <w:color w:val="000000"/>
          <w:sz w:val="20"/>
          <w:lang w:val="en-US" w:eastAsia="en-US" w:bidi="ar-SA"/>
        </w:rPr>
        <w:t xml:space="preserve"> at para. 55, aff'd </w:t>
      </w:r>
      <w:hyperlink r:id="rId851" w:history="1">
        <w:r>
          <w:rPr>
            <w:rFonts w:ascii="arial" w:eastAsia="arial" w:hAnsi="arial" w:cs="arial"/>
            <w:i/>
            <w:color w:val="0077CC"/>
            <w:sz w:val="20"/>
            <w:u w:val="single"/>
            <w:shd w:val="clear" w:color="auto" w:fill="FFFFFF"/>
            <w:lang w:val="en-US" w:eastAsia="en-US" w:bidi="ar-SA"/>
          </w:rPr>
          <w:t>2004 BCCA 290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Gignac v. Rozylo</w:t>
      </w:r>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paras. 29-30.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this case counsel for the plaintiff claims that he should be compensated for the cost of 20 sessions for ongoing treatment with Dr. Harada, which is calculated at $3,000.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Counsel for the defendant submits that the opinions of the experts do not support any requirement for ongoing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note Dr. Harada's evidence was that at the time she was treating the plaintiff, she was of the opinion that he required additional therapy sessions than he received. Ms. Nemoto's evidence was that the cost of the therapy was a concern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Although I have found that the plaintiff's anxiety has largely resolved, I consider that the plaintiff would benefit from a few additional therapy sessions with Dr. Harada to address his residual anxiety. I award the plaintiff $750 for this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parties have agreed to the plaintiff's entitlement to special damages in the amount of $2,162.50. I award this amount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summary, the total damages assessed amount to $42,912.50: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033"/>
        <w:gridCol w:w="1150"/>
        <w:gridCol w:w="564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 Pecuniary Damages:</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$40,000</w:t>
            </w:r>
          </w:p>
        </w:tc>
        <w:tc>
          <w:tcPr>
            <w:tcW w:w="553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823"/>
        <w:gridCol w:w="1046"/>
        <w:gridCol w:w="59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Care Costs:</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$750</w:t>
            </w:r>
          </w:p>
        </w:tc>
        <w:tc>
          <w:tcPr>
            <w:tcW w:w="5837"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1882"/>
        <w:gridCol w:w="53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$2,162.50</w:t>
            </w:r>
          </w:p>
        </w:tc>
        <w:tc>
          <w:tcPr>
            <w:tcW w:w="522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parties may make submissions as to costs, if they cannot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W.J. HARRIS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0" style="position:absolute;z-index:2518599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52"/>
          <w:headerReference w:type="default" r:id="rId853"/>
          <w:footerReference w:type="even" r:id="rId854"/>
          <w:footerReference w:type="default" r:id="rId855"/>
          <w:headerReference w:type="first" r:id="rId856"/>
          <w:footerReference w:type="first" r:id="rId85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58" w:history="1">
        <w:r>
          <w:rPr>
            <w:rFonts w:ascii="arial" w:eastAsia="arial" w:hAnsi="arial" w:cs="arial"/>
            <w:b/>
            <w:bCs/>
            <w:i/>
            <w:color w:val="0077CC"/>
            <w:kern w:val="32"/>
            <w:sz w:val="28"/>
            <w:szCs w:val="32"/>
            <w:u w:val="single"/>
            <w:shd w:val="clear" w:color="auto" w:fill="FFFFFF"/>
            <w:lang w:val="en-US" w:eastAsia="en-US" w:bidi="ar-SA"/>
          </w:rPr>
          <w:t>N.I.P. v. Blencoe, [2000] B.C.J. No. 2254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Bouck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25,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Victoria Registry No. 96/1925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2254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59" w:history="1">
        <w:r>
          <w:rPr>
            <w:rFonts w:ascii="arial" w:eastAsia="arial" w:hAnsi="arial" w:cs="arial"/>
            <w:i/>
            <w:color w:val="0077CC"/>
            <w:sz w:val="20"/>
            <w:u w:val="single"/>
            <w:shd w:val="clear" w:color="auto" w:fill="FFFFFF"/>
            <w:lang w:val="en-US" w:eastAsia="en-US" w:bidi="ar-SA"/>
          </w:rPr>
          <w:t>2000 BCSC 1563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59" w:history="1">
        <w:r>
          <w:rPr>
            <w:rFonts w:ascii="arial" w:eastAsia="arial" w:hAnsi="arial" w:cs="arial"/>
            <w:i/>
            <w:color w:val="0077CC"/>
            <w:sz w:val="20"/>
            <w:u w:val="single"/>
            <w:shd w:val="clear" w:color="auto" w:fill="FFFFFF"/>
            <w:lang w:val="en-US" w:eastAsia="en-US" w:bidi="ar-SA"/>
          </w:rPr>
          <w:t>193 D.L.R. (4th) 752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59" w:history="1">
        <w:r>
          <w:rPr>
            <w:rFonts w:ascii="arial" w:eastAsia="arial" w:hAnsi="arial" w:cs="arial"/>
            <w:i/>
            <w:color w:val="0077CC"/>
            <w:sz w:val="20"/>
            <w:u w:val="single"/>
            <w:shd w:val="clear" w:color="auto" w:fill="FFFFFF"/>
            <w:lang w:val="en-US" w:eastAsia="en-US" w:bidi="ar-SA"/>
          </w:rPr>
          <w:t>100 A.C.W.S. (3d) 800</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N.I.P., plaintiff, and Robin Blencoe and Her Majesty the Queen in Right of the Province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1"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3" w:name="Keywords_47"/>
      <w:bookmarkEnd w:id="303"/>
      <w:r>
        <w:rPr>
          <w:rFonts w:ascii="arial" w:eastAsia="arial" w:hAnsi="arial" w:cs="arial"/>
          <w:b/>
          <w:color w:val="000000"/>
          <w:sz w:val="20"/>
          <w:lang w:val="en-US" w:eastAsia="en-US" w:bidi="ar-SA"/>
        </w:rPr>
        <w:t>Crown — Action by and against Crown in right of a province — Practice — Setting aside writ or statement of claim.</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4" w:name="Case Summary_44"/>
            <w:bookmarkEnd w:id="30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provincial Crown for the dismissal of P's action against it. P sued Blencoe and the Crown for damages for sexual assault. Blencoe was elected to the Legislative Assembly in 1983 and was appointed to Cabinet in 1991. In 1995, his Cabinet appointment was rescinded. P claimed that she first met Blencoe in 1988 when she was living in subsidized government housing. She stated that she had sexual intercourse with him in 1989 because she was afraid that she would lose her housing benefits if she refused. She claimed that he committed several other sexual assaults when he was a MLA. The last assault allegedly occurred in 1994 with they were both attending the opening of a housing complex.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5" w:name="Holdings of Court_31"/>
            <w:bookmarkEnd w:id="305"/>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For vicarious liability to exist, the employer had to have effective control over the employee. When Blencoe was an MLA, the only direct master-servant relationship between him and the Crown arose when the Crown paid his salary. The Crown did not control his activities. As a sitting MLA, he was an independent operator, not a servant of the Crown. Therefore, the Crown was not vicariously liable for his alleged sexual assault on P committed while he was an MLA.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6" w:name="Legislation Cited_30"/>
      <w:bookmarkEnd w:id="30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2"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Constitution Act, R.S.B.C., c. 66, ss. 9, 13,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Crown Proceedings Act, </w:t>
      </w:r>
      <w:hyperlink r:id="rId860" w:history="1">
        <w:r>
          <w:rPr>
            <w:rFonts w:ascii="arial" w:eastAsia="arial" w:hAnsi="arial" w:cs="arial"/>
            <w:i/>
            <w:color w:val="0077CC"/>
            <w:sz w:val="20"/>
            <w:u w:val="single"/>
            <w:shd w:val="clear" w:color="auto" w:fill="FFFFFF"/>
            <w:lang w:val="en-US" w:eastAsia="en-US" w:bidi="ar-SA"/>
          </w:rPr>
          <w:t>R.S.B.C. 1996, c. 89, ss. 1</w:t>
        </w:r>
      </w:hyperlink>
      <w:r>
        <w:rPr>
          <w:rFonts w:ascii="arial" w:eastAsia="arial" w:hAnsi="arial" w:cs="arial"/>
          <w:color w:val="000000"/>
          <w:sz w:val="20"/>
          <w:lang w:val="en-US" w:eastAsia="en-US" w:bidi="ar-SA"/>
        </w:rPr>
        <w:t>, 11(1).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Legislative Assembly Allowances and Pension Act, </w:t>
      </w:r>
      <w:hyperlink r:id="rId861" w:history="1">
        <w:r>
          <w:rPr>
            <w:rFonts w:ascii="arial" w:eastAsia="arial" w:hAnsi="arial" w:cs="arial"/>
            <w:i/>
            <w:color w:val="0077CC"/>
            <w:sz w:val="20"/>
            <w:u w:val="single"/>
            <w:shd w:val="clear" w:color="auto" w:fill="FFFFFF"/>
            <w:lang w:val="en-US" w:eastAsia="en-US" w:bidi="ar-SA"/>
          </w:rPr>
          <w:t>R.S.B.C. 1996, c. 257, s. 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Legislative Assembly Management Committee Act, 1996 R.S.B.C., c. 258, s.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Recall and Initiative Act, 1996, R.S.B.C., c. 398, s. 19(1).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7" w:name="Counsel_48"/>
      <w:bookmarkEnd w:id="30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3" style="position:absolute;z-index:251810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David R. Brooks, for the plaintiff. Timothy P. Leadem, Q.C., for the Crown.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8" w:name="Judgment_48"/>
      <w:bookmarkEnd w:id="308"/>
      <w:r>
        <w:pict>
          <v:line id="_x0000_s1254" style="position:absolute;z-index:25186099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9" w:name="BOUCK J."/>
            <w:bookmarkEnd w:id="309"/>
            <w:r>
              <w:rPr>
                <w:rFonts w:ascii="arial" w:eastAsia="arial" w:hAnsi="arial" w:cs="arial"/>
                <w:b/>
                <w:color w:val="000000"/>
                <w:sz w:val="30"/>
                <w:lang w:val="en-US" w:eastAsia="en-US" w:bidi="ar-SA"/>
              </w:rPr>
              <w:t>BOUCK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Ms. N.I.P. seeks an award of damages from Mr. Blencoe and the Provincial Crown. She claims that Mr. Blencoe sexually assaulted her at various times between January 1989 and April 1994. For the early part of that time period Mr. Blencoe was a sitting M.L.A. Later on in that time period he became a cabinet minister.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N.I.P. contends that Mr. Blencoe was a servant of the Crown at all relevant times. Therefore, she claims the Crown is vicariously responsible for his alleged unlawful conduct. Ms. N.I.P. also alleges that the Crown is directly liable for her injuries because it was negligent. She says that the Crown owed her a duty of care, and it breached that duty by not protecting her from Mr. Blencoe. The trial is set to proceed in early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this Rule 18A application, the Crown seeks an order dismissing Ms. N.I.P.'s action against it on the grounds that it is not liable for Mr. Blencoe's alleged unlawful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For the reasons that follow, I find there was no master servant relationship between the Crown and Mr. Blencoe. Therefore, the Crown is not vicariously liable for any monetary damages Mr. Blencoe may owe to Ms. N.I.P.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 also find that the Crown is not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do not find any evidence that the Crown was aware of Mr. Blencoe's actions with Ms. N.I.P. or any other complainants until official complaints were made. It was not reasonable for the Crown to have foreseen what Mr. Blencoe allegedly did to Ms. N.I.P. When the Crown became aware of Mr. Blencoe's actions, it rescinded his cabinet appointment until the matter could be investigated more 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Voters first elected Mr. Blencoe to the British Columbia Legislative Assembly on 5 May 1983 as a member of the New Democratic Party sitting in opposition. They elected him again on 22 October 1986 to the same position. On 17 October 1991, they elected him once more, but this time his party formed the government. On 5 November 1991 Mr. Blencoe was first appointed to the cabinet.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following is a brief summary of Mr. Blencoe's cabinet appointments and responsibilities.</w:t>
      </w:r>
      <w:r>
        <w:rPr>
          <w:rFonts w:ascii="arial" w:eastAsia="arial" w:hAnsi="arial" w:cs="arial"/>
          <w:sz w:val="20"/>
          <w:lang w:val="en-US" w:eastAsia="en-US" w:bidi="ar-SA"/>
        </w:rPr>
        <w:cr/>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5 November 1991, The Lieutenant Governor/Administrator acting on the advice of the Executive Council/Lieutenant Governor in Council appointed Mr. Blencoe to be Minister of Municipal Affairs, Recreation and Housing.</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15 September 1993, the Lieutenant Governor/Administrator, acting on the advice of the Executive Council/Lieutenant Governor in Council, renamed that ministry the Ministry of Municipal Affairs. Mr. Blencoe became the Minister of Government Services and Minister Responsible for Sports and Commonwealth Games.</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9 March 1995 the Lieutenant Governor in Council, acting on the advice of the Executive Council/Lieutenant Governor in Council, relieved Mr. Blencoe of his duties as Minister of Government Services and as Minister Responsible for Sports and Commonwealth Games.</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4 April 1995, The Lieutenant Governor in Council, acting on the advice of the Executive Council/Lieutenant Governor in Council, rescinded Mr. Blencoe's cabinet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N.I.P. says she first met Mr. Blencoe in September 1988 when she was living in provincially subsidized government housing. She says that in the early part of 1989 she had sexual intercourse with Mr. Blencoe because she was afraid that she would lose her housing benefits if she refused. During the time up to 4 November 1991, when Mr. Blencoe was an M.L.A. and not a cabinet minister, Ms. N.I.P. alleges that Mr. Blencoe committed several other sexual assaults on Ms. N.I.P.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last sexual assault allegedly occurred in 1994 when both Ms. N.I.P. and Mr. Blencoe were attending the opening of a housing complex. Mr. Blencoe attended as the M.L.A. for the area, but he was not then Minister of Housing. It does not appear that he made any specific threats to Ms. N.I.P. to the effect she might lose her housing benefits if she did not consent to his advances.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It appears that Ms. N.I.P. first informed government representatives about Mr. Blencoe's conduct in April 1995. Ms. N.I.P. was not aware of any other person being assaulted by Mr. Blencoe, other than those who were making complaints to the Human Rights Commission.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Crown vicariously liable to Ms. N.I.P. for the alleged sexual assaults committed by Mr. Blencoe?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Crown liable to Ms. N.I.P. for the alleged sexual assaults committed by Mr. Blencoe because it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may be convenient to divide the judgment into five parts:</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Law - Master and Servant Relationship and Vicarious Liability.</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and Statute Law Regarding the Position of Crown.</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of the Crown while Mr. Blencoe was an M.L.A.</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of the Crown while Mr. Blencoe was a Cabinet Minister.</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Liability of the Crown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Law - Master and Servant and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Law of Master and Servant, 5th ed. (London: Sir Isaac Pitman and Sons Ltd., 1967) Judge F.R. Batt commented at page 1, that the relationship between a master and servant is so fundamental that it eludes precise definition. He described a "servant" as "one who is under an obligation to render services and obey the orders of a person or body of persons, especially in return for wages and salary." He goes on at page 1 to state that a "master" is "one having direction or control over the actions of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page 5, Judge Batt discusses the relationship between a master and servant: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Whether any relation is that of master and servant is entirely a question of fact ... the law is not concerned with the terminology used by the parties but only with the nature of the relation which the parties intended, or, in the absence of clearly expressed intention, must be deemed to have intended to create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Vicarious Liability in the Law of Torts (London: Butterworths, 1967), P.S. Atiyah discusses the master and servant relationship at 47 and 48. He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what the courts now look for is not so much the power to direct how the work shall be done, but the power to control the servant in relation to the incidental features of his employment - what has been termed the "when" and the "where" of the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Insofar as control is still an important test it is the "ultimate" control that matters, the power of the employer to tell the servant what he is to do, when he is to do it and where he is to do it.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For vicarious liability to exist, the employer must have effective control over the employee: see Montreal v. Montreal Locomotive Works Ltd., </w:t>
      </w:r>
      <w:hyperlink r:id="rId862" w:history="1">
        <w:r>
          <w:rPr>
            <w:rFonts w:ascii="arial" w:eastAsia="arial" w:hAnsi="arial" w:cs="arial"/>
            <w:i/>
            <w:color w:val="0077CC"/>
            <w:sz w:val="20"/>
            <w:u w:val="single"/>
            <w:shd w:val="clear" w:color="auto" w:fill="FFFFFF"/>
            <w:lang w:val="en-US" w:eastAsia="en-US" w:bidi="ar-SA"/>
          </w:rPr>
          <w:t>[1947] 1 D.L.R. 161</w:t>
        </w:r>
      </w:hyperlink>
      <w:r>
        <w:rPr>
          <w:rFonts w:ascii="arial" w:eastAsia="arial" w:hAnsi="arial" w:cs="arial"/>
          <w:color w:val="000000"/>
          <w:sz w:val="20"/>
          <w:lang w:val="en-US" w:eastAsia="en-US" w:bidi="ar-SA"/>
        </w:rPr>
        <w:t xml:space="preserve"> (P.C.) at 169. The British Columbia Court of Appeal affirmed the need to find this element of control in A.(C.) v. C.(J.W.) </w:t>
      </w:r>
      <w:hyperlink r:id="rId816" w:history="1">
        <w:r>
          <w:rPr>
            <w:rFonts w:ascii="arial" w:eastAsia="arial" w:hAnsi="arial" w:cs="arial"/>
            <w:i/>
            <w:color w:val="0077CC"/>
            <w:sz w:val="20"/>
            <w:u w:val="single"/>
            <w:shd w:val="clear" w:color="auto" w:fill="FFFFFF"/>
            <w:lang w:val="en-US" w:eastAsia="en-US" w:bidi="ar-SA"/>
          </w:rPr>
          <w:t>(1998), 60 B.C.L.R. (3d) 92</w:t>
        </w:r>
      </w:hyperlink>
      <w:r>
        <w:rPr>
          <w:rFonts w:ascii="arial" w:eastAsia="arial" w:hAnsi="arial" w:cs="arial"/>
          <w:color w:val="000000"/>
          <w:sz w:val="20"/>
          <w:lang w:val="en-US" w:eastAsia="en-US" w:bidi="ar-SA"/>
        </w:rPr>
        <w:t xml:space="preserve"> at 121.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common law, employers or masters are vicariously responsible for the torts of their employees or servants that are committed by the latter during the course of their employment: L.N. Klar et al. Remedies in Tort, looseleaf, vol. 4 (Toronto: Thomson Canada Limited, 1987) at para. 65. If I find Mr. Blencoe was a servant of the Crown when he allegedly committed the sexual assaults, the plaintiff must still prove that what Mr. Blencoe allegedly did to her was done during the course of his employment as an M.L.A. and later as a cabinet minister.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Generally speaking, to prove vicarious liability on the part of the Crown, Ms. N.I.P. must establish on a balance of probabilities that:</w:t>
      </w:r>
      <w:r>
        <w:rPr>
          <w:rFonts w:ascii="arial" w:eastAsia="arial" w:hAnsi="arial" w:cs="arial"/>
          <w:sz w:val="20"/>
          <w:lang w:val="en-US" w:eastAsia="en-US" w:bidi="ar-SA"/>
        </w:rPr>
        <w:cr/>
      </w:r>
    </w:p>
    <w:p>
      <w:pPr>
        <w:numPr>
          <w:numId w:val="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alleged sexual assaults Mr. Blencoe committed were connected with his duty as a Crown employee.</w:t>
      </w:r>
    </w:p>
    <w:p>
      <w:pPr>
        <w:numPr>
          <w:numId w:val="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connection to his duties as an employee of the Crown was of such a nature that the assaults could be seen as ways, even improper ways, of performing his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If the alleged sexual assaults were independent acts by Mr. Blencoe, done outside the course of his employment, the Crown is not vicariously responsible: Klar, supra, at paras. 73 - 74.</w:t>
      </w:r>
      <w:r>
        <w:rPr>
          <w:rFonts w:ascii="arial" w:eastAsia="arial" w:hAnsi="arial" w:cs="arial"/>
          <w:sz w:val="20"/>
          <w:lang w:val="en-US" w:eastAsia="en-US" w:bidi="ar-SA"/>
        </w:rPr>
        <w:cr/>
      </w:r>
    </w:p>
    <w:p>
      <w:pPr>
        <w:numPr>
          <w:numId w:val="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and Statute Law on the Position of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Canada, the provinces and the federal government each have a separate existence defined by a separate treasury, separate property, separate employees, separate courts and a separate set of laws to administer. The Queen is the formal head of state in the provinces and the federal government. Commonly, many refer to the federal and provincial governments as the Crown. They are called the Crown in the right of Canada or the Crown in the right of each individual province, as the case may be: P. Hogg, Constitutional Law of Canada, 4th ed. (Scarborough: Thomson Canada Limited, 1997) at 269. In this instance we are dealing with the Crown in the right of the Province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Under the Crown Proceeding Act, </w:t>
      </w:r>
      <w:hyperlink r:id="rId860" w:history="1">
        <w:r>
          <w:rPr>
            <w:rFonts w:ascii="arial" w:eastAsia="arial" w:hAnsi="arial" w:cs="arial"/>
            <w:i/>
            <w:color w:val="0077CC"/>
            <w:sz w:val="20"/>
            <w:u w:val="single"/>
            <w:shd w:val="clear" w:color="auto" w:fill="FFFFFF"/>
            <w:lang w:val="en-US" w:eastAsia="en-US" w:bidi="ar-SA"/>
          </w:rPr>
          <w:t>R.S.B.C. 1996, c. 89, s. 1</w:t>
        </w:r>
      </w:hyperlink>
      <w:r>
        <w:rPr>
          <w:rFonts w:ascii="arial" w:eastAsia="arial" w:hAnsi="arial" w:cs="arial"/>
          <w:color w:val="000000"/>
          <w:sz w:val="20"/>
          <w:lang w:val="en-US" w:eastAsia="en-US" w:bidi="ar-SA"/>
        </w:rPr>
        <w:t>, the word "Crown" is defined as "Her Majesty the Queen in Right of British Columbia." Section 11 (1) of that statute allows a person to bring proceedings against the Crown and obtain relief from the Crown almost as if the Crown were a natural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Hence the statute gives Ms. N.I.P. the right to bring this action against the provincial Crown. However, it also limits the nature of the remedy she can recover from the Crown to the remedy that she could recover from an ordinary person as an employer. In other words, if the Crown and Mr. Blencoe did not have a master servant relationship when the alleged assaults occurred, the Crown cannot be found vicariously liable for Mr. Blencoe's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With respect, it is imprecise to describe the parliamentary system as consisting of three separate and distinct branches of government consisting of the legislature, the executive and the judiciary. While the judiciary is separate and distinct from the executive and the legislature, the legislature and executive are not distinct from one another. Some members of the elected legislature are also members of the executive. They are called cabinet ministers. The Crown appoints cabinet ministers to direct the functions of their ministries in accordance with legislation applicable to a particular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Canada, the Crown exists in the form of the federal Governor General or provincial Lieutenant Governors. Canadian constitutional law does not grant Governor Generals and Lieutenant Governors the powers of absolute monarchs. Instead, it recognizes that these monarchial powers are now vested in the legislature. As Hogg, supra, states at 241 - 242: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1930, all Canadian Governors General have been selected by the Canadian Prime Minister with the Queen merely formalizing the appointment ... The effect of responsible government is to transfer effective political power to elected officials.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Hence, Parliament is supreme because it represents the will of the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Decisions once made by a monarch in the name of the Crown are now made by the executive branch of government under the authority of the legislature. Within that authority, the executive administers the activities of government. Often, the executive's activities are referred to as "Crown" activities, for want of a better description.</w:t>
      </w:r>
      <w:r>
        <w:rPr>
          <w:rFonts w:ascii="arial" w:eastAsia="arial" w:hAnsi="arial" w:cs="arial"/>
          <w:sz w:val="20"/>
          <w:lang w:val="en-US" w:eastAsia="en-US" w:bidi="ar-SA"/>
        </w:rPr>
        <w:cr/>
      </w:r>
    </w:p>
    <w:p>
      <w:pPr>
        <w:numPr>
          <w:numId w:val="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of the Crown while Mr. Blencoe was an M.L.A.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British Columbia voters elected Mr. Blencoe to the Legislative Assembly on 5 May 1983, 22 October 1986 and again on 17 October 1991. The Crown neither hired nor appointed him to the Assembly. In section 23 of the Constitution Act, R.S.B.C. c. 66, the Legislature fixed Mr. Blencoe's term of office at a maximum of 5 years. The Crown did not set the length of the term he could serve as an M.L.A. The only direct master servant relationship between Mr. Blencoe and the Crown arose when the Crown paid his salary from the public purse. However, while the Crown paid his salary, the Legislature set the amount: Legislative Assembly Management Committee Act, 1996 R.S.B.C. c. 258, s.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Again, the Legislature and not the Crown described the conditions whereby Mr. Blencoe could lose his position as an M.L.A. Section 34 of the Constitution Act, sets out when an M.L.A. loses his or her seat. Failing to attend the Legislative Assembly during the whole session and being convicted of an indictable offence that can only be prosecuted by indictment, are examples of the type of conduct set out in s.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is also possible for the people to recall an elected M.L.A. Section 19(1) of the Recall and Initiative Act, 1996 R.S.B.C. c. 398, states that "a registered voter for an electoral district may apply under subsection (2) for the issuance of a petition for the recall of the Member of the Legislative Assembly for that electoral district". Therefore, it is the people, not the Crown, through legislation and recall actions, who have the power to dismiss an M.L.A.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Based on this analysis, there was no master and servant relationship between the Crown and Mr. Blencoe while he was an M.L.A. The Crown did not appoint Mr. Blencoe to the position of M.L.A. The Crown did not direct or control his activities in return for paying him wages or salary. Nor did the Crown set his wages. It did not tell him what he was to do and how he was to do it. As a sitting M.L.A. he was an independent operator, not a servant of the Crown. If anything he was the servant of the people whom he represented.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Without there being a master and servant relationship between the Crown and Mr. Blencoe as an M.L.A., the Crown cannot be vicariously liable for his alleged sexual assaults on Ms. N.I.P. committed while he was an M.L.A. He alone must pay any damages she may recover for these alleged sexual assaults.</w:t>
      </w:r>
      <w:r>
        <w:rPr>
          <w:rFonts w:ascii="arial" w:eastAsia="arial" w:hAnsi="arial" w:cs="arial"/>
          <w:sz w:val="20"/>
          <w:lang w:val="en-US" w:eastAsia="en-US" w:bidi="ar-SA"/>
        </w:rPr>
        <w:cr/>
      </w:r>
    </w:p>
    <w:p>
      <w:pPr>
        <w:numPr>
          <w:numId w:val="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of the Crown while Mr. Blencoe was a Cabinet Minister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It seems undisputed that Mr. Blencoe allegedly assaulted Ms. N.I.P. only once while he was a cabinet minister. Therefore, the question is whether or not Mr. Blencoe was a servant of the Crown when he was no longer just an M.L.A., but also a member of the provincial cabinet.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Under s. 9 of the Constitution Act, the Lieutenant Governor appoints the Executive Council, including the Premier, who is President of the Council. From those appointed to the Executive Council, the Lieutenant Governor must designate a portfolio for each one. Section 13 of the Constitution Act states that despite any Act, the Lieutenant Governor in Council may determine the organization of the executive government and its various ministries. Thus, the Lieutenant Governor appoints and the Lieutenant Governor in Council organizes.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By constitutional convention, a Lieutenant Governor acts on the advice of the Lieutenant Governor in Council or, in some cases, the Premier: Hogg, supra, at 19. The words "Lieutenant Governor in Council" really mean the provincial cabinet: Hogg, supra, at page 9. In British Columbia the Executive Council is the same as the cabinet.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this instance, the Lieutenant Governor (the Crown) appointed Mr. Blencoe to cabinet. No orders in council specifically defined Mr. Blencoe's cabinet responsibilities. All they did was direct Mr. Blencoe to assume certain duties, powers and functions connected with his ministerial position. These duties, powers and functions are spelled out in various statutes enacted by the Legislature. Mr. Blencoe's base salary as an M.L.A. was set. Other legislation specified the salary he was entitled to receive for his services as a cabinet minister: Legislative Assembly Allowances and Pension Act, </w:t>
      </w:r>
      <w:hyperlink r:id="rId861" w:history="1">
        <w:r>
          <w:rPr>
            <w:rFonts w:ascii="arial" w:eastAsia="arial" w:hAnsi="arial" w:cs="arial"/>
            <w:i/>
            <w:color w:val="0077CC"/>
            <w:sz w:val="20"/>
            <w:u w:val="single"/>
            <w:shd w:val="clear" w:color="auto" w:fill="FFFFFF"/>
            <w:lang w:val="en-US" w:eastAsia="en-US" w:bidi="ar-SA"/>
          </w:rPr>
          <w:t>R.S.B.C. 1996, c. 257, s. 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is the case with all cabinet appointments, Mr. Blencoe served at the discretion of the Premier: Hogg, supra, at 243. Thus, Mr. Blencoe's only master servant relationship with the Crown was the Premier's power to appoint and dismiss him. It was the legislation that he administered that controlled his day-to-day duties, powers and functions.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As a cabinet member, Mr. Blencoe had various duties to four separate entities. First, he was also an M.L.A. with certain duties to his constituents as their elected representative. Second, he had duties to the Legislature as prescribed by the statutes that set up the ministries he supervised. Third, he owed duties, such as cabinet solidarity, to the Premier and Executive Council who hired him and could fire him. Fourth, he had political duties as a member of a political party that formed the government. From time to time these duties were bound to conflict. No one entity controlled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As His Honour Judge Batt stated above, the issue of whether a master servant relationship exists is entirely a question of fact. On a day-to-day basis, the Crown (Premier/Executive Council) did not control how Mr. Blencoe should perform his cabinet ministry work. Nor did it control where he should be and when he should be there. Mr. Blencoe only had a limited employment relationship with the Crown. He had more significant master servant type obligations to the three other entities mentioned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Given these circumstances, I find as a fact there was no certain master servant relationship between Mr. Blencoe and the Crown during his term as a cabinet minister. Because no such relationship existed, the Crown is not vicariously liable to Ms. N.I.P. for Mr. Blencoe's actions during his term as a cabinet minister.</w:t>
      </w:r>
      <w:r>
        <w:rPr>
          <w:rFonts w:ascii="arial" w:eastAsia="arial" w:hAnsi="arial" w:cs="arial"/>
          <w:sz w:val="20"/>
          <w:lang w:val="en-US" w:eastAsia="en-US" w:bidi="ar-SA"/>
        </w:rPr>
        <w:cr/>
      </w:r>
    </w:p>
    <w:p>
      <w:pPr>
        <w:numPr>
          <w:numId w:val="1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Liability of the Crown for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Ms. N.I.P. submits that if the Crown is not vicariously liable for Mr. Blencoe's conduct as a servant of the Crown, then it is directly liable to her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She argues the Crown owed her a duty of care because it knew or ought to have known of his actions and failed to prevent him from injuring her. There is little or no evidence proving that the Crown knew about the alleged assaults of Mr. Blencoe. Nor, was it reasonably foreseeable to the Crown that Mr. Blencoe would assault Ms. N.I.P. or anybody else: R. v. Cote, </w:t>
      </w:r>
      <w:hyperlink r:id="rId863" w:history="1">
        <w:r>
          <w:rPr>
            <w:rFonts w:ascii="arial" w:eastAsia="arial" w:hAnsi="arial" w:cs="arial"/>
            <w:i/>
            <w:color w:val="0077CC"/>
            <w:sz w:val="20"/>
            <w:u w:val="single"/>
            <w:shd w:val="clear" w:color="auto" w:fill="FFFFFF"/>
            <w:lang w:val="en-US" w:eastAsia="en-US" w:bidi="ar-SA"/>
          </w:rPr>
          <w:t>[1976] 1 S.C.R. 595</w:t>
        </w:r>
      </w:hyperlink>
      <w:r>
        <w:rPr>
          <w:rFonts w:ascii="arial" w:eastAsia="arial" w:hAnsi="arial" w:cs="arial"/>
          <w:color w:val="000000"/>
          <w:sz w:val="20"/>
          <w:lang w:val="en-US" w:eastAsia="en-US" w:bidi="ar-SA"/>
        </w:rPr>
        <w:t xml:space="preserve"> at 604.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From these findings it follows that the Crown's Rule 18A application must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sz w:val="20"/>
          <w:lang w:val="en-US" w:eastAsia="en-US" w:bidi="ar-SA"/>
        </w:rPr>
        <w:cr/>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N.I.P.'s claim against the Crown is dismissed.</w:t>
      </w:r>
    </w:p>
    <w:p>
      <w:pPr>
        <w:numPr>
          <w:numId w:val="1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follow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BOUCK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55" style="position:absolute;z-index:251893760"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Bell v. Thorner, [2009] B.C.J. No. 63</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 Inc. v. Au, [2017] B.C.J. No. 2740</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Blace v. Dundas, [2005] B.C.J. No. 1445</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Cowichan Valley School District No. 79 v. Lloyd's Underwriters, Lloyd's, London, [2003] B.C.J. No. 1964</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Bracken v. Vancouver (City), [2006] B.C.J. No. 165</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Carlsen v. Southerland, [2008] B.C.J. No. 2512</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Collette v. Dundee Securities Corp., [2006] B.C.J. No. 1168</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Connor Financial Services International Inc. v. Carver, [2015] B.C.J. No. 2726</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Crane v. Surrey (City), [2008] B.C.J. No. 378</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Daniels v. Strangway, [2001] B.C.J. No. 352</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Dawson Truck Repairs Ltd. v. Insurance Corp. of British Columbia, [2006] B.C.J. No. 1030</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Ellis v. Bruch, [2005] B.C.J. No. 1545</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F.G.M. Holdings Ltd. v. British Columbia (Workers' Compensation Board), [2000] B.C.J. No. 1630</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Forge v. Canada (Attorney General), [2000] B.C.J. No. 2147</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Hadden v. Lynch, [2008] B.C.J. No. 418</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Hopegain International Holdings Inc. v. Buxton, [2002] B.C.J. No. 4</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Kabir v. Simpson, [2016] B.C.J. No. 1822</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Laidar Holdings Ltd. v. Lindt &amp; Sprungli (Canada) Inc., [2011] B.C.J. No. 444</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Lemay v. James Western Star Sterling Ltd., [2013] B.C.J. No. 1265</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Lemesurier v. McConnachie, [2009] B.C.J. No. 138</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MacDonald v. CWMM Consulting Engineers Ltd., [2008] B.C.J. No. 1316</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McIlvenna (litigation guardian of) v. Viebig, [2007] B.C.J. No. 422</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Ogilvie (Litigation guardian of) v. Mortimer, [2008] B.C.J. No. 908</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Pelletier v. Assurances de L'Est Inc., [2015] B.C.J. No. 933</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Pete v. Axworthy, [2004] B.C.J. No. 2511</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Scheck v. Parkdale Place Housing Society, [2019] B.C.J. No. 56</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Shaw v. Thody, [2014] B.C.J. No. 706</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Singh v. Bains, [2007] B.C.J. No. 2197</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Sit v. British Columbia's Women's Hospital, [2000] B.C.J. No. 1911</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Tierney v. GMAC Leaseco Corp., [2010] B.C.J. No. 1640</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Tremblay v. Westfair Foods Ltd., [2003] B.C.J. No. 1621</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Vaupel v. Derkatch, [2000] B.C.J. No. 2280</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White v. Craigon, [2013] B.C.J. No. 1003</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Woodrow v. Canada (Attorney General), [2001] B.C.J. No. 102</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Kellett v. Stam, [2018] B.C.J. No. 1321</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Bajwa v. British Columbia Veterinary Medical Assn., [2012] B.C.J. No. 1211</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Basha Sales Co. v. Adera Equities Inc., [2017] B.C.J. No. 160</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Blackman v. Dha, [2015] B.C.J. No. 860</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Cardwell v. Perthen, [2006] B.C.J. No. 455</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Carvalho v. Angotti, [2007] B.C.J. No. 2637</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Colibao Chingcuangco v. Herback, [2013] B.C.J. No. 293</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Djukic v. Hahn, [2006] B.C.J. No. 199</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Edwards v. Khuong, [2001] B.C.J. No. 534</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Gale v. Knapp, [2006] B.C.J. No. 2012</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Holmes v. Hanna, [2001] B.C.J. No. 1256</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MacLean v. Budget-Rent-A-Car of Edmonton Ltd., [2006] B.C.J. No. 2032</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ML Plaza Holdings Ltd. v. Imperial Oil Ltd., [2006] B.C.J. No. 479</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M.R. v. British Columbia, [2002] B.C.J. No. 2614</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Nemoto (Litigation guardian of) v. Phagura, [2014] B.C.J. No. 283</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N.I.P. v. Blencoe, [2000] B.C.J. No. 2254</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9"/>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5"/>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6"/>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7"/>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8"/>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0"/>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6"/>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2"/>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5"/>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4"/>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5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5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5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6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6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6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6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6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6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6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6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6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6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7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7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7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7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decimal"/>
      <w:lvlText w:val="7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decimal"/>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decimal"/>
      <w:lvlText w:val="1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decimal"/>
      <w:lvlText w:val="1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decimal"/>
      <w:lvlText w:val="19."/>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816068"/>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6376AFD"/>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7F94C03"/>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B8D1751"/>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E85C2CD"/>
    <w:multiLevelType w:val="multilevel"/>
    <w:tmpl w:val="00000001"/>
    <w:lvl w:ilvl="0">
      <w:start w:val="9"/>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14B6553A"/>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166CA0FC"/>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1B0E941F"/>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1E177166"/>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22739C5F"/>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24720F8A"/>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25279E55"/>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2AB01528"/>
    <w:multiLevelType w:val="multilevel"/>
    <w:tmpl w:val="00000001"/>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2DFAF522"/>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2E2636CE"/>
    <w:multiLevelType w:val="multilevel"/>
    <w:tmpl w:val="00000001"/>
    <w:lvl w:ilvl="0">
      <w:start w:val="1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2F74CC38"/>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2FFBA597"/>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311F296E"/>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3476439B"/>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3C5D6E93"/>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429A211F"/>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45E4B776"/>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468BC4CF"/>
    <w:multiLevelType w:val="multilevel"/>
    <w:tmpl w:val="00000001"/>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4C1C120A"/>
    <w:multiLevelType w:val="multilevel"/>
    <w:tmpl w:val="00000001"/>
    <w:lvl w:ilvl="0">
      <w:start w:val="19"/>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593748B2"/>
    <w:multiLevelType w:val="multilevel"/>
    <w:tmpl w:val="00000001"/>
    <w:lvl w:ilvl="0">
      <w:start w:val="1"/>
      <w:numFmt w:val="lowerLetter"/>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5A8299F6"/>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5D854140"/>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6098AEF5"/>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630B4C06"/>
    <w:multiLevelType w:val="multilevel"/>
    <w:tmpl w:val="0000000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6544E361"/>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6726D5C4"/>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6732A9A5"/>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695EB6FB"/>
    <w:multiLevelType w:val="multilevel"/>
    <w:tmpl w:val="00000001"/>
    <w:lvl w:ilvl="0">
      <w:start w:val="1"/>
      <w:numFmt w:val="decimal"/>
      <w:lvlText w:val="17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69F17099"/>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6D10547A"/>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73D3D103"/>
    <w:multiLevelType w:val="multilevel"/>
    <w:tmpl w:val="00000001"/>
    <w:lvl w:ilvl="0">
      <w:start w:val="1"/>
      <w:numFmt w:val="decimal"/>
      <w:lvlText w:val="1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763D46A1"/>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78491664"/>
    <w:multiLevelType w:val="multilevel"/>
    <w:tmpl w:val="00000001"/>
    <w:lvl w:ilvl="0">
      <w:start w:val="1"/>
      <w:numFmt w:val="decimal"/>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7A59F246"/>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7E736031"/>
    <w:multiLevelType w:val="multilevel"/>
    <w:tmpl w:val="00000001"/>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7F261966"/>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7FDB8F65"/>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98"/>
  </w:num>
  <w:num w:numId="5">
    <w:abstractNumId w:val="3"/>
  </w:num>
  <w:num w:numId="6">
    <w:abstractNumId w:val="4"/>
  </w:num>
  <w:num w:numId="7">
    <w:abstractNumId w:val="5"/>
  </w:num>
  <w:num w:numId="8">
    <w:abstractNumId w:val="6"/>
  </w:num>
  <w:num w:numId="9">
    <w:abstractNumId w:val="7"/>
  </w:num>
  <w:num w:numId="10">
    <w:abstractNumId w:val="8"/>
  </w:num>
  <w:num w:numId="11">
    <w:abstractNumId w:val="9"/>
  </w:num>
  <w:num w:numId="12">
    <w:abstractNumId w:val="10"/>
  </w:num>
  <w:num w:numId="13">
    <w:abstractNumId w:val="11"/>
  </w:num>
  <w:num w:numId="14">
    <w:abstractNumId w:val="12"/>
  </w:num>
  <w:num w:numId="15">
    <w:abstractNumId w:val="13"/>
  </w:num>
  <w:num w:numId="16">
    <w:abstractNumId w:val="14"/>
  </w:num>
  <w:num w:numId="17">
    <w:abstractNumId w:val="15"/>
  </w:num>
  <w:num w:numId="18">
    <w:abstractNumId w:val="16"/>
  </w:num>
  <w:num w:numId="19">
    <w:abstractNumId w:val="17"/>
  </w:num>
  <w:num w:numId="20">
    <w:abstractNumId w:val="94"/>
  </w:num>
  <w:num w:numId="21">
    <w:abstractNumId w:val="18"/>
  </w:num>
  <w:num w:numId="22">
    <w:abstractNumId w:val="19"/>
  </w:num>
  <w:num w:numId="23">
    <w:abstractNumId w:val="20"/>
  </w:num>
  <w:num w:numId="24">
    <w:abstractNumId w:val="21"/>
  </w:num>
  <w:num w:numId="25">
    <w:abstractNumId w:val="22"/>
  </w:num>
  <w:num w:numId="26">
    <w:abstractNumId w:val="23"/>
  </w:num>
  <w:num w:numId="27">
    <w:abstractNumId w:val="24"/>
  </w:num>
  <w:num w:numId="28">
    <w:abstractNumId w:val="25"/>
  </w:num>
  <w:num w:numId="29">
    <w:abstractNumId w:val="92"/>
  </w:num>
  <w:num w:numId="30">
    <w:abstractNumId w:val="116"/>
  </w:num>
  <w:num w:numId="31">
    <w:abstractNumId w:val="123"/>
  </w:num>
  <w:num w:numId="32">
    <w:abstractNumId w:val="100"/>
  </w:num>
  <w:num w:numId="33">
    <w:abstractNumId w:val="119"/>
  </w:num>
  <w:num w:numId="34">
    <w:abstractNumId w:val="108"/>
  </w:num>
  <w:num w:numId="35">
    <w:abstractNumId w:val="109"/>
  </w:num>
  <w:num w:numId="36">
    <w:abstractNumId w:val="90"/>
  </w:num>
  <w:num w:numId="37">
    <w:abstractNumId w:val="87"/>
  </w:num>
  <w:num w:numId="38">
    <w:abstractNumId w:val="107"/>
  </w:num>
  <w:num w:numId="39">
    <w:abstractNumId w:val="96"/>
  </w:num>
  <w:num w:numId="40">
    <w:abstractNumId w:val="115"/>
  </w:num>
  <w:num w:numId="41">
    <w:abstractNumId w:val="85"/>
  </w:num>
  <w:num w:numId="42">
    <w:abstractNumId w:val="99"/>
  </w:num>
  <w:num w:numId="43">
    <w:abstractNumId w:val="83"/>
  </w:num>
  <w:num w:numId="44">
    <w:abstractNumId w:val="118"/>
  </w:num>
  <w:num w:numId="45">
    <w:abstractNumId w:val="101"/>
  </w:num>
  <w:num w:numId="46">
    <w:abstractNumId w:val="105"/>
  </w:num>
  <w:num w:numId="47">
    <w:abstractNumId w:val="26"/>
  </w:num>
  <w:num w:numId="48">
    <w:abstractNumId w:val="27"/>
  </w:num>
  <w:num w:numId="49">
    <w:abstractNumId w:val="28"/>
  </w:num>
  <w:num w:numId="50">
    <w:abstractNumId w:val="29"/>
  </w:num>
  <w:num w:numId="51">
    <w:abstractNumId w:val="30"/>
  </w:num>
  <w:num w:numId="52">
    <w:abstractNumId w:val="31"/>
  </w:num>
  <w:num w:numId="53">
    <w:abstractNumId w:val="32"/>
  </w:num>
  <w:num w:numId="54">
    <w:abstractNumId w:val="33"/>
  </w:num>
  <w:num w:numId="55">
    <w:abstractNumId w:val="34"/>
  </w:num>
  <w:num w:numId="56">
    <w:abstractNumId w:val="89"/>
  </w:num>
  <w:num w:numId="57">
    <w:abstractNumId w:val="93"/>
  </w:num>
  <w:num w:numId="58">
    <w:abstractNumId w:val="104"/>
  </w:num>
  <w:num w:numId="59">
    <w:abstractNumId w:val="95"/>
  </w:num>
  <w:num w:numId="60">
    <w:abstractNumId w:val="102"/>
  </w:num>
  <w:num w:numId="61">
    <w:abstractNumId w:val="113"/>
  </w:num>
  <w:num w:numId="62">
    <w:abstractNumId w:val="106"/>
  </w:num>
  <w:num w:numId="63">
    <w:abstractNumId w:val="122"/>
  </w:num>
  <w:num w:numId="64">
    <w:abstractNumId w:val="117"/>
  </w:num>
  <w:num w:numId="65">
    <w:abstractNumId w:val="111"/>
  </w:num>
  <w:num w:numId="66">
    <w:abstractNumId w:val="35"/>
  </w:num>
  <w:num w:numId="67">
    <w:abstractNumId w:val="36"/>
  </w:num>
  <w:num w:numId="68">
    <w:abstractNumId w:val="37"/>
  </w:num>
  <w:num w:numId="69">
    <w:abstractNumId w:val="38"/>
  </w:num>
  <w:num w:numId="70">
    <w:abstractNumId w:val="39"/>
  </w:num>
  <w:num w:numId="71">
    <w:abstractNumId w:val="40"/>
  </w:num>
  <w:num w:numId="72">
    <w:abstractNumId w:val="41"/>
  </w:num>
  <w:num w:numId="73">
    <w:abstractNumId w:val="42"/>
  </w:num>
  <w:num w:numId="74">
    <w:abstractNumId w:val="43"/>
  </w:num>
  <w:num w:numId="75">
    <w:abstractNumId w:val="44"/>
  </w:num>
  <w:num w:numId="76">
    <w:abstractNumId w:val="45"/>
  </w:num>
  <w:num w:numId="77">
    <w:abstractNumId w:val="46"/>
  </w:num>
  <w:num w:numId="78">
    <w:abstractNumId w:val="47"/>
  </w:num>
  <w:num w:numId="79">
    <w:abstractNumId w:val="48"/>
  </w:num>
  <w:num w:numId="80">
    <w:abstractNumId w:val="49"/>
  </w:num>
  <w:num w:numId="81">
    <w:abstractNumId w:val="50"/>
  </w:num>
  <w:num w:numId="82">
    <w:abstractNumId w:val="51"/>
  </w:num>
  <w:num w:numId="83">
    <w:abstractNumId w:val="52"/>
  </w:num>
  <w:num w:numId="84">
    <w:abstractNumId w:val="53"/>
  </w:num>
  <w:num w:numId="85">
    <w:abstractNumId w:val="54"/>
  </w:num>
  <w:num w:numId="86">
    <w:abstractNumId w:val="55"/>
  </w:num>
  <w:num w:numId="87">
    <w:abstractNumId w:val="56"/>
  </w:num>
  <w:num w:numId="88">
    <w:abstractNumId w:val="57"/>
  </w:num>
  <w:num w:numId="89">
    <w:abstractNumId w:val="58"/>
  </w:num>
  <w:num w:numId="90">
    <w:abstractNumId w:val="59"/>
  </w:num>
  <w:num w:numId="91">
    <w:abstractNumId w:val="60"/>
  </w:num>
  <w:num w:numId="92">
    <w:abstractNumId w:val="61"/>
  </w:num>
  <w:num w:numId="93">
    <w:abstractNumId w:val="62"/>
  </w:num>
  <w:num w:numId="94">
    <w:abstractNumId w:val="63"/>
  </w:num>
  <w:num w:numId="95">
    <w:abstractNumId w:val="64"/>
  </w:num>
  <w:num w:numId="96">
    <w:abstractNumId w:val="65"/>
  </w:num>
  <w:num w:numId="97">
    <w:abstractNumId w:val="66"/>
  </w:num>
  <w:num w:numId="98">
    <w:abstractNumId w:val="67"/>
  </w:num>
  <w:num w:numId="99">
    <w:abstractNumId w:val="68"/>
  </w:num>
  <w:num w:numId="100">
    <w:abstractNumId w:val="69"/>
  </w:num>
  <w:num w:numId="101">
    <w:abstractNumId w:val="70"/>
  </w:num>
  <w:num w:numId="102">
    <w:abstractNumId w:val="71"/>
  </w:num>
  <w:num w:numId="103">
    <w:abstractNumId w:val="72"/>
  </w:num>
  <w:num w:numId="104">
    <w:abstractNumId w:val="73"/>
  </w:num>
  <w:num w:numId="105">
    <w:abstractNumId w:val="74"/>
  </w:num>
  <w:num w:numId="106">
    <w:abstractNumId w:val="75"/>
  </w:num>
  <w:num w:numId="107">
    <w:abstractNumId w:val="76"/>
  </w:num>
  <w:num w:numId="108">
    <w:abstractNumId w:val="77"/>
  </w:num>
  <w:num w:numId="109">
    <w:abstractNumId w:val="78"/>
  </w:num>
  <w:num w:numId="110">
    <w:abstractNumId w:val="79"/>
  </w:num>
  <w:num w:numId="111">
    <w:abstractNumId w:val="80"/>
  </w:num>
  <w:num w:numId="112">
    <w:abstractNumId w:val="81"/>
  </w:num>
  <w:num w:numId="113">
    <w:abstractNumId w:val="82"/>
  </w:num>
  <w:num w:numId="114">
    <w:abstractNumId w:val="97"/>
  </w:num>
  <w:num w:numId="115">
    <w:abstractNumId w:val="121"/>
  </w:num>
  <w:num w:numId="116">
    <w:abstractNumId w:val="112"/>
  </w:num>
  <w:num w:numId="117">
    <w:abstractNumId w:val="120"/>
  </w:num>
  <w:num w:numId="118">
    <w:abstractNumId w:val="103"/>
  </w:num>
  <w:num w:numId="119">
    <w:abstractNumId w:val="124"/>
  </w:num>
  <w:num w:numId="120">
    <w:abstractNumId w:val="110"/>
  </w:num>
  <w:num w:numId="121">
    <w:abstractNumId w:val="114"/>
  </w:num>
  <w:num w:numId="122">
    <w:abstractNumId w:val="86"/>
  </w:num>
  <w:num w:numId="123">
    <w:abstractNumId w:val="84"/>
  </w:num>
  <w:num w:numId="124">
    <w:abstractNumId w:val="88"/>
  </w:num>
  <w:num w:numId="125">
    <w:abstractNumId w:val="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H1-JCRC-B0Y6-00000-00&amp;context=" TargetMode="External" /><Relationship Id="rId100" Type="http://schemas.openxmlformats.org/officeDocument/2006/relationships/header" Target="header24.xml" /><Relationship Id="rId101" Type="http://schemas.openxmlformats.org/officeDocument/2006/relationships/footer" Target="footer24.xml" /><Relationship Id="rId102" Type="http://schemas.openxmlformats.org/officeDocument/2006/relationships/hyperlink" Target="https://advance.lexis.com/api/document?collection=cases-ca&amp;id=urn:contentItem:5HNF-8S81-JB7K-21HS-00000-00&amp;context=" TargetMode="External" /><Relationship Id="rId103" Type="http://schemas.openxmlformats.org/officeDocument/2006/relationships/hyperlink" Target="https://advance.lexis.com/api/document?collection=legislation-ca&amp;id=urn:contentItem:5W2C-X5N1-DYFH-X0KW-00000-00&amp;context=" TargetMode="External" /><Relationship Id="rId104" Type="http://schemas.openxmlformats.org/officeDocument/2006/relationships/hyperlink" Target="https://advance.lexis.com/api/document?collection=cases-ca&amp;id=urn:contentItem:5F7T-S7N1-JW09-M179-00000-00&amp;context=" TargetMode="External" /><Relationship Id="rId105" Type="http://schemas.openxmlformats.org/officeDocument/2006/relationships/hyperlink" Target="https://advance.lexis.com/api/document?collection=cases-ca&amp;id=urn:contentItem:5GCC-XVB1-JSXV-G0F2-00000-00&amp;context=" TargetMode="External" /><Relationship Id="rId106" Type="http://schemas.openxmlformats.org/officeDocument/2006/relationships/hyperlink" Target="https://advance.lexis.com/api/document?collection=cases-ca&amp;id=urn:contentItem:5F81-VJY1-JPGX-S51S-00000-00&amp;context=" TargetMode="External" /><Relationship Id="rId107" Type="http://schemas.openxmlformats.org/officeDocument/2006/relationships/hyperlink" Target="https://advance.lexis.com/api/document?collection=cases-ca&amp;id=urn:contentItem:5F7T-S7C1-F7ND-G03D-00000-00&amp;context=" TargetMode="External" /><Relationship Id="rId108" Type="http://schemas.openxmlformats.org/officeDocument/2006/relationships/hyperlink" Target="https://advance.lexis.com/api/document?collection=cases-ca&amp;id=urn:contentItem:5F7T-S7F1-FFFC-B1RM-00000-00&amp;context=" TargetMode="External" /><Relationship Id="rId109" Type="http://schemas.openxmlformats.org/officeDocument/2006/relationships/hyperlink" Target="https://advance.lexis.com/api/document?collection=cases-ca&amp;id=urn:contentItem:5F8T-N3V1-JF75-M3FN-00000-00&amp;context=" TargetMode="External" /><Relationship Id="rId11" Type="http://schemas.openxmlformats.org/officeDocument/2006/relationships/hyperlink" Target="https://advance.lexis.com/api/document?collection=legislation-ca&amp;id=urn:contentItem:5F41-1FH1-F361-M0HG-00000-00&amp;context=" TargetMode="External" /><Relationship Id="rId110" Type="http://schemas.openxmlformats.org/officeDocument/2006/relationships/hyperlink" Target="https://advance.lexis.com/api/document?collection=cases-ca&amp;id=urn:contentItem:5F7T-S701-JJYN-B2WC-00000-00&amp;context=" TargetMode="External" /><Relationship Id="rId111" Type="http://schemas.openxmlformats.org/officeDocument/2006/relationships/hyperlink" Target="https://advance.lexis.com/api/document?collection=cases-ca&amp;id=urn:contentItem:5F7T-S7F1-JFKM-61JV-00000-00&amp;context=" TargetMode="External" /><Relationship Id="rId112" Type="http://schemas.openxmlformats.org/officeDocument/2006/relationships/hyperlink" Target="https://advance.lexis.com/api/document?collection=cases-ca&amp;id=urn:contentItem:5GC3-0RW1-F60C-X2WD-00000-00&amp;context=" TargetMode="External" /><Relationship Id="rId113" Type="http://schemas.openxmlformats.org/officeDocument/2006/relationships/header" Target="header25.xml" /><Relationship Id="rId114" Type="http://schemas.openxmlformats.org/officeDocument/2006/relationships/header" Target="header26.xml" /><Relationship Id="rId115" Type="http://schemas.openxmlformats.org/officeDocument/2006/relationships/footer" Target="footer25.xml" /><Relationship Id="rId116" Type="http://schemas.openxmlformats.org/officeDocument/2006/relationships/footer" Target="footer26.xml" /><Relationship Id="rId117" Type="http://schemas.openxmlformats.org/officeDocument/2006/relationships/header" Target="header27.xml" /><Relationship Id="rId118" Type="http://schemas.openxmlformats.org/officeDocument/2006/relationships/footer" Target="footer27.xml" /><Relationship Id="rId119" Type="http://schemas.openxmlformats.org/officeDocument/2006/relationships/hyperlink" Target="https://advance.lexis.com/api/document?collection=cases-ca&amp;id=urn:contentItem:5F7T-S7G1-JWR6-S1T4-00000-00&amp;context=" TargetMode="External" /><Relationship Id="rId12" Type="http://schemas.openxmlformats.org/officeDocument/2006/relationships/hyperlink" Target="https://advance.lexis.com/api/document?collection=cases-ca&amp;id=urn:contentItem:5F7T-S701-FJDY-X2D0-00000-00&amp;context=" TargetMode="External" /><Relationship Id="rId120" Type="http://schemas.openxmlformats.org/officeDocument/2006/relationships/hyperlink" Target="https://advance.lexis.com/api/document?collection=legislation-ca&amp;id=urn:contentItem:5F41-1FJ1-JBDT-B069-00000-00&amp;context=" TargetMode="External" /><Relationship Id="rId121" Type="http://schemas.openxmlformats.org/officeDocument/2006/relationships/hyperlink" Target="https://advance.lexis.com/api/document?collection=legislation-ca&amp;id=urn:contentItem:5F41-1FJ1-JKPJ-G0P7-00000-00&amp;context=" TargetMode="External" /><Relationship Id="rId122" Type="http://schemas.openxmlformats.org/officeDocument/2006/relationships/hyperlink" Target="https://advance.lexis.com/api/document?collection=cases-ca&amp;id=urn:contentItem:5F8T-N3V1-JTGH-B18F-00000-00&amp;context=" TargetMode="External" /><Relationship Id="rId123" Type="http://schemas.openxmlformats.org/officeDocument/2006/relationships/hyperlink" Target="https://advance.lexis.com/api/document?collection=cases-ca&amp;id=urn:contentItem:5F7T-S6Y1-FJDY-X1R0-00000-00&amp;context=" TargetMode="External" /><Relationship Id="rId124" Type="http://schemas.openxmlformats.org/officeDocument/2006/relationships/hyperlink" Target="https://advance.lexis.com/api/document?collection=cases-ca&amp;id=urn:contentItem:5F7T-S751-JG02-S2CG-00000-00&amp;context=" TargetMode="External" /><Relationship Id="rId125" Type="http://schemas.openxmlformats.org/officeDocument/2006/relationships/hyperlink" Target="https://advance.lexis.com/api/document?collection=cases-ca&amp;id=urn:contentItem:5F7T-S6X1-JXNB-62PS-00000-00&amp;context=" TargetMode="External" /><Relationship Id="rId126" Type="http://schemas.openxmlformats.org/officeDocument/2006/relationships/hyperlink" Target="https://advance.lexis.com/api/document?collection=cases-ca&amp;id=urn:contentItem:5F7T-S6T1-F2F4-G1FF-00000-00&amp;context=" TargetMode="External" /><Relationship Id="rId127" Type="http://schemas.openxmlformats.org/officeDocument/2006/relationships/hyperlink" Target="https://advance.lexis.com/api/document?collection=cases-ca&amp;id=urn:contentItem:5F7T-S6Y1-JSC5-M325-00000-00&amp;context=" TargetMode="External" /><Relationship Id="rId128" Type="http://schemas.openxmlformats.org/officeDocument/2006/relationships/hyperlink" Target="https://advance.lexis.com/api/document?collection=cases-ca&amp;id=urn:contentItem:5F7T-S781-F7G6-63ST-00000-00&amp;context=" TargetMode="External" /><Relationship Id="rId129" Type="http://schemas.openxmlformats.org/officeDocument/2006/relationships/hyperlink" Target="https://advance.lexis.com/api/document?collection=cases-ca&amp;id=urn:contentItem:5F7T-S701-FJDY-X2B7-00000-00&amp;context=" TargetMode="External" /><Relationship Id="rId13" Type="http://schemas.openxmlformats.org/officeDocument/2006/relationships/hyperlink" Target="https://advance.lexis.com/api/document?collection=cases-ca&amp;id=urn:contentItem:5F8T-N3R1-JJSF-22WM-00000-00&amp;context=" TargetMode="External" /><Relationship Id="rId130" Type="http://schemas.openxmlformats.org/officeDocument/2006/relationships/hyperlink" Target="https://advance.lexis.com/api/document?collection=cases-ca&amp;id=urn:contentItem:5F7T-S7C1-F4NT-X3TV-00000-00&amp;context=" TargetMode="External" /><Relationship Id="rId131" Type="http://schemas.openxmlformats.org/officeDocument/2006/relationships/hyperlink" Target="https://advance.lexis.com/api/document?collection=cases-ca&amp;id=urn:contentItem:5F7T-S751-JBM1-M29M-00000-00&amp;context=" TargetMode="External" /><Relationship Id="rId132" Type="http://schemas.openxmlformats.org/officeDocument/2006/relationships/hyperlink" Target="https://advance.lexis.com/api/document?collection=cases-ca&amp;id=urn:contentItem:5F7T-S7G1-FCYK-20FM-00000-00&amp;context=" TargetMode="External" /><Relationship Id="rId133" Type="http://schemas.openxmlformats.org/officeDocument/2006/relationships/header" Target="header28.xml" /><Relationship Id="rId134" Type="http://schemas.openxmlformats.org/officeDocument/2006/relationships/header" Target="header29.xml" /><Relationship Id="rId135" Type="http://schemas.openxmlformats.org/officeDocument/2006/relationships/footer" Target="footer28.xml" /><Relationship Id="rId136" Type="http://schemas.openxmlformats.org/officeDocument/2006/relationships/footer" Target="footer29.xml" /><Relationship Id="rId137" Type="http://schemas.openxmlformats.org/officeDocument/2006/relationships/header" Target="header30.xml" /><Relationship Id="rId138" Type="http://schemas.openxmlformats.org/officeDocument/2006/relationships/footer" Target="footer30.xml" /><Relationship Id="rId139" Type="http://schemas.openxmlformats.org/officeDocument/2006/relationships/hyperlink" Target="https://advance.lexis.com/api/document?collection=cases-ca&amp;id=urn:contentItem:5F7T-S771-JJD0-G1HJ-00000-00&amp;context=" TargetMode="External" /><Relationship Id="rId14" Type="http://schemas.openxmlformats.org/officeDocument/2006/relationships/hyperlink" Target="https://advance.lexis.com/api/document?collection=cases-ca&amp;id=urn:contentItem:5F7T-S6T1-F361-M098-00000-00&amp;context=" TargetMode="External" /><Relationship Id="rId140" Type="http://schemas.openxmlformats.org/officeDocument/2006/relationships/hyperlink" Target="https://advance.lexis.com/api/document?collection=cases-ca&amp;id=urn:contentItem:5F7T-S6Y1-JPP5-2188-00000-00&amp;context=" TargetMode="External" /><Relationship Id="rId141" Type="http://schemas.openxmlformats.org/officeDocument/2006/relationships/hyperlink" Target="https://advance.lexis.com/api/document?collection=cases-ca&amp;id=urn:contentItem:5F16-9331-FC1F-M00T-00000-00&amp;context=" TargetMode="External" /><Relationship Id="rId142" Type="http://schemas.openxmlformats.org/officeDocument/2006/relationships/hyperlink" Target="https://advance.lexis.com/api/document?collection=cases-ca&amp;id=urn:contentItem:5F7T-S6X1-FCCX-60XY-00000-00&amp;context=" TargetMode="External" /><Relationship Id="rId143" Type="http://schemas.openxmlformats.org/officeDocument/2006/relationships/hyperlink" Target="https://advance.lexis.com/api/document?collection=cases-ca&amp;id=urn:contentItem:5F16-93B1-F4GK-M3X6-00000-00&amp;context=" TargetMode="External" /><Relationship Id="rId144" Type="http://schemas.openxmlformats.org/officeDocument/2006/relationships/hyperlink" Target="https://advance.lexis.com/api/document?collection=cases-ca&amp;id=urn:contentItem:5F8T-N3T1-JFKM-655K-00000-00&amp;context=" TargetMode="External" /><Relationship Id="rId145" Type="http://schemas.openxmlformats.org/officeDocument/2006/relationships/header" Target="header31.xml" /><Relationship Id="rId146" Type="http://schemas.openxmlformats.org/officeDocument/2006/relationships/header" Target="header32.xml" /><Relationship Id="rId147" Type="http://schemas.openxmlformats.org/officeDocument/2006/relationships/footer" Target="footer31.xml" /><Relationship Id="rId148" Type="http://schemas.openxmlformats.org/officeDocument/2006/relationships/footer" Target="footer32.xml" /><Relationship Id="rId149" Type="http://schemas.openxmlformats.org/officeDocument/2006/relationships/header" Target="header33.xml" /><Relationship Id="rId15" Type="http://schemas.openxmlformats.org/officeDocument/2006/relationships/hyperlink" Target="https://advance.lexis.com/api/document?collection=cases-ca&amp;id=urn:contentItem:5F7T-S7C1-JXG3-X02B-00000-00&amp;context=" TargetMode="External" /><Relationship Id="rId150" Type="http://schemas.openxmlformats.org/officeDocument/2006/relationships/footer" Target="footer33.xml" /><Relationship Id="rId151" Type="http://schemas.openxmlformats.org/officeDocument/2006/relationships/hyperlink" Target="https://advance.lexis.com/api/document?collection=cases-ca&amp;id=urn:contentItem:5F7T-S7F1-FFFC-B24V-00000-00&amp;context=" TargetMode="External" /><Relationship Id="rId152" Type="http://schemas.openxmlformats.org/officeDocument/2006/relationships/hyperlink" Target="https://advance.lexis.com/api/document?collection=cases-ca&amp;id=urn:contentItem:5F7T-S6R1-F06F-2247-00000-00&amp;context=" TargetMode="External" /><Relationship Id="rId153" Type="http://schemas.openxmlformats.org/officeDocument/2006/relationships/hyperlink" Target="https://advance.lexis.com/api/document?collection=cases-ca&amp;id=urn:contentItem:5F8N-K6V1-F4NT-X3S8-00000-00&amp;context=" TargetMode="External" /><Relationship Id="rId154" Type="http://schemas.openxmlformats.org/officeDocument/2006/relationships/hyperlink" Target="https://advance.lexis.com/api/document?collection=cases-ca&amp;id=urn:contentItem:5F7T-XPT1-F016-S07M-00000-00&amp;context=" TargetMode="External" /><Relationship Id="rId155" Type="http://schemas.openxmlformats.org/officeDocument/2006/relationships/hyperlink" Target="https://advance.lexis.com/api/document?collection=cases-ca&amp;id=urn:contentItem:5F7T-S6Y1-DY33-B0JS-00000-00&amp;context=" TargetMode="External" /><Relationship Id="rId156" Type="http://schemas.openxmlformats.org/officeDocument/2006/relationships/hyperlink" Target="https://advance.lexis.com/api/document?collection=cases-ca&amp;id=urn:contentItem:5F7T-S7G1-JBT7-X46F-00000-00&amp;context=" TargetMode="External" /><Relationship Id="rId157" Type="http://schemas.openxmlformats.org/officeDocument/2006/relationships/hyperlink" Target="https://advance.lexis.com/api/document?collection=cases-ca&amp;id=urn:contentItem:5F7T-S6X1-F1H1-20X4-00000-00&amp;context=" TargetMode="External" /><Relationship Id="rId158" Type="http://schemas.openxmlformats.org/officeDocument/2006/relationships/header" Target="header34.xml" /><Relationship Id="rId159" Type="http://schemas.openxmlformats.org/officeDocument/2006/relationships/header" Target="header35.xml" /><Relationship Id="rId16" Type="http://schemas.openxmlformats.org/officeDocument/2006/relationships/hyperlink" Target="https://advance.lexis.com/api/document?collection=cases-ca&amp;id=urn:contentItem:5F7T-S6X1-JTNR-M3T8-00000-00&amp;context=" TargetMode="External" /><Relationship Id="rId160" Type="http://schemas.openxmlformats.org/officeDocument/2006/relationships/footer" Target="footer34.xml" /><Relationship Id="rId161" Type="http://schemas.openxmlformats.org/officeDocument/2006/relationships/footer" Target="footer35.xml" /><Relationship Id="rId162" Type="http://schemas.openxmlformats.org/officeDocument/2006/relationships/header" Target="header36.xml" /><Relationship Id="rId163" Type="http://schemas.openxmlformats.org/officeDocument/2006/relationships/footer" Target="footer36.xml" /><Relationship Id="rId164" Type="http://schemas.openxmlformats.org/officeDocument/2006/relationships/hyperlink" Target="https://advance.lexis.com/api/document?collection=cases-ca&amp;id=urn:contentItem:5F7T-S7D1-JXG3-X172-00000-00&amp;context=" TargetMode="External" /><Relationship Id="rId165" Type="http://schemas.openxmlformats.org/officeDocument/2006/relationships/hyperlink" Target="https://advance.lexis.com/api/document?collection=cases-ca&amp;id=urn:contentItem:5K6Y-81M1-F65M-61GT-00000-00&amp;context=" TargetMode="External" /><Relationship Id="rId166" Type="http://schemas.openxmlformats.org/officeDocument/2006/relationships/hyperlink" Target="https://advance.lexis.com/api/document?collection=cases-ca&amp;id=urn:contentItem:5F7T-S6T1-K054-G0XT-00000-00&amp;context=" TargetMode="External" /><Relationship Id="rId167" Type="http://schemas.openxmlformats.org/officeDocument/2006/relationships/hyperlink" Target="https://advance.lexis.com/api/document?collection=cases-ca&amp;id=urn:contentItem:5F7T-S751-JCJ5-24NS-00000-00&amp;context=" TargetMode="External" /><Relationship Id="rId168" Type="http://schemas.openxmlformats.org/officeDocument/2006/relationships/hyperlink" Target="https://advance.lexis.com/api/document?collection=cases-ca&amp;id=urn:contentItem:5F7T-S721-F8D9-M0SG-00000-00&amp;context=" TargetMode="External" /><Relationship Id="rId169" Type="http://schemas.openxmlformats.org/officeDocument/2006/relationships/hyperlink" Target="https://advance.lexis.com/api/document?collection=cases-ca&amp;id=urn:contentItem:5F7T-S751-JNS1-M1VS-00000-00&amp;context=" TargetMode="External" /><Relationship Id="rId17" Type="http://schemas.openxmlformats.org/officeDocument/2006/relationships/hyperlink" Target="https://advance.lexis.com/api/document?collection=cases-ca&amp;id=urn:contentItem:5F7T-S751-JBM1-M2CY-00000-00&amp;context=" TargetMode="External" /><Relationship Id="rId170" Type="http://schemas.openxmlformats.org/officeDocument/2006/relationships/header" Target="header37.xml" /><Relationship Id="rId171" Type="http://schemas.openxmlformats.org/officeDocument/2006/relationships/header" Target="header38.xml" /><Relationship Id="rId172" Type="http://schemas.openxmlformats.org/officeDocument/2006/relationships/footer" Target="footer37.xml" /><Relationship Id="rId173" Type="http://schemas.openxmlformats.org/officeDocument/2006/relationships/footer" Target="footer38.xml" /><Relationship Id="rId174" Type="http://schemas.openxmlformats.org/officeDocument/2006/relationships/header" Target="header39.xml" /><Relationship Id="rId175" Type="http://schemas.openxmlformats.org/officeDocument/2006/relationships/footer" Target="footer39.xml" /><Relationship Id="rId176" Type="http://schemas.openxmlformats.org/officeDocument/2006/relationships/hyperlink" Target="https://advance.lexis.com/api/document?collection=cases-ca&amp;id=urn:contentItem:5F7T-S771-F81W-22P8-00000-00&amp;context=" TargetMode="External" /><Relationship Id="rId177" Type="http://schemas.openxmlformats.org/officeDocument/2006/relationships/hyperlink" Target="https://advance.lexis.com/api/document?collection=legislation-ca&amp;id=urn:contentItem:5NG1-RWN1-JTNR-M3MF-00000-00&amp;context=" TargetMode="External" /><Relationship Id="rId178" Type="http://schemas.openxmlformats.org/officeDocument/2006/relationships/hyperlink" Target="https://advance.lexis.com/api/document?collection=legislation-ca&amp;id=urn:contentItem:5W2C-X5G1-JJYN-B448-00000-00&amp;context=" TargetMode="External" /><Relationship Id="rId179" Type="http://schemas.openxmlformats.org/officeDocument/2006/relationships/hyperlink" Target="https://advance.lexis.com/api/document?collection=cases-ca&amp;id=urn:contentItem:5F7T-S771-JSJC-X08N-00000-00&amp;context=" TargetMode="External" /><Relationship Id="rId18" Type="http://schemas.openxmlformats.org/officeDocument/2006/relationships/header" Target="header4.xml" /><Relationship Id="rId180" Type="http://schemas.openxmlformats.org/officeDocument/2006/relationships/hyperlink" Target="https://advance.lexis.com/api/document?collection=cases-ca&amp;id=urn:contentItem:5F7T-S751-JG02-S29T-00000-00&amp;context=" TargetMode="External" /><Relationship Id="rId181" Type="http://schemas.openxmlformats.org/officeDocument/2006/relationships/hyperlink" Target="https://advance.lexis.com/api/document?collection=cases-ca&amp;id=urn:contentItem:5F8T-N3T1-JGHR-M278-00000-00&amp;context=" TargetMode="External" /><Relationship Id="rId182" Type="http://schemas.openxmlformats.org/officeDocument/2006/relationships/hyperlink" Target="https://advance.lexis.com/api/document?collection=cases-ca&amp;id=urn:contentItem:5F8T-N3R1-JBDT-B566-00000-00&amp;context=" TargetMode="External" /><Relationship Id="rId183" Type="http://schemas.openxmlformats.org/officeDocument/2006/relationships/hyperlink" Target="https://advance.lexis.com/api/document?collection=cases-ca&amp;id=urn:contentItem:5F7T-S711-F5KY-B14T-00000-00&amp;context=" TargetMode="External" /><Relationship Id="rId184" Type="http://schemas.openxmlformats.org/officeDocument/2006/relationships/hyperlink" Target="https://advance.lexis.com/api/document?collection=cases-ca&amp;id=urn:contentItem:5F8T-N3R1-JNS1-M18G-00000-00&amp;context=" TargetMode="External" /><Relationship Id="rId185" Type="http://schemas.openxmlformats.org/officeDocument/2006/relationships/hyperlink" Target="https://advance.lexis.com/api/document?collection=cases-ca&amp;id=urn:contentItem:5F7T-S741-F7VM-S34P-00000-00&amp;context=" TargetMode="External" /><Relationship Id="rId186" Type="http://schemas.openxmlformats.org/officeDocument/2006/relationships/hyperlink" Target="https://advance.lexis.com/api/document?collection=cases-ca&amp;id=urn:contentItem:5F8T-N3T1-JJSF-236M-00000-00&amp;context=" TargetMode="External" /><Relationship Id="rId187" Type="http://schemas.openxmlformats.org/officeDocument/2006/relationships/hyperlink" Target="https://advance.lexis.com/api/document?collection=cases-ca&amp;id=urn:contentItem:5F7T-S771-JSJC-X025-00000-00&amp;context=" TargetMode="External" /><Relationship Id="rId188" Type="http://schemas.openxmlformats.org/officeDocument/2006/relationships/header" Target="header40.xml" /><Relationship Id="rId189" Type="http://schemas.openxmlformats.org/officeDocument/2006/relationships/header" Target="header41.xml" /><Relationship Id="rId19" Type="http://schemas.openxmlformats.org/officeDocument/2006/relationships/header" Target="header5.xml" /><Relationship Id="rId190" Type="http://schemas.openxmlformats.org/officeDocument/2006/relationships/footer" Target="footer40.xml" /><Relationship Id="rId191" Type="http://schemas.openxmlformats.org/officeDocument/2006/relationships/footer" Target="footer41.xml" /><Relationship Id="rId192" Type="http://schemas.openxmlformats.org/officeDocument/2006/relationships/header" Target="header42.xml" /><Relationship Id="rId193" Type="http://schemas.openxmlformats.org/officeDocument/2006/relationships/footer" Target="footer42.xml" /><Relationship Id="rId194" Type="http://schemas.openxmlformats.org/officeDocument/2006/relationships/hyperlink" Target="https://advance.lexis.com/api/document?collection=cases-ca&amp;id=urn:contentItem:5F7T-S771-JTGH-B1HR-00000-00&amp;context=" TargetMode="External" /><Relationship Id="rId195" Type="http://schemas.openxmlformats.org/officeDocument/2006/relationships/header" Target="header43.xml" /><Relationship Id="rId196" Type="http://schemas.openxmlformats.org/officeDocument/2006/relationships/header" Target="header44.xml" /><Relationship Id="rId197" Type="http://schemas.openxmlformats.org/officeDocument/2006/relationships/footer" Target="footer43.xml" /><Relationship Id="rId198" Type="http://schemas.openxmlformats.org/officeDocument/2006/relationships/footer" Target="footer44.xml" /><Relationship Id="rId199" Type="http://schemas.openxmlformats.org/officeDocument/2006/relationships/header" Target="header45.xml" /><Relationship Id="rId2" Type="http://schemas.openxmlformats.org/officeDocument/2006/relationships/webSettings" Target="webSettings.xml" /><Relationship Id="rId20" Type="http://schemas.openxmlformats.org/officeDocument/2006/relationships/footer" Target="footer4.xml" /><Relationship Id="rId200" Type="http://schemas.openxmlformats.org/officeDocument/2006/relationships/footer" Target="footer45.xml" /><Relationship Id="rId201" Type="http://schemas.openxmlformats.org/officeDocument/2006/relationships/hyperlink" Target="https://advance.lexis.com/api/document?collection=cases-ca&amp;id=urn:contentItem:5F7T-S7G1-JWR6-S21H-00000-00&amp;context=" TargetMode="External" /><Relationship Id="rId202" Type="http://schemas.openxmlformats.org/officeDocument/2006/relationships/hyperlink" Target="https://advance.lexis.com/api/document?collection=legislation-ca&amp;id=urn:contentItem:5F41-1FH1-F361-M0HN-00000-00&amp;context=" TargetMode="External" /><Relationship Id="rId203" Type="http://schemas.openxmlformats.org/officeDocument/2006/relationships/hyperlink" Target="https://advance.lexis.com/api/document?collection=cases-ca&amp;id=urn:contentItem:5F7T-S7G1-JBT7-X40C-00000-00&amp;context=" TargetMode="External" /><Relationship Id="rId204" Type="http://schemas.openxmlformats.org/officeDocument/2006/relationships/hyperlink" Target="https://advance.lexis.com/api/document?collection=cases-ca&amp;id=urn:contentItem:5F7T-S781-JC5P-G1W4-00000-00&amp;context=" TargetMode="External" /><Relationship Id="rId205" Type="http://schemas.openxmlformats.org/officeDocument/2006/relationships/hyperlink" Target="https://advance.lexis.com/api/document?collection=cases-ca&amp;id=urn:contentItem:5F7T-S7C1-FCSB-S2KC-00000-00&amp;context=" TargetMode="External" /><Relationship Id="rId206" Type="http://schemas.openxmlformats.org/officeDocument/2006/relationships/hyperlink" Target="https://advance.lexis.com/api/document?collection=cases-ca&amp;id=urn:contentItem:5F7T-S7F1-F7VM-S3YS-00000-00&amp;context=" TargetMode="External" /><Relationship Id="rId207" Type="http://schemas.openxmlformats.org/officeDocument/2006/relationships/hyperlink" Target="https://advance.lexis.com/api/document?collection=cases-ca&amp;id=urn:contentItem:5F7T-S721-F4NT-X2G1-00000-00&amp;context=" TargetMode="External" /><Relationship Id="rId208" Type="http://schemas.openxmlformats.org/officeDocument/2006/relationships/hyperlink" Target="https://advance.lexis.com/api/document?collection=cases-ca&amp;id=urn:contentItem:5F7T-S7G1-JWR6-S1MK-00000-00&amp;context=" TargetMode="External" /><Relationship Id="rId209" Type="http://schemas.openxmlformats.org/officeDocument/2006/relationships/hyperlink" Target="https://advance.lexis.com/api/document?collection=cases-ca&amp;id=urn:contentItem:5F81-YH41-JX8W-M05P-00000-00&amp;context=" TargetMode="External" /><Relationship Id="rId21" Type="http://schemas.openxmlformats.org/officeDocument/2006/relationships/footer" Target="footer5.xml" /><Relationship Id="rId210" Type="http://schemas.openxmlformats.org/officeDocument/2006/relationships/hyperlink" Target="https://advance.lexis.com/api/document?collection=cases-ca&amp;id=urn:contentItem:5F7T-S7G1-JBT7-X3JN-00000-00&amp;context=" TargetMode="External" /><Relationship Id="rId211" Type="http://schemas.openxmlformats.org/officeDocument/2006/relationships/hyperlink" Target="https://advance.lexis.com/api/document?collection=cases-ca&amp;id=urn:contentItem:5F81-WC31-F5KY-B4SM-00000-00&amp;context=" TargetMode="External" /><Relationship Id="rId212" Type="http://schemas.openxmlformats.org/officeDocument/2006/relationships/hyperlink" Target="https://advance.lexis.com/api/document?collection=cases-ca&amp;id=urn:contentItem:5F7T-S7D1-FFFC-B1JH-00000-00&amp;context=" TargetMode="External" /><Relationship Id="rId213" Type="http://schemas.openxmlformats.org/officeDocument/2006/relationships/hyperlink" Target="https://advance.lexis.com/api/document?collection=cases-ca&amp;id=urn:contentItem:5F7T-S7F1-DXWW-24CX-00000-00&amp;context=" TargetMode="External" /><Relationship Id="rId214" Type="http://schemas.openxmlformats.org/officeDocument/2006/relationships/hyperlink" Target="https://advance.lexis.com/api/document?collection=cases-ca&amp;id=urn:contentItem:5F7T-S7D1-F7ND-G0NM-00000-00&amp;context=" TargetMode="External" /><Relationship Id="rId215" Type="http://schemas.openxmlformats.org/officeDocument/2006/relationships/hyperlink" Target="https://advance.lexis.com/api/document?collection=cases-ca&amp;id=urn:contentItem:5F7T-S771-JSJC-X0FG-00000-00&amp;context=" TargetMode="External" /><Relationship Id="rId216" Type="http://schemas.openxmlformats.org/officeDocument/2006/relationships/hyperlink" Target="https://advance.lexis.com/api/document?collection=cases-ca&amp;id=urn:contentItem:5F7T-S731-JC0G-63DC-00000-00&amp;context=" TargetMode="External" /><Relationship Id="rId217" Type="http://schemas.openxmlformats.org/officeDocument/2006/relationships/header" Target="header46.xml" /><Relationship Id="rId218" Type="http://schemas.openxmlformats.org/officeDocument/2006/relationships/header" Target="header47.xml" /><Relationship Id="rId219" Type="http://schemas.openxmlformats.org/officeDocument/2006/relationships/footer" Target="footer46.xml" /><Relationship Id="rId22" Type="http://schemas.openxmlformats.org/officeDocument/2006/relationships/header" Target="header6.xml" /><Relationship Id="rId220" Type="http://schemas.openxmlformats.org/officeDocument/2006/relationships/footer" Target="footer47.xml" /><Relationship Id="rId221" Type="http://schemas.openxmlformats.org/officeDocument/2006/relationships/header" Target="header48.xml" /><Relationship Id="rId222" Type="http://schemas.openxmlformats.org/officeDocument/2006/relationships/footer" Target="footer48.xml" /><Relationship Id="rId223" Type="http://schemas.openxmlformats.org/officeDocument/2006/relationships/hyperlink" Target="https://advance.lexis.com/api/document?collection=cases-ca&amp;id=urn:contentItem:5F7T-S781-DYMS-6199-00000-00&amp;context=" TargetMode="External" /><Relationship Id="rId224" Type="http://schemas.openxmlformats.org/officeDocument/2006/relationships/hyperlink" Target="https://advance.lexis.com/api/document?collection=cases-ca&amp;id=urn:contentItem:5F7T-S6W1-JYYX-61WY-00000-00&amp;context=" TargetMode="External" /><Relationship Id="rId225" Type="http://schemas.openxmlformats.org/officeDocument/2006/relationships/hyperlink" Target="https://advance.lexis.com/api/document?collection=cases-ca&amp;id=urn:contentItem:5F7T-S721-JSC5-M3M6-00000-00&amp;context=" TargetMode="External" /><Relationship Id="rId226" Type="http://schemas.openxmlformats.org/officeDocument/2006/relationships/hyperlink" Target="https://advance.lexis.com/api/document?collection=cases-ca&amp;id=urn:contentItem:5F7T-S731-JC0G-63R8-00000-00&amp;context=" TargetMode="External" /><Relationship Id="rId227" Type="http://schemas.openxmlformats.org/officeDocument/2006/relationships/hyperlink" Target="https://advance.lexis.com/api/document?collection=cases-ca&amp;id=urn:contentItem:5F7T-S6Y1-DY33-B0HJ-00000-00&amp;context=" TargetMode="External" /><Relationship Id="rId228" Type="http://schemas.openxmlformats.org/officeDocument/2006/relationships/hyperlink" Target="https://advance.lexis.com/api/document?collection=cases-ca&amp;id=urn:contentItem:5F7T-S751-JNS1-M1V2-00000-00&amp;context=" TargetMode="External" /><Relationship Id="rId229" Type="http://schemas.openxmlformats.org/officeDocument/2006/relationships/hyperlink" Target="https://advance.lexis.com/api/document?collection=cases-ca&amp;id=urn:contentItem:5F7T-S711-FJDY-X2X5-00000-00&amp;context=" TargetMode="External" /><Relationship Id="rId23" Type="http://schemas.openxmlformats.org/officeDocument/2006/relationships/footer" Target="footer6.xml" /><Relationship Id="rId230" Type="http://schemas.openxmlformats.org/officeDocument/2006/relationships/hyperlink" Target="https://advance.lexis.com/api/document?collection=cases-ca&amp;id=urn:contentItem:5F7T-S731-F016-S3FP-00000-00&amp;context=" TargetMode="External" /><Relationship Id="rId231" Type="http://schemas.openxmlformats.org/officeDocument/2006/relationships/hyperlink" Target="https://advance.lexis.com/api/document?collection=cases-ca&amp;id=urn:contentItem:5F7T-S6X1-F7G6-62DX-00000-00&amp;context=" TargetMode="External" /><Relationship Id="rId232" Type="http://schemas.openxmlformats.org/officeDocument/2006/relationships/hyperlink" Target="https://advance.lexis.com/api/document?collection=cases-ca&amp;id=urn:contentItem:5F16-92X1-F7ND-G0MP-00000-00&amp;context=" TargetMode="External" /><Relationship Id="rId233" Type="http://schemas.openxmlformats.org/officeDocument/2006/relationships/hyperlink" Target="https://advance.lexis.com/api/document?collection=cases-ca&amp;id=urn:contentItem:5F7T-S731-JC0G-63J5-00000-00&amp;context=" TargetMode="External" /><Relationship Id="rId234" Type="http://schemas.openxmlformats.org/officeDocument/2006/relationships/hyperlink" Target="https://advance.lexis.com/api/document?collection=cases-ca&amp;id=urn:contentItem:5F8P-SCH1-F528-G0P8-00000-00&amp;context=" TargetMode="External" /><Relationship Id="rId235" Type="http://schemas.openxmlformats.org/officeDocument/2006/relationships/hyperlink" Target="https://advance.lexis.com/api/document?collection=cases-ca&amp;id=urn:contentItem:5F7T-S6Y1-JSC5-M2KH-00000-00&amp;context=" TargetMode="External" /><Relationship Id="rId236" Type="http://schemas.openxmlformats.org/officeDocument/2006/relationships/hyperlink" Target="https://advance.lexis.com/api/document?collection=cases-ca&amp;id=urn:contentItem:5F7T-S6X1-FJDY-X10J-00000-00&amp;context=" TargetMode="External" /><Relationship Id="rId237" Type="http://schemas.openxmlformats.org/officeDocument/2006/relationships/hyperlink" Target="https://advance.lexis.com/api/document?collection=cases-ca&amp;id=urn:contentItem:5F7T-S731-JNJT-B1W0-00000-00&amp;context=" TargetMode="External" /><Relationship Id="rId238" Type="http://schemas.openxmlformats.org/officeDocument/2006/relationships/header" Target="header49.xml" /><Relationship Id="rId239" Type="http://schemas.openxmlformats.org/officeDocument/2006/relationships/header" Target="header50.xml" /><Relationship Id="rId24" Type="http://schemas.openxmlformats.org/officeDocument/2006/relationships/hyperlink" Target="https://advance.lexis.com/api/document?collection=cases-ca&amp;id=urn:contentItem:5RGJ-GJ41-JW5H-X3DH-00000-00&amp;context=" TargetMode="External" /><Relationship Id="rId240" Type="http://schemas.openxmlformats.org/officeDocument/2006/relationships/footer" Target="footer49.xml" /><Relationship Id="rId241" Type="http://schemas.openxmlformats.org/officeDocument/2006/relationships/footer" Target="footer50.xml" /><Relationship Id="rId242" Type="http://schemas.openxmlformats.org/officeDocument/2006/relationships/header" Target="header51.xml" /><Relationship Id="rId243" Type="http://schemas.openxmlformats.org/officeDocument/2006/relationships/footer" Target="footer51.xml" /><Relationship Id="rId244" Type="http://schemas.openxmlformats.org/officeDocument/2006/relationships/hyperlink" Target="https://advance.lexis.com/api/document?collection=cases-ca&amp;id=urn:contentItem:5KMV-YFM1-FJDY-X3RJ-00000-00&amp;context=" TargetMode="External" /><Relationship Id="rId245" Type="http://schemas.openxmlformats.org/officeDocument/2006/relationships/hyperlink" Target="https://advance.lexis.com/api/document?collection=legislation-ca&amp;id=urn:contentItem:5F41-1FH1-F361-M0F4-00000-00&amp;context=" TargetMode="External" /><Relationship Id="rId246" Type="http://schemas.openxmlformats.org/officeDocument/2006/relationships/hyperlink" Target="https://advance.lexis.com/api/document?collection=cases-ca&amp;id=urn:contentItem:5F7T-S7N1-JJ1H-X2P6-00000-00&amp;context=" TargetMode="External" /><Relationship Id="rId247" Type="http://schemas.openxmlformats.org/officeDocument/2006/relationships/hyperlink" Target="https://advance.lexis.com/api/document?collection=cases-ca&amp;id=urn:contentItem:5F7T-S7K1-JWXF-20XW-00000-00&amp;context=" TargetMode="External" /><Relationship Id="rId248" Type="http://schemas.openxmlformats.org/officeDocument/2006/relationships/hyperlink" Target="https://advance.lexis.com/api/document?collection=cases-ca&amp;id=urn:contentItem:5F7T-S7K1-JNY7-X493-00000-00&amp;context=" TargetMode="External" /><Relationship Id="rId249" Type="http://schemas.openxmlformats.org/officeDocument/2006/relationships/hyperlink" Target="https://advance.lexis.com/api/document?collection=cases-ca&amp;id=urn:contentItem:5F7T-S7K1-JKHB-62YV-00000-00&amp;context=" TargetMode="External" /><Relationship Id="rId25" Type="http://schemas.openxmlformats.org/officeDocument/2006/relationships/hyperlink" Target="https://advance.lexis.com/api/document?collection=legislation-ca&amp;id=urn:contentItem:5F3B-BD51-JB7K-2120-00000-00&amp;context=" TargetMode="External" /><Relationship Id="rId250" Type="http://schemas.openxmlformats.org/officeDocument/2006/relationships/hyperlink" Target="https://advance.lexis.com/api/document?collection=cases-ca&amp;id=urn:contentItem:5F7T-S7N1-JWR6-S25K-00000-00&amp;context=" TargetMode="External" /><Relationship Id="rId251" Type="http://schemas.openxmlformats.org/officeDocument/2006/relationships/hyperlink" Target="https://advance.lexis.com/api/document?collection=cases-ca&amp;id=urn:contentItem:5F7T-S7P1-JBDT-B0TR-00000-00&amp;context=" TargetMode="External" /><Relationship Id="rId252" Type="http://schemas.openxmlformats.org/officeDocument/2006/relationships/hyperlink" Target="https://advance.lexis.com/api/document?collection=cases-ca&amp;id=urn:contentItem:5F7T-S7N1-JWR6-S2JD-00000-00&amp;context=" TargetMode="External" /><Relationship Id="rId253" Type="http://schemas.openxmlformats.org/officeDocument/2006/relationships/hyperlink" Target="https://advance.lexis.com/api/document?collection=cases-ca&amp;id=urn:contentItem:5F7T-S711-JG02-S1F6-00000-00&amp;context=" TargetMode="External" /><Relationship Id="rId254" Type="http://schemas.openxmlformats.org/officeDocument/2006/relationships/hyperlink" Target="https://advance.lexis.com/api/document?collection=cases-ca&amp;id=urn:contentItem:5G5M-B9W1-FGCG-S01V-00000-00&amp;context=" TargetMode="External" /><Relationship Id="rId255" Type="http://schemas.openxmlformats.org/officeDocument/2006/relationships/hyperlink" Target="https://advance.lexis.com/api/document?collection=cases-ca&amp;id=urn:contentItem:5F7T-S7P1-F2TK-23K1-00000-00&amp;context=" TargetMode="External" /><Relationship Id="rId256" Type="http://schemas.openxmlformats.org/officeDocument/2006/relationships/hyperlink" Target="https://advance.lexis.com/api/document?collection=cases-ca&amp;id=urn:contentItem:5GCC-XVC1-F900-G51P-00000-00&amp;context=" TargetMode="External" /><Relationship Id="rId257" Type="http://schemas.openxmlformats.org/officeDocument/2006/relationships/hyperlink" Target="https://advance.lexis.com/api/document?collection=cases-ca&amp;id=urn:contentItem:5J58-W6W1-FG12-61NB-00000-00&amp;context=" TargetMode="External" /><Relationship Id="rId258" Type="http://schemas.openxmlformats.org/officeDocument/2006/relationships/hyperlink" Target="https://advance.lexis.com/api/document?collection=cases-ca&amp;id=urn:contentItem:5F7T-S7M1-JNCK-22H0-00000-00&amp;context=" TargetMode="External" /><Relationship Id="rId259" Type="http://schemas.openxmlformats.org/officeDocument/2006/relationships/hyperlink" Target="https://advance.lexis.com/api/document?collection=cases-ca&amp;id=urn:contentItem:5F7T-S7N1-F57G-S2PF-00000-00&amp;context=" TargetMode="External" /><Relationship Id="rId26" Type="http://schemas.openxmlformats.org/officeDocument/2006/relationships/hyperlink" Target="https://advance.lexis.com/api/document?collection=legislation-ca&amp;id=urn:contentItem:5F41-1FM1-FCK4-G01W-00000-00&amp;context=" TargetMode="External" /><Relationship Id="rId260" Type="http://schemas.openxmlformats.org/officeDocument/2006/relationships/hyperlink" Target="https://advance.lexis.com/api/document?collection=cases-ca&amp;id=urn:contentItem:5F7T-S7N1-DXWW-20KB-00000-00&amp;context=" TargetMode="External" /><Relationship Id="rId261" Type="http://schemas.openxmlformats.org/officeDocument/2006/relationships/header" Target="header52.xml" /><Relationship Id="rId262" Type="http://schemas.openxmlformats.org/officeDocument/2006/relationships/header" Target="header53.xml" /><Relationship Id="rId263" Type="http://schemas.openxmlformats.org/officeDocument/2006/relationships/footer" Target="footer52.xml" /><Relationship Id="rId264" Type="http://schemas.openxmlformats.org/officeDocument/2006/relationships/footer" Target="footer53.xml" /><Relationship Id="rId265" Type="http://schemas.openxmlformats.org/officeDocument/2006/relationships/header" Target="header54.xml" /><Relationship Id="rId266" Type="http://schemas.openxmlformats.org/officeDocument/2006/relationships/footer" Target="footer54.xml" /><Relationship Id="rId267" Type="http://schemas.openxmlformats.org/officeDocument/2006/relationships/hyperlink" Target="https://advance.lexis.com/api/document?collection=cases-ca&amp;id=urn:contentItem:5F7T-S7K1-DY33-B1GK-00000-00&amp;context=" TargetMode="External" /><Relationship Id="rId268" Type="http://schemas.openxmlformats.org/officeDocument/2006/relationships/hyperlink" Target="https://advance.lexis.com/api/document?collection=cases-ca&amp;id=urn:contentItem:5F7T-S6Y1-F65M-6050-00000-00&amp;context=" TargetMode="External" /><Relationship Id="rId269" Type="http://schemas.openxmlformats.org/officeDocument/2006/relationships/hyperlink" Target="https://advance.lexis.com/api/document?collection=cases-ca&amp;id=urn:contentItem:5F81-VJX1-JP9P-G4CM-00000-00&amp;context=" TargetMode="External" /><Relationship Id="rId27" Type="http://schemas.openxmlformats.org/officeDocument/2006/relationships/hyperlink" Target="https://advance.lexis.com/api/document?collection=cases-ca&amp;id=urn:contentItem:5K6P-SDN1-JGPY-X1XX-00000-00&amp;context=" TargetMode="External" /><Relationship Id="rId270" Type="http://schemas.openxmlformats.org/officeDocument/2006/relationships/hyperlink" Target="https://advance.lexis.com/api/document?collection=cases-ca&amp;id=urn:contentItem:5F7T-S711-JNY7-X33J-00000-00&amp;context=" TargetMode="External" /><Relationship Id="rId271" Type="http://schemas.openxmlformats.org/officeDocument/2006/relationships/hyperlink" Target="https://advance.lexis.com/api/document?collection=cases-ca&amp;id=urn:contentItem:5F7T-S721-JSC5-M387-00000-00&amp;context=" TargetMode="External" /><Relationship Id="rId272" Type="http://schemas.openxmlformats.org/officeDocument/2006/relationships/hyperlink" Target="https://advance.lexis.com/api/document?collection=cases-ca&amp;id=urn:contentItem:5F7T-S6W1-F7ND-G2KH-00000-00&amp;context=" TargetMode="External" /><Relationship Id="rId273" Type="http://schemas.openxmlformats.org/officeDocument/2006/relationships/hyperlink" Target="https://advance.lexis.com/api/document?collection=cases-ca&amp;id=urn:contentItem:5F7T-S6T1-FJTD-G1BM-00000-00&amp;context=" TargetMode="External" /><Relationship Id="rId274" Type="http://schemas.openxmlformats.org/officeDocument/2006/relationships/hyperlink" Target="https://advance.lexis.com/api/document?collection=cases-ca&amp;id=urn:contentItem:5F7T-S6S1-JTNR-M1RV-00000-00&amp;context=" TargetMode="External" /><Relationship Id="rId275" Type="http://schemas.openxmlformats.org/officeDocument/2006/relationships/hyperlink" Target="https://advance.lexis.com/api/document?collection=cases-ca&amp;id=urn:contentItem:5F7T-S7G1-F5KY-B1DJ-00000-00&amp;context=" TargetMode="External" /><Relationship Id="rId276" Type="http://schemas.openxmlformats.org/officeDocument/2006/relationships/hyperlink" Target="https://advance.lexis.com/api/document?collection=cases-ca&amp;id=urn:contentItem:5F7T-S721-FG12-621J-00000-00&amp;context=" TargetMode="External" /><Relationship Id="rId277" Type="http://schemas.openxmlformats.org/officeDocument/2006/relationships/hyperlink" Target="https://advance.lexis.com/api/document?collection=cases-ca&amp;id=urn:contentItem:5XR8-3VX1-JG02-S1RS-00000-00&amp;context=" TargetMode="External" /><Relationship Id="rId278" Type="http://schemas.openxmlformats.org/officeDocument/2006/relationships/hyperlink" Target="https://advance.lexis.com/api/document?collection=cases-ca&amp;id=urn:contentItem:5F7T-S6Y1-JPP5-215W-00000-00&amp;context=" TargetMode="External" /><Relationship Id="rId279" Type="http://schemas.openxmlformats.org/officeDocument/2006/relationships/hyperlink" Target="https://advance.lexis.com/api/document?collection=cases-ca&amp;id=urn:contentItem:5F7T-S711-F5KY-B0P4-00000-00&amp;context=" TargetMode="External" /><Relationship Id="rId28" Type="http://schemas.openxmlformats.org/officeDocument/2006/relationships/hyperlink" Target="https://advance.lexis.com/api/document?collection=legislation-ca&amp;id=urn:contentItem:5VYK-W9V1-F1WF-M09J-00000-00&amp;context=" TargetMode="External" /><Relationship Id="rId280" Type="http://schemas.openxmlformats.org/officeDocument/2006/relationships/hyperlink" Target="https://advance.lexis.com/api/document?collection=cases-ca&amp;id=urn:contentItem:5F7T-S731-FFFC-B0PJ-00000-00&amp;context=" TargetMode="External" /><Relationship Id="rId281" Type="http://schemas.openxmlformats.org/officeDocument/2006/relationships/hyperlink" Target="https://advance.lexis.com/api/document?collection=cases-ca&amp;id=urn:contentItem:5F7T-S7F1-JFKM-61VX-00000-00&amp;context=" TargetMode="External" /><Relationship Id="rId282" Type="http://schemas.openxmlformats.org/officeDocument/2006/relationships/header" Target="header55.xml" /><Relationship Id="rId283" Type="http://schemas.openxmlformats.org/officeDocument/2006/relationships/header" Target="header56.xml" /><Relationship Id="rId284" Type="http://schemas.openxmlformats.org/officeDocument/2006/relationships/footer" Target="footer55.xml" /><Relationship Id="rId285" Type="http://schemas.openxmlformats.org/officeDocument/2006/relationships/footer" Target="footer56.xml" /><Relationship Id="rId286" Type="http://schemas.openxmlformats.org/officeDocument/2006/relationships/header" Target="header57.xml" /><Relationship Id="rId287" Type="http://schemas.openxmlformats.org/officeDocument/2006/relationships/footer" Target="footer57.xml" /><Relationship Id="rId288" Type="http://schemas.openxmlformats.org/officeDocument/2006/relationships/hyperlink" Target="https://advance.lexis.com/api/document?collection=cases-ca&amp;id=urn:contentItem:5F7T-S7N1-JW09-M0X1-00000-00&amp;context=" TargetMode="External" /><Relationship Id="rId289" Type="http://schemas.openxmlformats.org/officeDocument/2006/relationships/hyperlink" Target="https://advance.lexis.com/api/document?collection=legislation-ca&amp;id=urn:contentItem:5F41-1FH1-F361-M0GM-00000-00&amp;context=" TargetMode="External" /><Relationship Id="rId29" Type="http://schemas.openxmlformats.org/officeDocument/2006/relationships/hyperlink" Target="https://advance.lexis.com/api/document?collection=cases-ca&amp;id=urn:contentItem:5F8T-N3T1-JGHR-M22F-00000-00&amp;context=" TargetMode="External" /><Relationship Id="rId290" Type="http://schemas.openxmlformats.org/officeDocument/2006/relationships/hyperlink" Target="https://advance.lexis.com/api/document?collection=cases-ca&amp;id=urn:contentItem:5F7T-S7G1-JWR6-S1PN-00000-00&amp;context=" TargetMode="External" /><Relationship Id="rId291" Type="http://schemas.openxmlformats.org/officeDocument/2006/relationships/hyperlink" Target="https://advance.lexis.com/api/document?collection=cases-ca&amp;id=urn:contentItem:5F7T-S7M1-JFSV-G3MS-00000-00&amp;context=" TargetMode="External" /><Relationship Id="rId292" Type="http://schemas.openxmlformats.org/officeDocument/2006/relationships/header" Target="header58.xml" /><Relationship Id="rId293" Type="http://schemas.openxmlformats.org/officeDocument/2006/relationships/header" Target="header59.xml" /><Relationship Id="rId294" Type="http://schemas.openxmlformats.org/officeDocument/2006/relationships/footer" Target="footer58.xml" /><Relationship Id="rId295" Type="http://schemas.openxmlformats.org/officeDocument/2006/relationships/footer" Target="footer59.xml" /><Relationship Id="rId296" Type="http://schemas.openxmlformats.org/officeDocument/2006/relationships/header" Target="header60.xml" /><Relationship Id="rId297" Type="http://schemas.openxmlformats.org/officeDocument/2006/relationships/footer" Target="footer60.xml" /><Relationship Id="rId298" Type="http://schemas.openxmlformats.org/officeDocument/2006/relationships/hyperlink" Target="https://advance.lexis.com/api/document?collection=cases-ca&amp;id=urn:contentItem:5F7T-S7H1-JCRC-B122-00000-00&amp;context=" TargetMode="External" /><Relationship Id="rId299" Type="http://schemas.openxmlformats.org/officeDocument/2006/relationships/hyperlink" Target="https://advance.lexis.com/api/document?collection=cases-ca&amp;id=urn:contentItem:5K6Y-81M1-F81W-23G9-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7T-S7G1-JNY7-X3Y5-00000-00&amp;context=" TargetMode="External" /><Relationship Id="rId300" Type="http://schemas.openxmlformats.org/officeDocument/2006/relationships/hyperlink" Target="https://advance.lexis.com/api/document?collection=cases-ca&amp;id=urn:contentItem:5F7T-S781-DYMS-61C9-00000-00&amp;context=" TargetMode="External" /><Relationship Id="rId301" Type="http://schemas.openxmlformats.org/officeDocument/2006/relationships/hyperlink" Target="https://advance.lexis.com/api/document?collection=cases-ca&amp;id=urn:contentItem:5F8T-N3P1-FC6N-X1BS-00000-00&amp;context=" TargetMode="External" /><Relationship Id="rId302" Type="http://schemas.openxmlformats.org/officeDocument/2006/relationships/header" Target="header61.xml" /><Relationship Id="rId303" Type="http://schemas.openxmlformats.org/officeDocument/2006/relationships/header" Target="header62.xml" /><Relationship Id="rId304" Type="http://schemas.openxmlformats.org/officeDocument/2006/relationships/footer" Target="footer61.xml" /><Relationship Id="rId305" Type="http://schemas.openxmlformats.org/officeDocument/2006/relationships/footer" Target="footer62.xml" /><Relationship Id="rId306" Type="http://schemas.openxmlformats.org/officeDocument/2006/relationships/header" Target="header63.xml" /><Relationship Id="rId307" Type="http://schemas.openxmlformats.org/officeDocument/2006/relationships/footer" Target="footer63.xml" /><Relationship Id="rId308" Type="http://schemas.openxmlformats.org/officeDocument/2006/relationships/hyperlink" Target="https://advance.lexis.com/api/document?collection=cases-ca&amp;id=urn:contentItem:5F7T-S7H1-JFSV-G388-00000-00&amp;context=" TargetMode="External" /><Relationship Id="rId309" Type="http://schemas.openxmlformats.org/officeDocument/2006/relationships/hyperlink" Target="https://advance.lexis.com/api/document?collection=cases-ca&amp;id=urn:contentItem:5F7T-S701-JF75-M45P-00000-00&amp;context=" TargetMode="External" /><Relationship Id="rId31" Type="http://schemas.openxmlformats.org/officeDocument/2006/relationships/hyperlink" Target="https://advance.lexis.com/api/document?collection=cases-ca&amp;id=urn:contentItem:5F8P-SG61-FJM6-621G-00000-00&amp;context=" TargetMode="External" /><Relationship Id="rId310" Type="http://schemas.openxmlformats.org/officeDocument/2006/relationships/header" Target="header64.xml" /><Relationship Id="rId311" Type="http://schemas.openxmlformats.org/officeDocument/2006/relationships/header" Target="header65.xml" /><Relationship Id="rId312" Type="http://schemas.openxmlformats.org/officeDocument/2006/relationships/footer" Target="footer64.xml" /><Relationship Id="rId313" Type="http://schemas.openxmlformats.org/officeDocument/2006/relationships/footer" Target="footer65.xml" /><Relationship Id="rId314" Type="http://schemas.openxmlformats.org/officeDocument/2006/relationships/header" Target="header66.xml" /><Relationship Id="rId315" Type="http://schemas.openxmlformats.org/officeDocument/2006/relationships/footer" Target="footer66.xml" /><Relationship Id="rId316" Type="http://schemas.openxmlformats.org/officeDocument/2006/relationships/hyperlink" Target="https://advance.lexis.com/api/document?collection=cases-ca&amp;id=urn:contentItem:5F7T-S7F1-F7VM-S443-00000-00&amp;context=" TargetMode="External" /><Relationship Id="rId317" Type="http://schemas.openxmlformats.org/officeDocument/2006/relationships/hyperlink" Target="https://advance.lexis.com/api/document?collection=cases-ca&amp;id=urn:contentItem:5K6Y-81M1-JGPY-X21T-00000-00&amp;context=" TargetMode="External" /><Relationship Id="rId318" Type="http://schemas.openxmlformats.org/officeDocument/2006/relationships/hyperlink" Target="https://advance.lexis.com/api/document?collection=legislation-ca&amp;id=urn:contentItem:5F41-1FH1-F361-M0H7-00000-00&amp;context=" TargetMode="External" /><Relationship Id="rId319" Type="http://schemas.openxmlformats.org/officeDocument/2006/relationships/header" Target="header67.xml" /><Relationship Id="rId32" Type="http://schemas.openxmlformats.org/officeDocument/2006/relationships/hyperlink" Target="https://advance.lexis.com/api/document?collection=cases-ca&amp;id=urn:contentItem:5F81-VJV1-F60C-X3FK-00000-00&amp;context=" TargetMode="External" /><Relationship Id="rId320" Type="http://schemas.openxmlformats.org/officeDocument/2006/relationships/header" Target="header68.xml" /><Relationship Id="rId321" Type="http://schemas.openxmlformats.org/officeDocument/2006/relationships/footer" Target="footer67.xml" /><Relationship Id="rId322" Type="http://schemas.openxmlformats.org/officeDocument/2006/relationships/footer" Target="footer68.xml" /><Relationship Id="rId323" Type="http://schemas.openxmlformats.org/officeDocument/2006/relationships/header" Target="header69.xml" /><Relationship Id="rId324" Type="http://schemas.openxmlformats.org/officeDocument/2006/relationships/footer" Target="footer69.xml" /><Relationship Id="rId325" Type="http://schemas.openxmlformats.org/officeDocument/2006/relationships/hyperlink" Target="https://advance.lexis.com/api/document?collection=cases-ca&amp;id=urn:contentItem:5F7T-S7H1-K054-G2F4-00000-00&amp;context=" TargetMode="External" /><Relationship Id="rId326" Type="http://schemas.openxmlformats.org/officeDocument/2006/relationships/hyperlink" Target="https://advance.lexis.com/api/document?collection=cases-ca&amp;id=urn:contentItem:5F7T-S7H1-JFSV-G31J-00000-00&amp;context=" TargetMode="External" /><Relationship Id="rId327" Type="http://schemas.openxmlformats.org/officeDocument/2006/relationships/hyperlink" Target="https://advance.lexis.com/api/document?collection=legislation-ca&amp;id=urn:contentItem:5YP5-7N61-F8KH-X2KN-00000-00&amp;context=" TargetMode="External" /><Relationship Id="rId328" Type="http://schemas.openxmlformats.org/officeDocument/2006/relationships/hyperlink" Target="https://advance.lexis.com/api/document?collection=legislation-ca&amp;id=urn:contentItem:5F41-1FJ1-JBDT-B068-00000-00&amp;context=" TargetMode="External" /><Relationship Id="rId329" Type="http://schemas.openxmlformats.org/officeDocument/2006/relationships/hyperlink" Target="https://advance.lexis.com/api/document?collection=cases-ca&amp;id=urn:contentItem:5F7T-S741-F2F4-G2GN-00000-00&amp;context=" TargetMode="External" /><Relationship Id="rId33" Type="http://schemas.openxmlformats.org/officeDocument/2006/relationships/hyperlink" Target="https://advance.lexis.com/api/document?collection=cases-ca&amp;id=urn:contentItem:5F81-YH01-F873-B15S-00000-00&amp;context=" TargetMode="External" /><Relationship Id="rId330" Type="http://schemas.openxmlformats.org/officeDocument/2006/relationships/hyperlink" Target="https://advance.lexis.com/api/document?collection=cases-ca&amp;id=urn:contentItem:5F7T-S7H1-JFKM-628X-00000-00&amp;context=" TargetMode="External" /><Relationship Id="rId331" Type="http://schemas.openxmlformats.org/officeDocument/2006/relationships/hyperlink" Target="https://advance.lexis.com/api/document?collection=cases-ca&amp;id=urn:contentItem:5F7T-S7D1-FFFC-B1G3-00000-00&amp;context=" TargetMode="External" /><Relationship Id="rId332" Type="http://schemas.openxmlformats.org/officeDocument/2006/relationships/hyperlink" Target="https://advance.lexis.com/api/document?collection=cases-ca&amp;id=urn:contentItem:5F7T-S7H1-K054-G2FS-00000-00&amp;context=" TargetMode="External" /><Relationship Id="rId333" Type="http://schemas.openxmlformats.org/officeDocument/2006/relationships/hyperlink" Target="https://advance.lexis.com/api/document?collection=cases-ca&amp;id=urn:contentItem:5F8T-N3V1-JTGH-B0YJ-00000-00&amp;context=" TargetMode="External" /><Relationship Id="rId334" Type="http://schemas.openxmlformats.org/officeDocument/2006/relationships/hyperlink" Target="https://advance.lexis.com/api/document?collection=cases-ca&amp;id=urn:contentItem:5F7T-S6X1-JXNB-62R9-00000-00&amp;context=" TargetMode="External" /><Relationship Id="rId335" Type="http://schemas.openxmlformats.org/officeDocument/2006/relationships/hyperlink" Target="https://advance.lexis.com/api/document?collection=cases-ca&amp;id=urn:contentItem:5F7T-S741-F1H1-21G4-00000-00&amp;context=" TargetMode="External" /><Relationship Id="rId336" Type="http://schemas.openxmlformats.org/officeDocument/2006/relationships/hyperlink" Target="https://advance.lexis.com/api/document?collection=cases-ca&amp;id=urn:contentItem:5F7T-S6Y1-F4GK-M1YG-00000-00&amp;context=" TargetMode="External" /><Relationship Id="rId337" Type="http://schemas.openxmlformats.org/officeDocument/2006/relationships/hyperlink" Target="https://advance.lexis.com/api/document?collection=cases-ca&amp;id=urn:contentItem:5F7T-S731-JNJT-B23Y-00000-00&amp;context=" TargetMode="External" /><Relationship Id="rId338" Type="http://schemas.openxmlformats.org/officeDocument/2006/relationships/hyperlink" Target="https://advance.lexis.com/api/document?collection=cases-ca&amp;id=urn:contentItem:5F7T-S781-F900-G0N5-00000-00&amp;context=" TargetMode="External" /><Relationship Id="rId339" Type="http://schemas.openxmlformats.org/officeDocument/2006/relationships/hyperlink" Target="https://advance.lexis.com/api/document?collection=cases-ca&amp;id=urn:contentItem:5F7T-S781-F900-G126-00000-00&amp;context=" TargetMode="External" /><Relationship Id="rId34" Type="http://schemas.openxmlformats.org/officeDocument/2006/relationships/hyperlink" Target="https://advance.lexis.com/api/document?collection=cases-ca&amp;id=urn:contentItem:5F8P-SCC1-F22N-X4BP-00000-00&amp;context=" TargetMode="External" /><Relationship Id="rId340" Type="http://schemas.openxmlformats.org/officeDocument/2006/relationships/hyperlink" Target="https://advance.lexis.com/api/document?collection=cases-ca&amp;id=urn:contentItem:5F7T-S751-JCJ5-2494-00000-00&amp;context=" TargetMode="External" /><Relationship Id="rId341" Type="http://schemas.openxmlformats.org/officeDocument/2006/relationships/hyperlink" Target="https://advance.lexis.com/api/document?collection=cases-ca&amp;id=urn:contentItem:5F7T-S771-JWBS-61W4-00000-00&amp;context=" TargetMode="External" /><Relationship Id="rId342" Type="http://schemas.openxmlformats.org/officeDocument/2006/relationships/hyperlink" Target="https://advance.lexis.com/api/document?collection=cases-ca&amp;id=urn:contentItem:5F7T-S761-FFMK-M16Y-00000-00&amp;context=" TargetMode="External" /><Relationship Id="rId343" Type="http://schemas.openxmlformats.org/officeDocument/2006/relationships/hyperlink" Target="https://advance.lexis.com/api/document?collection=cases-ca&amp;id=urn:contentItem:5F7T-S7F1-FFFC-B22B-00000-00&amp;context=" TargetMode="External" /><Relationship Id="rId344" Type="http://schemas.openxmlformats.org/officeDocument/2006/relationships/header" Target="header70.xml" /><Relationship Id="rId345" Type="http://schemas.openxmlformats.org/officeDocument/2006/relationships/header" Target="header71.xml" /><Relationship Id="rId346" Type="http://schemas.openxmlformats.org/officeDocument/2006/relationships/footer" Target="footer70.xml" /><Relationship Id="rId347" Type="http://schemas.openxmlformats.org/officeDocument/2006/relationships/footer" Target="footer71.xml" /><Relationship Id="rId348" Type="http://schemas.openxmlformats.org/officeDocument/2006/relationships/header" Target="header72.xml" /><Relationship Id="rId349" Type="http://schemas.openxmlformats.org/officeDocument/2006/relationships/footer" Target="footer72.xml" /><Relationship Id="rId35" Type="http://schemas.openxmlformats.org/officeDocument/2006/relationships/hyperlink" Target="https://advance.lexis.com/api/document?collection=cases-ca&amp;id=urn:contentItem:5F8P-SF01-JS0R-2035-00000-00&amp;context=" TargetMode="External" /><Relationship Id="rId350" Type="http://schemas.openxmlformats.org/officeDocument/2006/relationships/hyperlink" Target="https://advance.lexis.com/api/document?collection=cases-ca&amp;id=urn:contentItem:5GCC-XVD1-JS5Y-B1B7-00000-00&amp;context=" TargetMode="External" /><Relationship Id="rId351" Type="http://schemas.openxmlformats.org/officeDocument/2006/relationships/hyperlink" Target="https://advance.lexis.com/api/document?collection=cases-ca&amp;id=urn:contentItem:5K6Y-81T1-JYYX-61S6-00000-00&amp;context=" TargetMode="External" /><Relationship Id="rId352" Type="http://schemas.openxmlformats.org/officeDocument/2006/relationships/hyperlink" Target="https://advance.lexis.com/api/document?collection=cases-ca&amp;id=urn:contentItem:5F7T-S7K1-F1H1-220C-00000-00&amp;context=" TargetMode="External" /><Relationship Id="rId353" Type="http://schemas.openxmlformats.org/officeDocument/2006/relationships/hyperlink" Target="https://advance.lexis.com/api/document?collection=cases-ca&amp;id=urn:contentItem:5F81-VJV1-F8D9-M0NM-00000-00&amp;context=" TargetMode="External" /><Relationship Id="rId354" Type="http://schemas.openxmlformats.org/officeDocument/2006/relationships/hyperlink" Target="https://advance.lexis.com/api/document?collection=cases-ca&amp;id=urn:contentItem:5F8T-N3V1-JFKM-6011-00000-00&amp;context=" TargetMode="External" /><Relationship Id="rId355" Type="http://schemas.openxmlformats.org/officeDocument/2006/relationships/hyperlink" Target="https://advance.lexis.com/api/document?collection=cases-ca&amp;id=urn:contentItem:5F8P-SCH1-JSJC-X3X2-00000-00&amp;context=" TargetMode="External" /><Relationship Id="rId356" Type="http://schemas.openxmlformats.org/officeDocument/2006/relationships/hyperlink" Target="https://advance.lexis.com/api/document?collection=cases-ca&amp;id=urn:contentItem:5F8P-SCJ1-JJ6S-62RM-00000-00&amp;context=" TargetMode="External" /><Relationship Id="rId357" Type="http://schemas.openxmlformats.org/officeDocument/2006/relationships/hyperlink" Target="https://advance.lexis.com/api/document?collection=cases-ca&amp;id=urn:contentItem:5F7T-S771-F2TK-22M2-00000-00&amp;context=" TargetMode="External" /><Relationship Id="rId358" Type="http://schemas.openxmlformats.org/officeDocument/2006/relationships/header" Target="header73.xml" /><Relationship Id="rId359" Type="http://schemas.openxmlformats.org/officeDocument/2006/relationships/header" Target="header74.xml" /><Relationship Id="rId36" Type="http://schemas.openxmlformats.org/officeDocument/2006/relationships/header" Target="header7.xml" /><Relationship Id="rId360" Type="http://schemas.openxmlformats.org/officeDocument/2006/relationships/footer" Target="footer73.xml" /><Relationship Id="rId361" Type="http://schemas.openxmlformats.org/officeDocument/2006/relationships/footer" Target="footer74.xml" /><Relationship Id="rId362" Type="http://schemas.openxmlformats.org/officeDocument/2006/relationships/header" Target="header75.xml" /><Relationship Id="rId363" Type="http://schemas.openxmlformats.org/officeDocument/2006/relationships/footer" Target="footer75.xml" /><Relationship Id="rId364" Type="http://schemas.openxmlformats.org/officeDocument/2006/relationships/hyperlink" Target="https://advance.lexis.com/api/document?collection=cases-ca&amp;id=urn:contentItem:5F7T-S7D1-F7ND-G0MK-00000-00&amp;context=" TargetMode="External" /><Relationship Id="rId365" Type="http://schemas.openxmlformats.org/officeDocument/2006/relationships/hyperlink" Target="https://advance.lexis.com/api/document?collection=cases-ca&amp;id=urn:contentItem:5K6Y-81M1-JN6B-S1DS-00000-00&amp;context=" TargetMode="External" /><Relationship Id="rId366" Type="http://schemas.openxmlformats.org/officeDocument/2006/relationships/hyperlink" Target="https://advance.lexis.com/api/document?collection=cases-ca&amp;id=urn:contentItem:5F7T-S771-JWBS-61F8-00000-00&amp;context=" TargetMode="External" /><Relationship Id="rId367" Type="http://schemas.openxmlformats.org/officeDocument/2006/relationships/hyperlink" Target="https://advance.lexis.com/api/document?collection=cases-ca&amp;id=urn:contentItem:5F7T-S7B1-FH4C-X3NP-00000-00&amp;context=" TargetMode="External" /><Relationship Id="rId368" Type="http://schemas.openxmlformats.org/officeDocument/2006/relationships/hyperlink" Target="https://advance.lexis.com/api/document?collection=cases-ca&amp;id=urn:contentItem:5F8P-SCP1-FD4T-B4FM-00000-00&amp;context=" TargetMode="External" /><Relationship Id="rId369" Type="http://schemas.openxmlformats.org/officeDocument/2006/relationships/hyperlink" Target="https://advance.lexis.com/api/document?collection=cases-ca&amp;id=urn:contentItem:5F7T-S711-F5KY-B0NM-00000-00&amp;context=" TargetMode="External" /><Relationship Id="rId37" Type="http://schemas.openxmlformats.org/officeDocument/2006/relationships/header" Target="header8.xml" /><Relationship Id="rId370" Type="http://schemas.openxmlformats.org/officeDocument/2006/relationships/hyperlink" Target="https://advance.lexis.com/api/document?collection=cases-ca&amp;id=urn:contentItem:5F7T-S711-F5KY-B13N-00000-00&amp;context=" TargetMode="External" /><Relationship Id="rId371" Type="http://schemas.openxmlformats.org/officeDocument/2006/relationships/hyperlink" Target="https://advance.lexis.com/api/document?collection=cases-ca&amp;id=urn:contentItem:5F7T-S6Y1-JP9P-G1WS-00000-00&amp;context=" TargetMode="External" /><Relationship Id="rId372" Type="http://schemas.openxmlformats.org/officeDocument/2006/relationships/hyperlink" Target="https://advance.lexis.com/api/document?collection=cases-ca&amp;id=urn:contentItem:5F7T-S711-F4GK-M2T8-00000-00&amp;context=" TargetMode="External" /><Relationship Id="rId373" Type="http://schemas.openxmlformats.org/officeDocument/2006/relationships/hyperlink" Target="https://advance.lexis.com/api/document?collection=cases-ca&amp;id=urn:contentItem:5F16-9321-FC6N-X23T-00000-00&amp;context=" TargetMode="External" /><Relationship Id="rId374" Type="http://schemas.openxmlformats.org/officeDocument/2006/relationships/hyperlink" Target="https://advance.lexis.com/api/document?collection=cases-ca&amp;id=urn:contentItem:5F81-VJX1-JP9P-G4R3-00000-00&amp;context=" TargetMode="External" /><Relationship Id="rId375" Type="http://schemas.openxmlformats.org/officeDocument/2006/relationships/hyperlink" Target="https://advance.lexis.com/api/document?collection=cases-ca&amp;id=urn:contentItem:5F7T-S781-FH4C-X2S2-00000-00&amp;context=" TargetMode="External" /><Relationship Id="rId376" Type="http://schemas.openxmlformats.org/officeDocument/2006/relationships/hyperlink" Target="https://advance.lexis.com/api/document?collection=cases-ca&amp;id=urn:contentItem:5F8P-SDJ1-K054-G275-00000-00&amp;context=" TargetMode="External" /><Relationship Id="rId377" Type="http://schemas.openxmlformats.org/officeDocument/2006/relationships/hyperlink" Target="https://advance.lexis.com/api/document?collection=cases-ca&amp;id=urn:contentItem:5F16-9361-K0HK-222G-00000-00&amp;context=" TargetMode="External" /><Relationship Id="rId378" Type="http://schemas.openxmlformats.org/officeDocument/2006/relationships/hyperlink" Target="https://advance.lexis.com/api/document?collection=cases-ca&amp;id=urn:contentItem:5F7T-S701-JBT7-X2F5-00000-00&amp;context=" TargetMode="External" /><Relationship Id="rId379" Type="http://schemas.openxmlformats.org/officeDocument/2006/relationships/hyperlink" Target="https://advance.lexis.com/api/document?collection=cases-ca&amp;id=urn:contentItem:5F2P-NNN1-JXG3-X2B5-00000-00&amp;context=" TargetMode="External" /><Relationship Id="rId38" Type="http://schemas.openxmlformats.org/officeDocument/2006/relationships/footer" Target="footer7.xml" /><Relationship Id="rId380" Type="http://schemas.openxmlformats.org/officeDocument/2006/relationships/hyperlink" Target="https://advance.lexis.com/api/document?collection=cases-ca&amp;id=urn:contentItem:5F7T-S6T1-FJTD-G17V-00000-00&amp;context=" TargetMode="External" /><Relationship Id="rId381" Type="http://schemas.openxmlformats.org/officeDocument/2006/relationships/header" Target="header76.xml" /><Relationship Id="rId382" Type="http://schemas.openxmlformats.org/officeDocument/2006/relationships/header" Target="header77.xml" /><Relationship Id="rId383" Type="http://schemas.openxmlformats.org/officeDocument/2006/relationships/footer" Target="footer76.xml" /><Relationship Id="rId384" Type="http://schemas.openxmlformats.org/officeDocument/2006/relationships/footer" Target="footer77.xml" /><Relationship Id="rId385" Type="http://schemas.openxmlformats.org/officeDocument/2006/relationships/header" Target="header78.xml" /><Relationship Id="rId386" Type="http://schemas.openxmlformats.org/officeDocument/2006/relationships/footer" Target="footer78.xml" /><Relationship Id="rId387" Type="http://schemas.openxmlformats.org/officeDocument/2006/relationships/hyperlink" Target="https://advance.lexis.com/api/document?collection=cases-ca&amp;id=urn:contentItem:5V8C-MV51-F5DR-202N-00000-00&amp;context=" TargetMode="External" /><Relationship Id="rId388" Type="http://schemas.openxmlformats.org/officeDocument/2006/relationships/hyperlink" Target="https://advance.lexis.com/api/document?collection=cases-ca&amp;id=urn:contentItem:5SJM-4CD1-JJ1H-X4SC-00000-00&amp;context=" TargetMode="External" /><Relationship Id="rId389" Type="http://schemas.openxmlformats.org/officeDocument/2006/relationships/hyperlink" Target="https://advance.lexis.com/api/document?collection=cases-ca&amp;id=urn:contentItem:5F8T-N3V1-JF75-M3CF-00000-00&amp;context=" TargetMode="External" /><Relationship Id="rId39" Type="http://schemas.openxmlformats.org/officeDocument/2006/relationships/footer" Target="footer8.xml" /><Relationship Id="rId390" Type="http://schemas.openxmlformats.org/officeDocument/2006/relationships/hyperlink" Target="https://advance.lexis.com/api/document?collection=cases-ca&amp;id=urn:contentItem:5F8T-N3T1-JFKM-652N-00000-00&amp;context=" TargetMode="External" /><Relationship Id="rId391" Type="http://schemas.openxmlformats.org/officeDocument/2006/relationships/hyperlink" Target="https://advance.lexis.com/api/document?collection=cases-ca&amp;id=urn:contentItem:5F8T-N3V1-FH4C-X20M-00000-00&amp;context=" TargetMode="External" /><Relationship Id="rId392" Type="http://schemas.openxmlformats.org/officeDocument/2006/relationships/hyperlink" Target="https://advance.lexis.com/api/document?collection=cases-ca&amp;id=urn:contentItem:5F8T-N3T1-JGHR-M21F-00000-00&amp;context=" TargetMode="External" /><Relationship Id="rId393" Type="http://schemas.openxmlformats.org/officeDocument/2006/relationships/hyperlink" Target="https://advance.lexis.com/api/document?collection=cases-ca&amp;id=urn:contentItem:5F7T-S6Y1-JNY7-X2P6-00000-00&amp;context=" TargetMode="External" /><Relationship Id="rId394" Type="http://schemas.openxmlformats.org/officeDocument/2006/relationships/hyperlink" Target="https://advance.lexis.com/api/document?collection=cases-ca&amp;id=urn:contentItem:5F8T-N3T1-JFKM-6524-00000-00&amp;context=" TargetMode="External" /><Relationship Id="rId395" Type="http://schemas.openxmlformats.org/officeDocument/2006/relationships/hyperlink" Target="https://advance.lexis.com/api/document?collection=cases-ca&amp;id=urn:contentItem:5F8T-N3V1-FH4C-X22V-00000-00&amp;context=" TargetMode="External" /><Relationship Id="rId396" Type="http://schemas.openxmlformats.org/officeDocument/2006/relationships/header" Target="header79.xml" /><Relationship Id="rId397" Type="http://schemas.openxmlformats.org/officeDocument/2006/relationships/header" Target="header80.xml" /><Relationship Id="rId398" Type="http://schemas.openxmlformats.org/officeDocument/2006/relationships/footer" Target="footer79.xml" /><Relationship Id="rId399" Type="http://schemas.openxmlformats.org/officeDocument/2006/relationships/footer" Target="footer80.xml" /><Relationship Id="rId4" Type="http://schemas.openxmlformats.org/officeDocument/2006/relationships/header" Target="header1.xml" /><Relationship Id="rId40" Type="http://schemas.openxmlformats.org/officeDocument/2006/relationships/header" Target="header9.xml" /><Relationship Id="rId400" Type="http://schemas.openxmlformats.org/officeDocument/2006/relationships/header" Target="header81.xml" /><Relationship Id="rId401" Type="http://schemas.openxmlformats.org/officeDocument/2006/relationships/footer" Target="footer81.xml" /><Relationship Id="rId402" Type="http://schemas.openxmlformats.org/officeDocument/2006/relationships/hyperlink" Target="https://advance.lexis.com/api/document?collection=cases-ca&amp;id=urn:contentItem:5F7T-S7P1-JP4G-6262-00000-00&amp;context=" TargetMode="External" /><Relationship Id="rId403" Type="http://schemas.openxmlformats.org/officeDocument/2006/relationships/hyperlink" Target="https://advance.lexis.com/api/document?collection=cases-ca&amp;id=urn:contentItem:5F7T-S7D1-JXG3-X12R-00000-00&amp;context=" TargetMode="External" /><Relationship Id="rId404" Type="http://schemas.openxmlformats.org/officeDocument/2006/relationships/hyperlink" Target="https://advance.lexis.com/api/document?collection=cases-ca&amp;id=urn:contentItem:5F7T-S7G1-JWR6-S1MB-00000-00&amp;context=" TargetMode="External" /><Relationship Id="rId405" Type="http://schemas.openxmlformats.org/officeDocument/2006/relationships/hyperlink" Target="https://advance.lexis.com/api/document?collection=cases-ca&amp;id=urn:contentItem:5F7T-S6W1-F8SS-62J1-00000-00&amp;context=" TargetMode="External" /><Relationship Id="rId406" Type="http://schemas.openxmlformats.org/officeDocument/2006/relationships/hyperlink" Target="https://advance.lexis.com/api/document?collection=cases-ca&amp;id=urn:contentItem:5F16-92W1-DXPM-S142-00000-00&amp;context=" TargetMode="External" /><Relationship Id="rId407" Type="http://schemas.openxmlformats.org/officeDocument/2006/relationships/hyperlink" Target="https://advance.lexis.com/api/document?collection=cases-ca&amp;id=urn:contentItem:5F7T-S7K1-JSJC-X186-00000-00&amp;context=" TargetMode="External" /><Relationship Id="rId408" Type="http://schemas.openxmlformats.org/officeDocument/2006/relationships/hyperlink" Target="https://advance.lexis.com/api/document?collection=cases-ca&amp;id=urn:contentItem:5F7T-S721-FD4T-B141-00000-00&amp;context=" TargetMode="External" /><Relationship Id="rId409" Type="http://schemas.openxmlformats.org/officeDocument/2006/relationships/hyperlink" Target="https://advance.lexis.com/api/document?collection=cases-ca&amp;id=urn:contentItem:5F7T-S6Y1-DY33-B02X-00000-00&amp;context=" TargetMode="External" /><Relationship Id="rId41" Type="http://schemas.openxmlformats.org/officeDocument/2006/relationships/footer" Target="footer9.xml" /><Relationship Id="rId410" Type="http://schemas.openxmlformats.org/officeDocument/2006/relationships/header" Target="header82.xml" /><Relationship Id="rId411" Type="http://schemas.openxmlformats.org/officeDocument/2006/relationships/header" Target="header83.xml" /><Relationship Id="rId412" Type="http://schemas.openxmlformats.org/officeDocument/2006/relationships/footer" Target="footer82.xml" /><Relationship Id="rId413" Type="http://schemas.openxmlformats.org/officeDocument/2006/relationships/footer" Target="footer83.xml" /><Relationship Id="rId414" Type="http://schemas.openxmlformats.org/officeDocument/2006/relationships/header" Target="header84.xml" /><Relationship Id="rId415" Type="http://schemas.openxmlformats.org/officeDocument/2006/relationships/footer" Target="footer84.xml" /><Relationship Id="rId416" Type="http://schemas.openxmlformats.org/officeDocument/2006/relationships/hyperlink" Target="https://advance.lexis.com/api/document?collection=cases-ca&amp;id=urn:contentItem:5F7T-S7G1-F5KY-B1KJ-00000-00&amp;context=" TargetMode="External" /><Relationship Id="rId417" Type="http://schemas.openxmlformats.org/officeDocument/2006/relationships/hyperlink" Target="https://advance.lexis.com/api/document?collection=cases-ca&amp;id=urn:contentItem:5F7T-S7F1-DXWW-24FT-00000-00&amp;context=" TargetMode="External" /><Relationship Id="rId418" Type="http://schemas.openxmlformats.org/officeDocument/2006/relationships/hyperlink" Target="https://advance.lexis.com/api/document?collection=cases-ca&amp;id=urn:contentItem:5F7T-S7F1-DXWW-244B-00000-00&amp;context=" TargetMode="External" /><Relationship Id="rId419" Type="http://schemas.openxmlformats.org/officeDocument/2006/relationships/header" Target="header85.xml" /><Relationship Id="rId42" Type="http://schemas.openxmlformats.org/officeDocument/2006/relationships/hyperlink" Target="https://advance.lexis.com/api/document?collection=cases-ca&amp;id=urn:contentItem:5F7T-S7D1-JXG3-X121-00000-00&amp;context=" TargetMode="External" /><Relationship Id="rId420" Type="http://schemas.openxmlformats.org/officeDocument/2006/relationships/header" Target="header86.xml" /><Relationship Id="rId421" Type="http://schemas.openxmlformats.org/officeDocument/2006/relationships/footer" Target="footer85.xml" /><Relationship Id="rId422" Type="http://schemas.openxmlformats.org/officeDocument/2006/relationships/footer" Target="footer86.xml" /><Relationship Id="rId423" Type="http://schemas.openxmlformats.org/officeDocument/2006/relationships/header" Target="header87.xml" /><Relationship Id="rId424" Type="http://schemas.openxmlformats.org/officeDocument/2006/relationships/footer" Target="footer87.xml" /><Relationship Id="rId425" Type="http://schemas.openxmlformats.org/officeDocument/2006/relationships/hyperlink" Target="https://advance.lexis.com/api/document?collection=cases-ca&amp;id=urn:contentItem:5F7T-S771-JTGH-B16J-00000-00&amp;context=" TargetMode="External" /><Relationship Id="rId426" Type="http://schemas.openxmlformats.org/officeDocument/2006/relationships/header" Target="header88.xml" /><Relationship Id="rId427" Type="http://schemas.openxmlformats.org/officeDocument/2006/relationships/header" Target="header89.xml" /><Relationship Id="rId428" Type="http://schemas.openxmlformats.org/officeDocument/2006/relationships/footer" Target="footer88.xml" /><Relationship Id="rId429" Type="http://schemas.openxmlformats.org/officeDocument/2006/relationships/footer" Target="footer89.xml" /><Relationship Id="rId43" Type="http://schemas.openxmlformats.org/officeDocument/2006/relationships/hyperlink" Target="https://advance.lexis.com/api/document?collection=cases-ca&amp;id=urn:contentItem:5F81-VJS1-JBDT-B3DB-00000-00&amp;context=" TargetMode="External" /><Relationship Id="rId430" Type="http://schemas.openxmlformats.org/officeDocument/2006/relationships/header" Target="header90.xml" /><Relationship Id="rId431" Type="http://schemas.openxmlformats.org/officeDocument/2006/relationships/footer" Target="footer90.xml" /><Relationship Id="rId432" Type="http://schemas.openxmlformats.org/officeDocument/2006/relationships/hyperlink" Target="https://advance.lexis.com/api/document?collection=cases-ca&amp;id=urn:contentItem:5F7T-S7K1-JWXF-213P-00000-00&amp;context=" TargetMode="External" /><Relationship Id="rId433" Type="http://schemas.openxmlformats.org/officeDocument/2006/relationships/header" Target="header91.xml" /><Relationship Id="rId434" Type="http://schemas.openxmlformats.org/officeDocument/2006/relationships/header" Target="header92.xml" /><Relationship Id="rId435" Type="http://schemas.openxmlformats.org/officeDocument/2006/relationships/footer" Target="footer91.xml" /><Relationship Id="rId436" Type="http://schemas.openxmlformats.org/officeDocument/2006/relationships/footer" Target="footer92.xml" /><Relationship Id="rId437" Type="http://schemas.openxmlformats.org/officeDocument/2006/relationships/header" Target="header93.xml" /><Relationship Id="rId438" Type="http://schemas.openxmlformats.org/officeDocument/2006/relationships/footer" Target="footer93.xml" /><Relationship Id="rId439" Type="http://schemas.openxmlformats.org/officeDocument/2006/relationships/hyperlink" Target="https://advance.lexis.com/api/document?collection=cases-ca&amp;id=urn:contentItem:5F7T-S7C1-JS0R-22FS-00000-00&amp;context=" TargetMode="External" /><Relationship Id="rId44" Type="http://schemas.openxmlformats.org/officeDocument/2006/relationships/hyperlink" Target="https://advance.lexis.com/api/document?collection=cases-ca&amp;id=urn:contentItem:5F81-VJV1-F60C-X3DP-00000-00&amp;context=" TargetMode="External" /><Relationship Id="rId440" Type="http://schemas.openxmlformats.org/officeDocument/2006/relationships/hyperlink" Target="https://advance.lexis.com/api/document?collection=cases-ca&amp;id=urn:contentItem:5F7T-S761-JX8W-M2W3-00000-00&amp;context=" TargetMode="External" /><Relationship Id="rId441" Type="http://schemas.openxmlformats.org/officeDocument/2006/relationships/hyperlink" Target="https://advance.lexis.com/api/document?collection=cases-ca&amp;id=urn:contentItem:5F7T-S761-F81W-21SY-00000-00&amp;context=" TargetMode="External" /><Relationship Id="rId442" Type="http://schemas.openxmlformats.org/officeDocument/2006/relationships/hyperlink" Target="https://advance.lexis.com/api/document?collection=cases-ca&amp;id=urn:contentItem:5F8N-K731-F361-M0WK-00000-00&amp;context=" TargetMode="External" /><Relationship Id="rId443" Type="http://schemas.openxmlformats.org/officeDocument/2006/relationships/hyperlink" Target="https://advance.lexis.com/api/document?collection=cases-ca&amp;id=urn:contentItem:5F81-VJV1-JSC5-M1FF-00000-00&amp;context=" TargetMode="External" /><Relationship Id="rId444" Type="http://schemas.openxmlformats.org/officeDocument/2006/relationships/hyperlink" Target="https://advance.lexis.com/api/document?collection=cases-ca&amp;id=urn:contentItem:5F16-9321-FC6N-X251-00000-00&amp;context=" TargetMode="External" /><Relationship Id="rId445" Type="http://schemas.openxmlformats.org/officeDocument/2006/relationships/header" Target="header94.xml" /><Relationship Id="rId446" Type="http://schemas.openxmlformats.org/officeDocument/2006/relationships/header" Target="header95.xml" /><Relationship Id="rId447" Type="http://schemas.openxmlformats.org/officeDocument/2006/relationships/footer" Target="footer94.xml" /><Relationship Id="rId448" Type="http://schemas.openxmlformats.org/officeDocument/2006/relationships/footer" Target="footer95.xml" /><Relationship Id="rId449" Type="http://schemas.openxmlformats.org/officeDocument/2006/relationships/header" Target="header96.xml" /><Relationship Id="rId45" Type="http://schemas.openxmlformats.org/officeDocument/2006/relationships/hyperlink" Target="https://advance.lexis.com/api/document?collection=cases-ca&amp;id=urn:contentItem:5F8T-N3V1-JF75-M39V-00000-00&amp;context=" TargetMode="External" /><Relationship Id="rId450" Type="http://schemas.openxmlformats.org/officeDocument/2006/relationships/footer" Target="footer96.xml" /><Relationship Id="rId451" Type="http://schemas.openxmlformats.org/officeDocument/2006/relationships/hyperlink" Target="https://advance.lexis.com/api/document?collection=cases-ca&amp;id=urn:contentItem:5F7T-S771-JN14-G28K-00000-00&amp;context=" TargetMode="External" /><Relationship Id="rId452" Type="http://schemas.openxmlformats.org/officeDocument/2006/relationships/hyperlink" Target="https://advance.lexis.com/api/document?collection=cases-ca&amp;id=urn:contentItem:5F81-VJS1-JNY7-X2YW-00000-00&amp;context=" TargetMode="External" /><Relationship Id="rId453" Type="http://schemas.openxmlformats.org/officeDocument/2006/relationships/hyperlink" Target="https://advance.lexis.com/api/document?collection=cases-ca&amp;id=urn:contentItem:5F7T-S741-F1H1-21CC-00000-00&amp;context=" TargetMode="External" /><Relationship Id="rId454" Type="http://schemas.openxmlformats.org/officeDocument/2006/relationships/hyperlink" Target="https://advance.lexis.com/api/document?collection=cases-ca&amp;id=urn:contentItem:5F7T-S6R1-JW09-M0HX-00000-00&amp;context=" TargetMode="External" /><Relationship Id="rId455" Type="http://schemas.openxmlformats.org/officeDocument/2006/relationships/header" Target="header97.xml" /><Relationship Id="rId456" Type="http://schemas.openxmlformats.org/officeDocument/2006/relationships/header" Target="header98.xml" /><Relationship Id="rId457" Type="http://schemas.openxmlformats.org/officeDocument/2006/relationships/footer" Target="footer97.xml" /><Relationship Id="rId458" Type="http://schemas.openxmlformats.org/officeDocument/2006/relationships/footer" Target="footer98.xml" /><Relationship Id="rId459" Type="http://schemas.openxmlformats.org/officeDocument/2006/relationships/header" Target="header99.xml" /><Relationship Id="rId46" Type="http://schemas.openxmlformats.org/officeDocument/2006/relationships/hyperlink" Target="https://advance.lexis.com/api/document?collection=cases-ca&amp;id=urn:contentItem:5F7T-S701-JJYN-B2CY-00000-00&amp;context=" TargetMode="External" /><Relationship Id="rId460" Type="http://schemas.openxmlformats.org/officeDocument/2006/relationships/footer" Target="footer99.xml" /><Relationship Id="rId461" Type="http://schemas.openxmlformats.org/officeDocument/2006/relationships/hyperlink" Target="https://advance.lexis.com/api/document?collection=cases-ca&amp;id=urn:contentItem:5F7T-S7N1-DXWW-20HK-00000-00&amp;context=" TargetMode="External" /><Relationship Id="rId462" Type="http://schemas.openxmlformats.org/officeDocument/2006/relationships/hyperlink" Target="https://advance.lexis.com/api/document?collection=cases-ca&amp;id=urn:contentItem:5K6Y-81N1-JFDC-X1H4-00000-00&amp;context=" TargetMode="External" /><Relationship Id="rId463" Type="http://schemas.openxmlformats.org/officeDocument/2006/relationships/hyperlink" Target="https://advance.lexis.com/api/document?collection=legislation-ca&amp;id=urn:contentItem:5F41-1FH1-JSRM-60FV-00000-00&amp;context=" TargetMode="External" /><Relationship Id="rId464" Type="http://schemas.openxmlformats.org/officeDocument/2006/relationships/hyperlink" Target="https://advance.lexis.com/api/document?collection=cases-ca&amp;id=urn:contentItem:5F8T-N3R1-JNS1-M122-00000-00&amp;context=" TargetMode="External" /><Relationship Id="rId465" Type="http://schemas.openxmlformats.org/officeDocument/2006/relationships/hyperlink" Target="https://advance.lexis.com/api/document?collection=cases-ca&amp;id=urn:contentItem:5F7T-S7K1-JWXF-20V6-00000-00&amp;context=" TargetMode="External" /><Relationship Id="rId466" Type="http://schemas.openxmlformats.org/officeDocument/2006/relationships/header" Target="header100.xml" /><Relationship Id="rId467" Type="http://schemas.openxmlformats.org/officeDocument/2006/relationships/header" Target="header101.xml" /><Relationship Id="rId468" Type="http://schemas.openxmlformats.org/officeDocument/2006/relationships/footer" Target="footer100.xml" /><Relationship Id="rId469" Type="http://schemas.openxmlformats.org/officeDocument/2006/relationships/footer" Target="footer101.xml" /><Relationship Id="rId47" Type="http://schemas.openxmlformats.org/officeDocument/2006/relationships/hyperlink" Target="https://advance.lexis.com/api/document?collection=cases-ca&amp;id=urn:contentItem:5F7T-S731-JC0G-63HG-00000-00&amp;context=" TargetMode="External" /><Relationship Id="rId470" Type="http://schemas.openxmlformats.org/officeDocument/2006/relationships/header" Target="header102.xml" /><Relationship Id="rId471" Type="http://schemas.openxmlformats.org/officeDocument/2006/relationships/footer" Target="footer102.xml" /><Relationship Id="rId472" Type="http://schemas.openxmlformats.org/officeDocument/2006/relationships/hyperlink" Target="https://advance.lexis.com/api/document?collection=cases-ca&amp;id=urn:contentItem:5F7T-S771-JJD0-G116-00000-00&amp;context=" TargetMode="External" /><Relationship Id="rId473" Type="http://schemas.openxmlformats.org/officeDocument/2006/relationships/hyperlink" Target="https://advance.lexis.com/api/document?collection=cases-ca&amp;id=urn:contentItem:5F7T-S6T1-FJTD-G1P2-00000-00&amp;context=" TargetMode="External" /><Relationship Id="rId474" Type="http://schemas.openxmlformats.org/officeDocument/2006/relationships/header" Target="header103.xml" /><Relationship Id="rId475" Type="http://schemas.openxmlformats.org/officeDocument/2006/relationships/header" Target="header104.xml" /><Relationship Id="rId476" Type="http://schemas.openxmlformats.org/officeDocument/2006/relationships/footer" Target="footer103.xml" /><Relationship Id="rId477" Type="http://schemas.openxmlformats.org/officeDocument/2006/relationships/footer" Target="footer104.xml" /><Relationship Id="rId478" Type="http://schemas.openxmlformats.org/officeDocument/2006/relationships/header" Target="header105.xml" /><Relationship Id="rId479" Type="http://schemas.openxmlformats.org/officeDocument/2006/relationships/footer" Target="footer105.xml" /><Relationship Id="rId48" Type="http://schemas.openxmlformats.org/officeDocument/2006/relationships/header" Target="header10.xml" /><Relationship Id="rId480" Type="http://schemas.openxmlformats.org/officeDocument/2006/relationships/hyperlink" Target="https://advance.lexis.com/api/document?collection=cases-ca&amp;id=urn:contentItem:5SSK-D2K1-JNS1-M1KD-00000-00&amp;context=" TargetMode="External" /><Relationship Id="rId481" Type="http://schemas.openxmlformats.org/officeDocument/2006/relationships/hyperlink" Target="https://advance.lexis.com/api/document?collection=cases-ca&amp;id=urn:contentItem:5V09-2B61-K054-G0J4-00000-00&amp;context=" TargetMode="External" /><Relationship Id="rId482" Type="http://schemas.openxmlformats.org/officeDocument/2006/relationships/hyperlink" Target="https://advance.lexis.com/api/document?collection=cases-ca&amp;id=urn:contentItem:5F7T-S761-F81W-21RK-00000-00&amp;context=" TargetMode="External" /><Relationship Id="rId483" Type="http://schemas.openxmlformats.org/officeDocument/2006/relationships/hyperlink" Target="https://advance.lexis.com/api/document?collection=cases-ca&amp;id=urn:contentItem:5F7T-S7D1-FBFS-S1M7-00000-00&amp;context=" TargetMode="External" /><Relationship Id="rId484" Type="http://schemas.openxmlformats.org/officeDocument/2006/relationships/hyperlink" Target="https://advance.lexis.com/api/document?collection=cases-ca&amp;id=urn:contentItem:5F7T-S7D1-JN6B-S131-00000-00&amp;context=" TargetMode="External" /><Relationship Id="rId485" Type="http://schemas.openxmlformats.org/officeDocument/2006/relationships/hyperlink" Target="https://advance.lexis.com/api/document?collection=cases-ca&amp;id=urn:contentItem:5F7T-S7K1-JWXF-2101-00000-00&amp;context=" TargetMode="External" /><Relationship Id="rId486" Type="http://schemas.openxmlformats.org/officeDocument/2006/relationships/hyperlink" Target="https://advance.lexis.com/api/document?collection=cases-ca&amp;id=urn:contentItem:5S18-5CC1-JJ1H-X01T-00000-00&amp;context=" TargetMode="External" /><Relationship Id="rId487" Type="http://schemas.openxmlformats.org/officeDocument/2006/relationships/hyperlink" Target="https://advance.lexis.com/api/document?collection=cases-ca&amp;id=urn:contentItem:5R32-47Y1-F2TK-220D-00000-00&amp;context=" TargetMode="External" /><Relationship Id="rId488" Type="http://schemas.openxmlformats.org/officeDocument/2006/relationships/hyperlink" Target="https://advance.lexis.com/api/document?collection=cases-ca&amp;id=urn:contentItem:5F7T-S7M1-DYMS-629X-00000-00&amp;context=" TargetMode="External" /><Relationship Id="rId489" Type="http://schemas.openxmlformats.org/officeDocument/2006/relationships/hyperlink" Target="https://advance.lexis.com/api/document?collection=cases-ca&amp;id=urn:contentItem:5F7T-S7K1-JSJC-X168-00000-00&amp;context=" TargetMode="External" /><Relationship Id="rId49" Type="http://schemas.openxmlformats.org/officeDocument/2006/relationships/header" Target="header11.xml" /><Relationship Id="rId490" Type="http://schemas.openxmlformats.org/officeDocument/2006/relationships/hyperlink" Target="https://advance.lexis.com/api/document?collection=cases-ca&amp;id=urn:contentItem:5F7T-S771-JN14-G2PR-00000-00&amp;context=" TargetMode="External" /><Relationship Id="rId491" Type="http://schemas.openxmlformats.org/officeDocument/2006/relationships/hyperlink" Target="https://advance.lexis.com/api/document?collection=cases-ca&amp;id=urn:contentItem:5F7T-S7K1-DY33-B1K8-00000-00&amp;context=" TargetMode="External" /><Relationship Id="rId492" Type="http://schemas.openxmlformats.org/officeDocument/2006/relationships/hyperlink" Target="https://advance.lexis.com/api/document?collection=cases-ca&amp;id=urn:contentItem:5F7T-S731-F1WF-M2HD-00000-00&amp;context=" TargetMode="External" /><Relationship Id="rId493" Type="http://schemas.openxmlformats.org/officeDocument/2006/relationships/hyperlink" Target="https://advance.lexis.com/api/document?collection=cases-ca&amp;id=urn:contentItem:5F7T-S731-F016-S3C6-00000-00&amp;context=" TargetMode="External" /><Relationship Id="rId494" Type="http://schemas.openxmlformats.org/officeDocument/2006/relationships/hyperlink" Target="https://advance.lexis.com/api/document?collection=cases-ca&amp;id=urn:contentItem:5F7T-S6W1-JYYX-61TX-00000-00&amp;context=" TargetMode="External" /><Relationship Id="rId495" Type="http://schemas.openxmlformats.org/officeDocument/2006/relationships/hyperlink" Target="https://advance.lexis.com/api/document?collection=cases-ca&amp;id=urn:contentItem:5F7T-S7M1-JCRC-B1SF-00000-00&amp;context=" TargetMode="External" /><Relationship Id="rId496" Type="http://schemas.openxmlformats.org/officeDocument/2006/relationships/hyperlink" Target="https://advance.lexis.com/api/document?collection=cases-ca&amp;id=urn:contentItem:5F8N-K6X1-JS5Y-B294-00000-00&amp;context=" TargetMode="External" /><Relationship Id="rId497" Type="http://schemas.openxmlformats.org/officeDocument/2006/relationships/hyperlink" Target="https://advance.lexis.com/api/document?collection=cases-ca&amp;id=urn:contentItem:5RTY-1871-JCBX-S0TB-00000-00&amp;context=" TargetMode="External" /><Relationship Id="rId498" Type="http://schemas.openxmlformats.org/officeDocument/2006/relationships/hyperlink" Target="https://advance.lexis.com/api/document?collection=cases-ca&amp;id=urn:contentItem:5F7T-S731-F60C-X11W-00000-00&amp;context=" TargetMode="External" /><Relationship Id="rId499" Type="http://schemas.openxmlformats.org/officeDocument/2006/relationships/hyperlink" Target="https://advance.lexis.com/api/document?collection=cases-ca&amp;id=urn:contentItem:5MJ7-NBJ1-F1WF-M26W-00000-00&amp;context=" TargetMode="External" /><Relationship Id="rId5" Type="http://schemas.openxmlformats.org/officeDocument/2006/relationships/header" Target="header2.xml" /><Relationship Id="rId50" Type="http://schemas.openxmlformats.org/officeDocument/2006/relationships/footer" Target="footer10.xml" /><Relationship Id="rId500" Type="http://schemas.openxmlformats.org/officeDocument/2006/relationships/hyperlink" Target="https://advance.lexis.com/api/document?collection=cases-ca&amp;id=urn:contentItem:5F7T-S7J1-DXWW-24R0-00000-00&amp;context=" TargetMode="External" /><Relationship Id="rId501" Type="http://schemas.openxmlformats.org/officeDocument/2006/relationships/hyperlink" Target="https://advance.lexis.com/api/document?collection=cases-ca&amp;id=urn:contentItem:5F7T-S7H1-FCSB-S3RY-00000-00&amp;context=" TargetMode="External" /><Relationship Id="rId502" Type="http://schemas.openxmlformats.org/officeDocument/2006/relationships/hyperlink" Target="https://advance.lexis.com/api/document?collection=cases-ca&amp;id=urn:contentItem:5F8T-N3V1-FC1F-M4BC-00000-00&amp;context=" TargetMode="External" /><Relationship Id="rId503" Type="http://schemas.openxmlformats.org/officeDocument/2006/relationships/hyperlink" Target="https://advance.lexis.com/api/document?collection=cases-ca&amp;id=urn:contentItem:5F7T-S7B1-FH4C-X381-00000-00&amp;context=" TargetMode="External" /><Relationship Id="rId504" Type="http://schemas.openxmlformats.org/officeDocument/2006/relationships/hyperlink" Target="https://advance.lexis.com/api/document?collection=cases-ca&amp;id=urn:contentItem:5F7T-S7M1-F4W2-626S-00000-00&amp;context=" TargetMode="External" /><Relationship Id="rId505" Type="http://schemas.openxmlformats.org/officeDocument/2006/relationships/hyperlink" Target="https://advance.lexis.com/api/document?collection=cases-ca&amp;id=urn:contentItem:5F8T-N3T1-JJSF-2361-00000-00&amp;context=" TargetMode="External" /><Relationship Id="rId506" Type="http://schemas.openxmlformats.org/officeDocument/2006/relationships/header" Target="header106.xml" /><Relationship Id="rId507" Type="http://schemas.openxmlformats.org/officeDocument/2006/relationships/header" Target="header107.xml" /><Relationship Id="rId508" Type="http://schemas.openxmlformats.org/officeDocument/2006/relationships/footer" Target="footer106.xml" /><Relationship Id="rId509" Type="http://schemas.openxmlformats.org/officeDocument/2006/relationships/footer" Target="footer107.xml" /><Relationship Id="rId51" Type="http://schemas.openxmlformats.org/officeDocument/2006/relationships/footer" Target="footer11.xml" /><Relationship Id="rId510" Type="http://schemas.openxmlformats.org/officeDocument/2006/relationships/header" Target="header108.xml" /><Relationship Id="rId511" Type="http://schemas.openxmlformats.org/officeDocument/2006/relationships/footer" Target="footer108.xml" /><Relationship Id="rId512" Type="http://schemas.openxmlformats.org/officeDocument/2006/relationships/hyperlink" Target="https://advance.lexis.com/api/document?collection=cases-ca&amp;id=urn:contentItem:5F7T-S7N1-F06F-24DG-00000-00&amp;context=" TargetMode="External" /><Relationship Id="rId513" Type="http://schemas.openxmlformats.org/officeDocument/2006/relationships/hyperlink" Target="https://advance.lexis.com/api/document?collection=legislation-ca&amp;id=urn:contentItem:5F41-1FK1-F2TK-214D-00000-00&amp;context=" TargetMode="External" /><Relationship Id="rId514" Type="http://schemas.openxmlformats.org/officeDocument/2006/relationships/hyperlink" Target="https://advance.lexis.com/api/document?collection=legislation-ca&amp;id=urn:contentItem:5F41-1FK1-JGBH-B10R-00000-00&amp;context=" TargetMode="External" /><Relationship Id="rId515" Type="http://schemas.openxmlformats.org/officeDocument/2006/relationships/hyperlink" Target="https://advance.lexis.com/api/document?collection=cases-ca&amp;id=urn:contentItem:5F7T-S7J1-FGCG-S06X-00000-00&amp;context=" TargetMode="External" /><Relationship Id="rId516" Type="http://schemas.openxmlformats.org/officeDocument/2006/relationships/hyperlink" Target="https://advance.lexis.com/api/document?collection=cases-ca&amp;id=urn:contentItem:5F7T-S7K1-F1H1-2247-00000-00&amp;context=" TargetMode="External" /><Relationship Id="rId517" Type="http://schemas.openxmlformats.org/officeDocument/2006/relationships/hyperlink" Target="https://advance.lexis.com/api/document?collection=cases-ca&amp;id=urn:contentItem:5F7T-S7F1-JBT7-X2R8-00000-00&amp;context=" TargetMode="External" /><Relationship Id="rId518" Type="http://schemas.openxmlformats.org/officeDocument/2006/relationships/hyperlink" Target="https://advance.lexis.com/api/document?collection=cases-ca&amp;id=urn:contentItem:5F7T-S7H1-JS5Y-B31F-00000-00&amp;context=" TargetMode="External" /><Relationship Id="rId519" Type="http://schemas.openxmlformats.org/officeDocument/2006/relationships/hyperlink" Target="https://advance.lexis.com/api/document?collection=legislation-ca&amp;id=urn:contentItem:5F41-1FK1-JT99-20KJ-00000-00&amp;context=" TargetMode="External" /><Relationship Id="rId52" Type="http://schemas.openxmlformats.org/officeDocument/2006/relationships/header" Target="header12.xml" /><Relationship Id="rId520" Type="http://schemas.openxmlformats.org/officeDocument/2006/relationships/hyperlink" Target="https://advance.lexis.com/api/document?collection=cases-ca&amp;id=urn:contentItem:5F7T-S7H1-JFSV-G2W7-00000-00&amp;context=" TargetMode="External" /><Relationship Id="rId521" Type="http://schemas.openxmlformats.org/officeDocument/2006/relationships/hyperlink" Target="https://advance.lexis.com/api/document?collection=cases-ca&amp;id=urn:contentItem:5F8T-N3V1-FC1F-M4BD-00000-00&amp;context=" TargetMode="External" /><Relationship Id="rId522" Type="http://schemas.openxmlformats.org/officeDocument/2006/relationships/hyperlink" Target="https://advance.lexis.com/api/document?collection=cases-ca&amp;id=urn:contentItem:5F7T-S7K1-F1H1-227W-00000-00&amp;context=" TargetMode="External" /><Relationship Id="rId523" Type="http://schemas.openxmlformats.org/officeDocument/2006/relationships/hyperlink" Target="https://advance.lexis.com/api/document?collection=cases-ca&amp;id=urn:contentItem:5F7T-S7M1-JJK6-S24V-00000-00&amp;context=" TargetMode="External" /><Relationship Id="rId524" Type="http://schemas.openxmlformats.org/officeDocument/2006/relationships/hyperlink" Target="https://advance.lexis.com/api/document?collection=cases-ca&amp;id=urn:contentItem:5F82-1SJ1-JBDT-B4H6-00000-00&amp;context=" TargetMode="External" /><Relationship Id="rId525" Type="http://schemas.openxmlformats.org/officeDocument/2006/relationships/hyperlink" Target="https://advance.lexis.com/api/document?collection=cases-ca&amp;id=urn:contentItem:5F8T-N3V1-FH4C-X1WR-00000-00&amp;context=" TargetMode="External" /><Relationship Id="rId526" Type="http://schemas.openxmlformats.org/officeDocument/2006/relationships/hyperlink" Target="https://advance.lexis.com/api/document?collection=cases-ca&amp;id=urn:contentItem:5F8T-N3V1-FC1F-M48G-00000-00&amp;context=" TargetMode="External" /><Relationship Id="rId527" Type="http://schemas.openxmlformats.org/officeDocument/2006/relationships/hyperlink" Target="https://advance.lexis.com/api/document?collection=cases-ca&amp;id=urn:contentItem:5F7T-S7H1-F4GK-M2X8-00000-00&amp;context=" TargetMode="External" /><Relationship Id="rId528" Type="http://schemas.openxmlformats.org/officeDocument/2006/relationships/hyperlink" Target="https://advance.lexis.com/api/document?collection=cases-ca&amp;id=urn:contentItem:5F8T-N3T1-JFKM-6520-00000-00&amp;context=" TargetMode="External" /><Relationship Id="rId529" Type="http://schemas.openxmlformats.org/officeDocument/2006/relationships/hyperlink" Target="https://advance.lexis.com/api/document?collection=cases-ca&amp;id=urn:contentItem:5F7T-S711-JNY7-X324-00000-00&amp;context=" TargetMode="External" /><Relationship Id="rId53" Type="http://schemas.openxmlformats.org/officeDocument/2006/relationships/footer" Target="footer12.xml" /><Relationship Id="rId530" Type="http://schemas.openxmlformats.org/officeDocument/2006/relationships/hyperlink" Target="https://advance.lexis.com/api/document?collection=cases-ca&amp;id=urn:contentItem:5F7T-S6X1-JTNR-M44H-00000-00&amp;context=" TargetMode="External" /><Relationship Id="rId531" Type="http://schemas.openxmlformats.org/officeDocument/2006/relationships/hyperlink" Target="https://advance.lexis.com/api/document?collection=cases-ca&amp;id=urn:contentItem:5F7T-S701-JF75-M47B-00000-00&amp;context=" TargetMode="External" /><Relationship Id="rId532" Type="http://schemas.openxmlformats.org/officeDocument/2006/relationships/hyperlink" Target="https://advance.lexis.com/api/document?collection=cases-ca&amp;id=urn:contentItem:5F7T-S7C1-JS0R-2268-00000-00&amp;context=" TargetMode="External" /><Relationship Id="rId533" Type="http://schemas.openxmlformats.org/officeDocument/2006/relationships/hyperlink" Target="https://advance.lexis.com/api/document?collection=cases-ca&amp;id=urn:contentItem:5F7T-S7F1-JX3N-B1B3-00000-00&amp;context=" TargetMode="External" /><Relationship Id="rId534" Type="http://schemas.openxmlformats.org/officeDocument/2006/relationships/hyperlink" Target="https://advance.lexis.com/api/document?collection=cases-ca&amp;id=urn:contentItem:5F7T-S7G1-JBT7-X3YJ-00000-00&amp;context=" TargetMode="External" /><Relationship Id="rId535" Type="http://schemas.openxmlformats.org/officeDocument/2006/relationships/hyperlink" Target="https://advance.lexis.com/api/document?collection=cases-ca&amp;id=urn:contentItem:5F8P-SDW1-F57G-S194-00000-00&amp;context=" TargetMode="External" /><Relationship Id="rId536" Type="http://schemas.openxmlformats.org/officeDocument/2006/relationships/hyperlink" Target="https://advance.lexis.com/api/document?collection=cases-ca&amp;id=urn:contentItem:5F8P-SF51-F5KY-B4W0-00000-00&amp;context=" TargetMode="External" /><Relationship Id="rId537" Type="http://schemas.openxmlformats.org/officeDocument/2006/relationships/hyperlink" Target="https://advance.lexis.com/api/document?collection=cases-ca&amp;id=urn:contentItem:5F8W-W651-JJ6S-62DK-00000-00&amp;context=" TargetMode="External" /><Relationship Id="rId538" Type="http://schemas.openxmlformats.org/officeDocument/2006/relationships/hyperlink" Target="https://advance.lexis.com/api/document?collection=cases-ca&amp;id=urn:contentItem:5F8T-N3T1-JGHR-M220-00000-00&amp;context=" TargetMode="External" /><Relationship Id="rId539" Type="http://schemas.openxmlformats.org/officeDocument/2006/relationships/hyperlink" Target="https://advance.lexis.com/api/document?collection=cases-ca&amp;id=urn:contentItem:5F8T-N3V1-JTGH-B1CN-00000-00&amp;context=" TargetMode="External" /><Relationship Id="rId54" Type="http://schemas.openxmlformats.org/officeDocument/2006/relationships/hyperlink" Target="https://advance.lexis.com/api/document?collection=cases-ca&amp;id=urn:contentItem:5F7T-S7C1-JCJ5-20KG-00000-00&amp;context=" TargetMode="External" /><Relationship Id="rId540" Type="http://schemas.openxmlformats.org/officeDocument/2006/relationships/hyperlink" Target="https://advance.lexis.com/api/document?collection=cases-ca&amp;id=urn:contentItem:5F8T-N3V1-FH4C-X1VX-00000-00&amp;context=" TargetMode="External" /><Relationship Id="rId541" Type="http://schemas.openxmlformats.org/officeDocument/2006/relationships/hyperlink" Target="https://advance.lexis.com/api/document?collection=cases-ca&amp;id=urn:contentItem:5F8T-N3T1-JGHR-M29X-00000-00&amp;context=" TargetMode="External" /><Relationship Id="rId542" Type="http://schemas.openxmlformats.org/officeDocument/2006/relationships/hyperlink" Target="https://advance.lexis.com/api/document?collection=cases-ca&amp;id=urn:contentItem:5F8T-N3V1-JF75-M3BC-00000-00&amp;context=" TargetMode="External" /><Relationship Id="rId543" Type="http://schemas.openxmlformats.org/officeDocument/2006/relationships/hyperlink" Target="https://advance.lexis.com/api/document?collection=cases-ca&amp;id=urn:contentItem:5F8T-N3V1-JTGH-B111-00000-00&amp;context=" TargetMode="External" /><Relationship Id="rId544" Type="http://schemas.openxmlformats.org/officeDocument/2006/relationships/hyperlink" Target="https://advance.lexis.com/api/document?collection=cases-ca&amp;id=urn:contentItem:5F7T-S7B1-FH4C-X3V5-00000-00&amp;context=" TargetMode="External" /><Relationship Id="rId545" Type="http://schemas.openxmlformats.org/officeDocument/2006/relationships/hyperlink" Target="https://advance.lexis.com/api/document?collection=cases-ca&amp;id=urn:contentItem:5F7T-S7F1-DXWW-24DB-00000-00&amp;context=" TargetMode="External" /><Relationship Id="rId546" Type="http://schemas.openxmlformats.org/officeDocument/2006/relationships/hyperlink" Target="https://advance.lexis.com/api/document?collection=cases-ca&amp;id=urn:contentItem:5F7T-S761-F7ND-G48N-00000-00&amp;context=" TargetMode="External" /><Relationship Id="rId547" Type="http://schemas.openxmlformats.org/officeDocument/2006/relationships/hyperlink" Target="https://advance.lexis.com/api/document?collection=cases-ca&amp;id=urn:contentItem:5F7T-S711-F4W2-61D8-00000-00&amp;context=" TargetMode="External" /><Relationship Id="rId548" Type="http://schemas.openxmlformats.org/officeDocument/2006/relationships/hyperlink" Target="https://advance.lexis.com/api/document?collection=cases-ca&amp;id=urn:contentItem:5F8T-N3V1-FC1F-M3Y6-00000-00&amp;context=" TargetMode="External" /><Relationship Id="rId549" Type="http://schemas.openxmlformats.org/officeDocument/2006/relationships/hyperlink" Target="https://advance.lexis.com/api/document?collection=cases-ca&amp;id=urn:contentItem:5F7T-S7K1-F1H1-22F0-00000-00&amp;context=" TargetMode="External" /><Relationship Id="rId55" Type="http://schemas.openxmlformats.org/officeDocument/2006/relationships/header" Target="header13.xml" /><Relationship Id="rId550" Type="http://schemas.openxmlformats.org/officeDocument/2006/relationships/hyperlink" Target="https://advance.lexis.com/api/document?collection=cases-ca&amp;id=urn:contentItem:5F82-1SJ1-DYMS-63HD-00000-00&amp;context=" TargetMode="External" /><Relationship Id="rId551" Type="http://schemas.openxmlformats.org/officeDocument/2006/relationships/hyperlink" Target="https://advance.lexis.com/api/document?collection=cases-ca&amp;id=urn:contentItem:5F8T-N3V1-JTGH-B1CS-00000-00&amp;context=" TargetMode="External" /><Relationship Id="rId552" Type="http://schemas.openxmlformats.org/officeDocument/2006/relationships/hyperlink" Target="https://advance.lexis.com/api/document?collection=cases-ca&amp;id=urn:contentItem:5F8T-N3V1-JTGH-B0YP-00000-00&amp;context=" TargetMode="External" /><Relationship Id="rId553" Type="http://schemas.openxmlformats.org/officeDocument/2006/relationships/hyperlink" Target="https://advance.lexis.com/api/document?collection=cases-ca&amp;id=urn:contentItem:5F7T-S7M1-JNCK-22GB-00000-00&amp;context=" TargetMode="External" /><Relationship Id="rId554" Type="http://schemas.openxmlformats.org/officeDocument/2006/relationships/hyperlink" Target="https://advance.lexis.com/api/document?collection=cases-ca&amp;id=urn:contentItem:5F8T-N3V1-FH4C-X1VY-00000-00&amp;context=" TargetMode="External" /><Relationship Id="rId555" Type="http://schemas.openxmlformats.org/officeDocument/2006/relationships/hyperlink" Target="https://advance.lexis.com/api/document?collection=cases-ca&amp;id=urn:contentItem:5F8T-N3V1-FH4C-X1W2-00000-00&amp;context=" TargetMode="External" /><Relationship Id="rId556" Type="http://schemas.openxmlformats.org/officeDocument/2006/relationships/hyperlink" Target="https://advance.lexis.com/api/document?collection=cases-ca&amp;id=urn:contentItem:5F7T-S7H1-JS5Y-B32D-00000-00&amp;context=" TargetMode="External" /><Relationship Id="rId557" Type="http://schemas.openxmlformats.org/officeDocument/2006/relationships/hyperlink" Target="https://advance.lexis.com/api/document?collection=cases-ca&amp;id=urn:contentItem:5F7T-S7G1-FCYK-2073-00000-00&amp;context=" TargetMode="External" /><Relationship Id="rId558" Type="http://schemas.openxmlformats.org/officeDocument/2006/relationships/hyperlink" Target="https://advance.lexis.com/api/document?collection=cases-ca&amp;id=urn:contentItem:5F7T-S7J1-JGBH-B23M-00000-00&amp;context=" TargetMode="External" /><Relationship Id="rId559" Type="http://schemas.openxmlformats.org/officeDocument/2006/relationships/hyperlink" Target="https://advance.lexis.com/api/document?collection=cases-ca&amp;id=urn:contentItem:5F82-1SJ1-JCRC-B0DP-00000-00&amp;context=" TargetMode="External" /><Relationship Id="rId56" Type="http://schemas.openxmlformats.org/officeDocument/2006/relationships/header" Target="header14.xml" /><Relationship Id="rId560" Type="http://schemas.openxmlformats.org/officeDocument/2006/relationships/hyperlink" Target="https://advance.lexis.com/api/document?collection=cases-ca&amp;id=urn:contentItem:5F8T-N3V1-FC1F-M3WB-00000-00&amp;context=" TargetMode="External" /><Relationship Id="rId561" Type="http://schemas.openxmlformats.org/officeDocument/2006/relationships/hyperlink" Target="https://advance.lexis.com/api/document?collection=cases-ca&amp;id=urn:contentItem:5F7H-KW91-FGJR-20RY-00000-00&amp;context=" TargetMode="External" /><Relationship Id="rId562" Type="http://schemas.openxmlformats.org/officeDocument/2006/relationships/hyperlink" Target="https://advance.lexis.com/api/document?collection=cases-ca&amp;id=urn:contentItem:5F8T-N3V1-JTGH-B0YX-00000-00&amp;context=" TargetMode="External" /><Relationship Id="rId563" Type="http://schemas.openxmlformats.org/officeDocument/2006/relationships/hyperlink" Target="https://advance.lexis.com/api/document?collection=cases-ca&amp;id=urn:contentItem:5F8T-N3V1-FH4C-X1XK-00000-00&amp;context=" TargetMode="External" /><Relationship Id="rId564" Type="http://schemas.openxmlformats.org/officeDocument/2006/relationships/hyperlink" Target="https://advance.lexis.com/api/document?collection=cases-ca&amp;id=urn:contentItem:5F7T-S7M1-JCRC-B1TH-00000-00&amp;context=" TargetMode="External" /><Relationship Id="rId565" Type="http://schemas.openxmlformats.org/officeDocument/2006/relationships/hyperlink" Target="https://advance.lexis.com/api/document?collection=cases-ca&amp;id=urn:contentItem:5F7T-S781-JSC5-M45B-00000-00&amp;context=" TargetMode="External" /><Relationship Id="rId566" Type="http://schemas.openxmlformats.org/officeDocument/2006/relationships/hyperlink" Target="https://advance.lexis.com/api/document?collection=cases-ca&amp;id=urn:contentItem:5F8T-N3V1-JTGH-B1GJ-00000-00&amp;context=" TargetMode="External" /><Relationship Id="rId567" Type="http://schemas.openxmlformats.org/officeDocument/2006/relationships/hyperlink" Target="https://advance.lexis.com/api/document?collection=cases-ca&amp;id=urn:contentItem:5F7T-S7M1-JCRC-B1K4-00000-00&amp;context=" TargetMode="External" /><Relationship Id="rId568" Type="http://schemas.openxmlformats.org/officeDocument/2006/relationships/hyperlink" Target="https://advance.lexis.com/api/document?collection=cases-ca&amp;id=urn:contentItem:5F7H-SCP1-JFDC-X1JY-00000-00&amp;context=" TargetMode="External" /><Relationship Id="rId569" Type="http://schemas.openxmlformats.org/officeDocument/2006/relationships/hyperlink" Target="https://advance.lexis.com/api/document?collection=cases-ca&amp;id=urn:contentItem:5F8T-N3T1-JFKM-651D-00000-00&amp;context=" TargetMode="External" /><Relationship Id="rId57" Type="http://schemas.openxmlformats.org/officeDocument/2006/relationships/footer" Target="footer13.xml" /><Relationship Id="rId570" Type="http://schemas.openxmlformats.org/officeDocument/2006/relationships/hyperlink" Target="https://advance.lexis.com/api/document?collection=cases-ca&amp;id=urn:contentItem:5F8P-SD61-JWJ0-G1XR-00000-00&amp;context=" TargetMode="External" /><Relationship Id="rId571" Type="http://schemas.openxmlformats.org/officeDocument/2006/relationships/hyperlink" Target="https://advance.lexis.com/api/document?collection=cases-ca&amp;id=urn:contentItem:5F7T-S7F1-F7VM-S477-00000-00&amp;context=" TargetMode="External" /><Relationship Id="rId572" Type="http://schemas.openxmlformats.org/officeDocument/2006/relationships/hyperlink" Target="https://advance.lexis.com/api/document?collection=cases-ca&amp;id=urn:contentItem:5F8P-SCY1-JC5P-G12R-00000-00&amp;context=" TargetMode="External" /><Relationship Id="rId573" Type="http://schemas.openxmlformats.org/officeDocument/2006/relationships/hyperlink" Target="https://advance.lexis.com/api/document?collection=cases-ca&amp;id=urn:contentItem:5F7T-S7H1-F016-S3T6-00000-00&amp;context=" TargetMode="External" /><Relationship Id="rId574" Type="http://schemas.openxmlformats.org/officeDocument/2006/relationships/hyperlink" Target="https://advance.lexis.com/api/document?collection=cases-ca&amp;id=urn:contentItem:5F7T-S6W1-FBFS-S125-00000-00&amp;context=" TargetMode="External" /><Relationship Id="rId575" Type="http://schemas.openxmlformats.org/officeDocument/2006/relationships/hyperlink" Target="https://advance.lexis.com/api/document?collection=cases-ca&amp;id=urn:contentItem:5F7T-S6X1-FBN1-20SM-00000-00&amp;context=" TargetMode="External" /><Relationship Id="rId576" Type="http://schemas.openxmlformats.org/officeDocument/2006/relationships/hyperlink" Target="https://advance.lexis.com/api/document?collection=cases-ca&amp;id=urn:contentItem:5F82-1SB1-JP4G-64M7-00000-00&amp;context=" TargetMode="External" /><Relationship Id="rId577" Type="http://schemas.openxmlformats.org/officeDocument/2006/relationships/hyperlink" Target="https://advance.lexis.com/api/document?collection=cases-ca&amp;id=urn:contentItem:5F8T-N3T1-JJSF-232X-00000-00&amp;context=" TargetMode="External" /><Relationship Id="rId578" Type="http://schemas.openxmlformats.org/officeDocument/2006/relationships/hyperlink" Target="https://advance.lexis.com/api/document?collection=cases-ca&amp;id=urn:contentItem:5F7T-S7F1-F7VM-S448-00000-00&amp;context=" TargetMode="External" /><Relationship Id="rId579" Type="http://schemas.openxmlformats.org/officeDocument/2006/relationships/hyperlink" Target="https://advance.lexis.com/api/document?collection=cases-ca&amp;id=urn:contentItem:5F7T-S721-F4NT-X2T6-00000-00&amp;context=" TargetMode="External" /><Relationship Id="rId58" Type="http://schemas.openxmlformats.org/officeDocument/2006/relationships/footer" Target="footer14.xml" /><Relationship Id="rId580" Type="http://schemas.openxmlformats.org/officeDocument/2006/relationships/hyperlink" Target="https://advance.lexis.com/api/document?collection=cases-ca&amp;id=urn:contentItem:5F81-VJW1-JF75-M1FG-00000-00&amp;context=" TargetMode="External" /><Relationship Id="rId581" Type="http://schemas.openxmlformats.org/officeDocument/2006/relationships/hyperlink" Target="https://advance.lexis.com/api/document?collection=cases-ca&amp;id=urn:contentItem:5F7T-S7J1-JNS1-M2CG-00000-00&amp;context=" TargetMode="External" /><Relationship Id="rId582" Type="http://schemas.openxmlformats.org/officeDocument/2006/relationships/header" Target="header109.xml" /><Relationship Id="rId583" Type="http://schemas.openxmlformats.org/officeDocument/2006/relationships/header" Target="header110.xml" /><Relationship Id="rId584" Type="http://schemas.openxmlformats.org/officeDocument/2006/relationships/footer" Target="footer109.xml" /><Relationship Id="rId585" Type="http://schemas.openxmlformats.org/officeDocument/2006/relationships/footer" Target="footer110.xml" /><Relationship Id="rId586" Type="http://schemas.openxmlformats.org/officeDocument/2006/relationships/header" Target="header111.xml" /><Relationship Id="rId587" Type="http://schemas.openxmlformats.org/officeDocument/2006/relationships/footer" Target="footer111.xml" /><Relationship Id="rId588" Type="http://schemas.openxmlformats.org/officeDocument/2006/relationships/hyperlink" Target="https://advance.lexis.com/api/document?collection=cases-ca&amp;id=urn:contentItem:5MTP-GH21-JX8W-M4SY-00000-00&amp;context=" TargetMode="External" /><Relationship Id="rId589" Type="http://schemas.openxmlformats.org/officeDocument/2006/relationships/hyperlink" Target="https://advance.lexis.com/api/document?collection=cases-ca&amp;id=urn:contentItem:5MS1-JVC1-F7VM-S3SS-00000-00&amp;context=" TargetMode="External" /><Relationship Id="rId59" Type="http://schemas.openxmlformats.org/officeDocument/2006/relationships/header" Target="header15.xml" /><Relationship Id="rId590" Type="http://schemas.openxmlformats.org/officeDocument/2006/relationships/hyperlink" Target="https://advance.lexis.com/api/document?collection=cases-ca&amp;id=urn:contentItem:5F8T-N3T1-JFKM-6519-00000-00&amp;context=" TargetMode="External" /><Relationship Id="rId591" Type="http://schemas.openxmlformats.org/officeDocument/2006/relationships/hyperlink" Target="https://advance.lexis.com/api/document?collection=cases-ca&amp;id=urn:contentItem:5F8T-N3V1-JTGH-B1GF-00000-00&amp;context=" TargetMode="External" /><Relationship Id="rId592" Type="http://schemas.openxmlformats.org/officeDocument/2006/relationships/hyperlink" Target="https://advance.lexis.com/api/document?collection=cases-ca&amp;id=urn:contentItem:5F7T-S6Y1-FJDY-X23K-00000-00&amp;context=" TargetMode="External" /><Relationship Id="rId593" Type="http://schemas.openxmlformats.org/officeDocument/2006/relationships/header" Target="header112.xml" /><Relationship Id="rId594" Type="http://schemas.openxmlformats.org/officeDocument/2006/relationships/header" Target="header113.xml" /><Relationship Id="rId595" Type="http://schemas.openxmlformats.org/officeDocument/2006/relationships/footer" Target="footer112.xml" /><Relationship Id="rId596" Type="http://schemas.openxmlformats.org/officeDocument/2006/relationships/footer" Target="footer113.xml" /><Relationship Id="rId597" Type="http://schemas.openxmlformats.org/officeDocument/2006/relationships/header" Target="header114.xml" /><Relationship Id="rId598" Type="http://schemas.openxmlformats.org/officeDocument/2006/relationships/footer" Target="footer114.xml" /><Relationship Id="rId599" Type="http://schemas.openxmlformats.org/officeDocument/2006/relationships/hyperlink" Target="https://advance.lexis.com/api/document?collection=cases-ca&amp;id=urn:contentItem:5GCC-XVC1-JSRM-60WB-00000-00&amp;context=" TargetMode="External" /><Relationship Id="rId6" Type="http://schemas.openxmlformats.org/officeDocument/2006/relationships/footer" Target="footer1.xml" /><Relationship Id="rId60" Type="http://schemas.openxmlformats.org/officeDocument/2006/relationships/footer" Target="footer15.xml" /><Relationship Id="rId600" Type="http://schemas.openxmlformats.org/officeDocument/2006/relationships/hyperlink" Target="https://advance.lexis.com/api/document?collection=cases-ca&amp;id=urn:contentItem:5F7T-S7K1-JX3N-B2V4-00000-00&amp;context=" TargetMode="External" /><Relationship Id="rId601" Type="http://schemas.openxmlformats.org/officeDocument/2006/relationships/hyperlink" Target="https://advance.lexis.com/api/document?collection=cases-ca&amp;id=urn:contentItem:5F7T-S7N1-F06F-24KX-00000-00&amp;context=" TargetMode="External" /><Relationship Id="rId602" Type="http://schemas.openxmlformats.org/officeDocument/2006/relationships/hyperlink" Target="https://advance.lexis.com/api/document?collection=cases-ca&amp;id=urn:contentItem:5F8T-N3P1-F7ND-G14C-00000-00&amp;context=" TargetMode="External" /><Relationship Id="rId603" Type="http://schemas.openxmlformats.org/officeDocument/2006/relationships/hyperlink" Target="https://advance.lexis.com/api/document?collection=cases-ca&amp;id=urn:contentItem:5F81-YGW1-DYFH-X025-00000-00&amp;context=" TargetMode="External" /><Relationship Id="rId604" Type="http://schemas.openxmlformats.org/officeDocument/2006/relationships/hyperlink" Target="https://advance.lexis.com/api/document?collection=cases-ca&amp;id=urn:contentItem:5F8P-SC71-JK4W-M2MK-00000-00&amp;context=" TargetMode="External" /><Relationship Id="rId605" Type="http://schemas.openxmlformats.org/officeDocument/2006/relationships/hyperlink" Target="https://advance.lexis.com/api/document?collection=cases-ca&amp;id=urn:contentItem:5F8T-N3V1-JF75-M3WX-00000-00&amp;context=" TargetMode="External" /><Relationship Id="rId606" Type="http://schemas.openxmlformats.org/officeDocument/2006/relationships/hyperlink" Target="https://advance.lexis.com/api/document?collection=cases-ca&amp;id=urn:contentItem:5F7T-S7G1-JNY7-X443-00000-00&amp;context=" TargetMode="External" /><Relationship Id="rId607" Type="http://schemas.openxmlformats.org/officeDocument/2006/relationships/hyperlink" Target="https://advance.lexis.com/api/document?collection=cases-ca&amp;id=urn:contentItem:5F7T-S6V1-F2TK-21YN-00000-00&amp;context=" TargetMode="External" /><Relationship Id="rId608" Type="http://schemas.openxmlformats.org/officeDocument/2006/relationships/hyperlink" Target="https://advance.lexis.com/api/document?collection=cases-ca&amp;id=urn:contentItem:5F7T-S7N1-JW09-M15G-00000-00&amp;context=" TargetMode="External" /><Relationship Id="rId609" Type="http://schemas.openxmlformats.org/officeDocument/2006/relationships/hyperlink" Target="https://advance.lexis.com/api/document?collection=cases-ca&amp;id=urn:contentItem:5F7T-S7F1-JBT7-X2KB-00000-00&amp;context=" TargetMode="External" /><Relationship Id="rId61" Type="http://schemas.openxmlformats.org/officeDocument/2006/relationships/hyperlink" Target="https://advance.lexis.com/api/document?collection=cases-ca&amp;id=urn:contentItem:5F7T-S7D1-FBFS-S1P7-00000-00&amp;context=" TargetMode="External" /><Relationship Id="rId610" Type="http://schemas.openxmlformats.org/officeDocument/2006/relationships/hyperlink" Target="https://advance.lexis.com/api/document?collection=cases-ca&amp;id=urn:contentItem:5F7T-S7K1-F528-G2XC-00000-00&amp;context=" TargetMode="External" /><Relationship Id="rId611" Type="http://schemas.openxmlformats.org/officeDocument/2006/relationships/hyperlink" Target="https://advance.lexis.com/api/document?collection=cases-ca&amp;id=urn:contentItem:5F7T-S7M1-F4W2-626V-00000-00&amp;context=" TargetMode="External" /><Relationship Id="rId612" Type="http://schemas.openxmlformats.org/officeDocument/2006/relationships/hyperlink" Target="https://advance.lexis.com/api/document?collection=cases-ca&amp;id=urn:contentItem:5F7T-S7M1-JNCK-22RP-00000-00&amp;context=" TargetMode="External" /><Relationship Id="rId613" Type="http://schemas.openxmlformats.org/officeDocument/2006/relationships/hyperlink" Target="https://advance.lexis.com/api/document?collection=cases-ca&amp;id=urn:contentItem:5F7T-S7P1-JP4G-61S5-00000-00&amp;context=" TargetMode="External" /><Relationship Id="rId614" Type="http://schemas.openxmlformats.org/officeDocument/2006/relationships/hyperlink" Target="https://advance.lexis.com/api/document?collection=cases-ca&amp;id=urn:contentItem:5F8T-N3V1-JTGH-B153-00000-00&amp;context=" TargetMode="External" /><Relationship Id="rId615" Type="http://schemas.openxmlformats.org/officeDocument/2006/relationships/hyperlink" Target="https://advance.lexis.com/api/document?collection=cases-ca&amp;id=urn:contentItem:5F7T-S7G1-JX3N-B2FW-00000-00&amp;context=" TargetMode="External" /><Relationship Id="rId616" Type="http://schemas.openxmlformats.org/officeDocument/2006/relationships/hyperlink" Target="https://advance.lexis.com/api/document?collection=cases-ca&amp;id=urn:contentItem:5F7T-S721-F06F-230Y-00000-00&amp;context=" TargetMode="External" /><Relationship Id="rId617" Type="http://schemas.openxmlformats.org/officeDocument/2006/relationships/hyperlink" Target="https://advance.lexis.com/api/document?collection=cases-ca&amp;id=urn:contentItem:5F7T-S7N1-F06F-24W1-00000-00&amp;context=" TargetMode="External" /><Relationship Id="rId618" Type="http://schemas.openxmlformats.org/officeDocument/2006/relationships/hyperlink" Target="https://advance.lexis.com/api/document?collection=cases-ca&amp;id=urn:contentItem:5F7T-S7K1-F1H1-22C1-00000-00&amp;context=" TargetMode="External" /><Relationship Id="rId619" Type="http://schemas.openxmlformats.org/officeDocument/2006/relationships/hyperlink" Target="https://advance.lexis.com/api/document?collection=cases-ca&amp;id=urn:contentItem:5F7T-S7C1-F7VM-S3T7-00000-00&amp;context=" TargetMode="External" /><Relationship Id="rId62" Type="http://schemas.openxmlformats.org/officeDocument/2006/relationships/hyperlink" Target="https://advance.lexis.com/api/document?collection=cases-ca&amp;id=urn:contentItem:5F7T-S791-FJTD-G2RB-00000-00&amp;context=" TargetMode="External" /><Relationship Id="rId620" Type="http://schemas.openxmlformats.org/officeDocument/2006/relationships/hyperlink" Target="https://advance.lexis.com/api/document?collection=cases-ca&amp;id=urn:contentItem:5F7T-S7D1-JN6B-S13K-00000-00&amp;context=" TargetMode="External" /><Relationship Id="rId621" Type="http://schemas.openxmlformats.org/officeDocument/2006/relationships/hyperlink" Target="https://advance.lexis.com/api/document?collection=cases-ca&amp;id=urn:contentItem:5F7T-S6V1-JFKM-6133-00000-00&amp;context=" TargetMode="External" /><Relationship Id="rId622" Type="http://schemas.openxmlformats.org/officeDocument/2006/relationships/hyperlink" Target="https://advance.lexis.com/api/document?collection=cases-ca&amp;id=urn:contentItem:5F7T-S6T1-FJTD-G1NJ-00000-00&amp;context=" TargetMode="External" /><Relationship Id="rId623" Type="http://schemas.openxmlformats.org/officeDocument/2006/relationships/hyperlink" Target="https://advance.lexis.com/api/document?collection=cases-ca&amp;id=urn:contentItem:5F7T-S7N1-JW09-M0N2-00000-00&amp;context=" TargetMode="External" /><Relationship Id="rId624" Type="http://schemas.openxmlformats.org/officeDocument/2006/relationships/hyperlink" Target="https://advance.lexis.com/api/document?collection=cases-ca&amp;id=urn:contentItem:5F7T-S7K1-JX3N-B2KD-00000-00&amp;context=" TargetMode="External" /><Relationship Id="rId625" Type="http://schemas.openxmlformats.org/officeDocument/2006/relationships/hyperlink" Target="https://advance.lexis.com/api/document?collection=cases-ca&amp;id=urn:contentItem:5F7T-S7N1-JWR6-S269-00000-00&amp;context=" TargetMode="External" /><Relationship Id="rId626" Type="http://schemas.openxmlformats.org/officeDocument/2006/relationships/hyperlink" Target="https://advance.lexis.com/api/document?collection=cases-ca&amp;id=urn:contentItem:5F7T-S7N1-JGHR-M3DR-00000-00&amp;context=" TargetMode="External" /><Relationship Id="rId627" Type="http://schemas.openxmlformats.org/officeDocument/2006/relationships/hyperlink" Target="https://advance.lexis.com/api/document?collection=cases-ca&amp;id=urn:contentItem:5F7T-S7J1-DXWW-24YP-00000-00&amp;context=" TargetMode="External" /><Relationship Id="rId628" Type="http://schemas.openxmlformats.org/officeDocument/2006/relationships/hyperlink" Target="https://advance.lexis.com/api/document?collection=cases-ca&amp;id=urn:contentItem:5F7T-S7K1-F1H1-22B9-00000-00&amp;context=" TargetMode="External" /><Relationship Id="rId629" Type="http://schemas.openxmlformats.org/officeDocument/2006/relationships/hyperlink" Target="https://advance.lexis.com/api/document?collection=cases-ca&amp;id=urn:contentItem:5F82-1SD1-JX8W-M10D-00000-00&amp;context=" TargetMode="External" /><Relationship Id="rId63" Type="http://schemas.openxmlformats.org/officeDocument/2006/relationships/hyperlink" Target="https://advance.lexis.com/api/document?collection=cases-ca&amp;id=urn:contentItem:5F7T-S781-F7G6-63BJ-00000-00&amp;context=" TargetMode="External" /><Relationship Id="rId630" Type="http://schemas.openxmlformats.org/officeDocument/2006/relationships/hyperlink" Target="https://advance.lexis.com/api/document?collection=cases-ca&amp;id=urn:contentItem:5F7T-S771-JSJC-X05N-00000-00&amp;context=" TargetMode="External" /><Relationship Id="rId631" Type="http://schemas.openxmlformats.org/officeDocument/2006/relationships/hyperlink" Target="https://advance.lexis.com/api/document?collection=cases-ca&amp;id=urn:contentItem:5F7T-S6W1-JB7K-21F4-00000-00&amp;context=" TargetMode="External" /><Relationship Id="rId632" Type="http://schemas.openxmlformats.org/officeDocument/2006/relationships/hyperlink" Target="https://advance.lexis.com/api/document?collection=cases-ca&amp;id=urn:contentItem:5F7T-S771-JSJC-X038-00000-00&amp;context=" TargetMode="External" /><Relationship Id="rId633" Type="http://schemas.openxmlformats.org/officeDocument/2006/relationships/hyperlink" Target="https://advance.lexis.com/api/document?collection=cases-ca&amp;id=urn:contentItem:5F7T-S791-JCJ5-251B-00000-00&amp;context=" TargetMode="External" /><Relationship Id="rId634" Type="http://schemas.openxmlformats.org/officeDocument/2006/relationships/hyperlink" Target="https://advance.lexis.com/api/document?collection=cases-ca&amp;id=urn:contentItem:5F7T-S7N1-F57G-S2D4-00000-00&amp;context=" TargetMode="External" /><Relationship Id="rId635" Type="http://schemas.openxmlformats.org/officeDocument/2006/relationships/hyperlink" Target="https://advance.lexis.com/api/document?collection=cases-ca&amp;id=urn:contentItem:5F7T-S7F1-JX3N-B19D-00000-00&amp;context=" TargetMode="External" /><Relationship Id="rId636" Type="http://schemas.openxmlformats.org/officeDocument/2006/relationships/hyperlink" Target="https://advance.lexis.com/api/document?collection=cases-ca&amp;id=urn:contentItem:5F7T-S7M1-DYMS-62FG-00000-00&amp;context=" TargetMode="External" /><Relationship Id="rId637" Type="http://schemas.openxmlformats.org/officeDocument/2006/relationships/hyperlink" Target="https://advance.lexis.com/api/document?collection=cases-ca&amp;id=urn:contentItem:5F7T-S7M1-JNCK-22MK-00000-00&amp;context=" TargetMode="External" /><Relationship Id="rId638" Type="http://schemas.openxmlformats.org/officeDocument/2006/relationships/header" Target="header115.xml" /><Relationship Id="rId639" Type="http://schemas.openxmlformats.org/officeDocument/2006/relationships/header" Target="header116.xml" /><Relationship Id="rId64" Type="http://schemas.openxmlformats.org/officeDocument/2006/relationships/hyperlink" Target="https://advance.lexis.com/api/document?collection=cases-ca&amp;id=urn:contentItem:5F7T-S711-F27X-60R5-00000-00&amp;context=" TargetMode="External" /><Relationship Id="rId640" Type="http://schemas.openxmlformats.org/officeDocument/2006/relationships/footer" Target="footer115.xml" /><Relationship Id="rId641" Type="http://schemas.openxmlformats.org/officeDocument/2006/relationships/footer" Target="footer116.xml" /><Relationship Id="rId642" Type="http://schemas.openxmlformats.org/officeDocument/2006/relationships/header" Target="header117.xml" /><Relationship Id="rId643" Type="http://schemas.openxmlformats.org/officeDocument/2006/relationships/footer" Target="footer117.xml" /><Relationship Id="rId644" Type="http://schemas.openxmlformats.org/officeDocument/2006/relationships/hyperlink" Target="https://advance.lexis.com/api/document?collection=cases-ca&amp;id=urn:contentItem:5F7T-S7F1-DXWW-23PX-00000-00&amp;context=" TargetMode="External" /><Relationship Id="rId645" Type="http://schemas.openxmlformats.org/officeDocument/2006/relationships/hyperlink" Target="https://advance.lexis.com/api/document?collection=cases-ca&amp;id=urn:contentItem:5F8T-N3T1-JGHR-M1TG-00000-00&amp;context=" TargetMode="External" /><Relationship Id="rId646" Type="http://schemas.openxmlformats.org/officeDocument/2006/relationships/hyperlink" Target="https://advance.lexis.com/api/document?collection=cases-ca&amp;id=urn:contentItem:5F7T-S761-JGHR-M2JM-00000-00&amp;context=" TargetMode="External" /><Relationship Id="rId647" Type="http://schemas.openxmlformats.org/officeDocument/2006/relationships/hyperlink" Target="https://advance.lexis.com/api/document?collection=cases-ca&amp;id=urn:contentItem:5F7T-S761-JCBX-S0DR-00000-00&amp;context=" TargetMode="External" /><Relationship Id="rId648" Type="http://schemas.openxmlformats.org/officeDocument/2006/relationships/hyperlink" Target="https://advance.lexis.com/api/document?collection=cases-ca&amp;id=urn:contentItem:5F7T-S7C1-JS0R-228K-00000-00&amp;context=" TargetMode="External" /><Relationship Id="rId649" Type="http://schemas.openxmlformats.org/officeDocument/2006/relationships/hyperlink" Target="https://advance.lexis.com/api/document?collection=cases-ca&amp;id=urn:contentItem:5F7T-S771-F81W-22HN-00000-00&amp;context=" TargetMode="External" /><Relationship Id="rId65" Type="http://schemas.openxmlformats.org/officeDocument/2006/relationships/hyperlink" Target="https://advance.lexis.com/api/document?collection=cases-ca&amp;id=urn:contentItem:5F2P-NNR1-F4W2-6367-00000-00&amp;context=" TargetMode="External" /><Relationship Id="rId650" Type="http://schemas.openxmlformats.org/officeDocument/2006/relationships/hyperlink" Target="https://advance.lexis.com/api/document?collection=cases-ca&amp;id=urn:contentItem:5F7T-S791-JCJ5-24WP-00000-00&amp;context=" TargetMode="External" /><Relationship Id="rId651" Type="http://schemas.openxmlformats.org/officeDocument/2006/relationships/hyperlink" Target="https://advance.lexis.com/api/document?collection=cases-ca&amp;id=urn:contentItem:5F7T-S7B1-F7ND-G50Y-00000-00&amp;context=" TargetMode="External" /><Relationship Id="rId652" Type="http://schemas.openxmlformats.org/officeDocument/2006/relationships/hyperlink" Target="https://advance.lexis.com/api/document?collection=cases-ca&amp;id=urn:contentItem:5F81-VJV1-DYFH-X4FM-00000-00&amp;context=" TargetMode="External" /><Relationship Id="rId653" Type="http://schemas.openxmlformats.org/officeDocument/2006/relationships/hyperlink" Target="https://advance.lexis.com/api/document?collection=cases-ca&amp;id=urn:contentItem:5F8T-N3V1-JFKM-609G-00000-00&amp;context=" TargetMode="External" /><Relationship Id="rId654" Type="http://schemas.openxmlformats.org/officeDocument/2006/relationships/hyperlink" Target="https://advance.lexis.com/api/document?collection=cases-ca&amp;id=urn:contentItem:5F8T-N3V1-JF75-M3VR-00000-00&amp;context=" TargetMode="External" /><Relationship Id="rId655" Type="http://schemas.openxmlformats.org/officeDocument/2006/relationships/hyperlink" Target="https://advance.lexis.com/api/document?collection=cases-ca&amp;id=urn:contentItem:5F7T-S721-F57G-S0X6-00000-00&amp;context=" TargetMode="External" /><Relationship Id="rId656" Type="http://schemas.openxmlformats.org/officeDocument/2006/relationships/hyperlink" Target="https://advance.lexis.com/api/document?collection=cases-ca&amp;id=urn:contentItem:5F7T-S711-JC0G-62SC-00000-00&amp;context=" TargetMode="External" /><Relationship Id="rId657" Type="http://schemas.openxmlformats.org/officeDocument/2006/relationships/hyperlink" Target="https://advance.lexis.com/api/document?collection=cases-ca&amp;id=urn:contentItem:5F7T-S721-F956-S1WX-00000-00&amp;context=" TargetMode="External" /><Relationship Id="rId658" Type="http://schemas.openxmlformats.org/officeDocument/2006/relationships/hyperlink" Target="https://advance.lexis.com/api/document?collection=cases-ca&amp;id=urn:contentItem:5F7T-S741-DY89-M367-00000-00&amp;context=" TargetMode="External" /><Relationship Id="rId659" Type="http://schemas.openxmlformats.org/officeDocument/2006/relationships/hyperlink" Target="https://advance.lexis.com/api/document?collection=cases-ca&amp;id=urn:contentItem:5F7T-S751-JNS1-M1D8-00000-00&amp;context=" TargetMode="External" /><Relationship Id="rId66" Type="http://schemas.openxmlformats.org/officeDocument/2006/relationships/hyperlink" Target="https://advance.lexis.com/api/document?collection=cases-ca&amp;id=urn:contentItem:5F82-1SB1-JW09-M3HS-00000-00&amp;context=" TargetMode="External" /><Relationship Id="rId660" Type="http://schemas.openxmlformats.org/officeDocument/2006/relationships/hyperlink" Target="https://advance.lexis.com/api/document?collection=cases-ca&amp;id=urn:contentItem:5F8P-T8W1-F5DR-22S2-00000-00&amp;context=" TargetMode="External" /><Relationship Id="rId661" Type="http://schemas.openxmlformats.org/officeDocument/2006/relationships/hyperlink" Target="https://advance.lexis.com/api/document?collection=cases-ca&amp;id=urn:contentItem:5F8T-N3V1-JFKM-609F-00000-00&amp;context=" TargetMode="External" /><Relationship Id="rId662" Type="http://schemas.openxmlformats.org/officeDocument/2006/relationships/hyperlink" Target="https://advance.lexis.com/api/document?collection=cases-ca&amp;id=urn:contentItem:5F8T-N3V1-JF75-M3GT-00000-00&amp;context=" TargetMode="External" /><Relationship Id="rId663" Type="http://schemas.openxmlformats.org/officeDocument/2006/relationships/hyperlink" Target="https://advance.lexis.com/api/document?collection=cases-ca&amp;id=urn:contentItem:5F7T-S711-F4W2-61RW-00000-00&amp;context=" TargetMode="External" /><Relationship Id="rId664" Type="http://schemas.openxmlformats.org/officeDocument/2006/relationships/hyperlink" Target="https://advance.lexis.com/api/document?collection=cases-ca&amp;id=urn:contentItem:5F7T-S721-F956-S1N8-00000-00&amp;context=" TargetMode="External" /><Relationship Id="rId665" Type="http://schemas.openxmlformats.org/officeDocument/2006/relationships/hyperlink" Target="https://advance.lexis.com/api/document?collection=cases-ca&amp;id=urn:contentItem:5F8T-N3V1-JFKM-6070-00000-00&amp;context=" TargetMode="External" /><Relationship Id="rId666" Type="http://schemas.openxmlformats.org/officeDocument/2006/relationships/hyperlink" Target="https://advance.lexis.com/api/document?collection=cases-ca&amp;id=urn:contentItem:5F7T-S731-JC0G-63F3-00000-00&amp;context=" TargetMode="External" /><Relationship Id="rId667" Type="http://schemas.openxmlformats.org/officeDocument/2006/relationships/hyperlink" Target="https://advance.lexis.com/api/document?collection=cases-ca&amp;id=urn:contentItem:5F8N-K701-JB7K-2551-00000-00&amp;context=" TargetMode="External" /><Relationship Id="rId668" Type="http://schemas.openxmlformats.org/officeDocument/2006/relationships/hyperlink" Target="https://advance.lexis.com/api/document?collection=cases-ca&amp;id=urn:contentItem:5F8N-K711-FG68-G416-00000-00&amp;context=" TargetMode="External" /><Relationship Id="rId669" Type="http://schemas.openxmlformats.org/officeDocument/2006/relationships/header" Target="header118.xml" /><Relationship Id="rId67" Type="http://schemas.openxmlformats.org/officeDocument/2006/relationships/hyperlink" Target="https://advance.lexis.com/api/document?collection=cases-ca&amp;id=urn:contentItem:5F7T-S6T1-FJTD-G1R4-00000-00&amp;context=" TargetMode="External" /><Relationship Id="rId670" Type="http://schemas.openxmlformats.org/officeDocument/2006/relationships/header" Target="header119.xml" /><Relationship Id="rId671" Type="http://schemas.openxmlformats.org/officeDocument/2006/relationships/footer" Target="footer118.xml" /><Relationship Id="rId672" Type="http://schemas.openxmlformats.org/officeDocument/2006/relationships/footer" Target="footer119.xml" /><Relationship Id="rId673" Type="http://schemas.openxmlformats.org/officeDocument/2006/relationships/header" Target="header120.xml" /><Relationship Id="rId674" Type="http://schemas.openxmlformats.org/officeDocument/2006/relationships/footer" Target="footer120.xml" /><Relationship Id="rId675" Type="http://schemas.openxmlformats.org/officeDocument/2006/relationships/hyperlink" Target="https://advance.lexis.com/api/document?collection=cases-ca&amp;id=urn:contentItem:5F7T-S7G1-JPP5-21YJ-00000-00&amp;context=" TargetMode="External" /><Relationship Id="rId676" Type="http://schemas.openxmlformats.org/officeDocument/2006/relationships/hyperlink" Target="https://advance.lexis.com/api/document?collection=cases-ca&amp;id=urn:contentItem:5K6Y-81M1-JGPY-X217-00000-00&amp;context=" TargetMode="External" /><Relationship Id="rId677" Type="http://schemas.openxmlformats.org/officeDocument/2006/relationships/hyperlink" Target="https://advance.lexis.com/api/document?collection=cases-ca&amp;id=urn:contentItem:5F7T-S7C1-F30T-B283-00000-00&amp;context=" TargetMode="External" /><Relationship Id="rId678" Type="http://schemas.openxmlformats.org/officeDocument/2006/relationships/hyperlink" Target="https://advance.lexis.com/api/document?collection=cases-ca&amp;id=urn:contentItem:5F7T-S7H1-JG02-S3RS-00000-00&amp;context=" TargetMode="External" /><Relationship Id="rId679" Type="http://schemas.openxmlformats.org/officeDocument/2006/relationships/hyperlink" Target="https://advance.lexis.com/api/document?collection=cases-ca&amp;id=urn:contentItem:5F7T-S771-JJD0-G168-00000-00&amp;context=" TargetMode="External" /><Relationship Id="rId68" Type="http://schemas.openxmlformats.org/officeDocument/2006/relationships/header" Target="header16.xml" /><Relationship Id="rId680" Type="http://schemas.openxmlformats.org/officeDocument/2006/relationships/hyperlink" Target="https://advance.lexis.com/api/document?collection=cases-ca&amp;id=urn:contentItem:5F8T-N3S1-JBDT-B04B-00000-00&amp;context=" TargetMode="External" /><Relationship Id="rId681" Type="http://schemas.openxmlformats.org/officeDocument/2006/relationships/hyperlink" Target="https://advance.lexis.com/api/document?collection=cases-ca&amp;id=urn:contentItem:5F7T-S7F1-FBN1-21NF-00000-00&amp;context=" TargetMode="External" /><Relationship Id="rId682" Type="http://schemas.openxmlformats.org/officeDocument/2006/relationships/hyperlink" Target="https://advance.lexis.com/api/document?collection=cases-ca&amp;id=urn:contentItem:5F7T-S741-F57G-S1WG-00000-00&amp;context=" TargetMode="External" /><Relationship Id="rId683" Type="http://schemas.openxmlformats.org/officeDocument/2006/relationships/hyperlink" Target="https://advance.lexis.com/api/document?collection=cases-ca&amp;id=urn:contentItem:5F7T-S7B1-FH4C-X3MY-00000-00&amp;context=" TargetMode="External" /><Relationship Id="rId684" Type="http://schemas.openxmlformats.org/officeDocument/2006/relationships/hyperlink" Target="https://advance.lexis.com/api/document?collection=cases-ca&amp;id=urn:contentItem:5F7T-S7F1-JK4W-M1P3-00000-00&amp;context=" TargetMode="External" /><Relationship Id="rId685" Type="http://schemas.openxmlformats.org/officeDocument/2006/relationships/header" Target="header121.xml" /><Relationship Id="rId686" Type="http://schemas.openxmlformats.org/officeDocument/2006/relationships/header" Target="header122.xml" /><Relationship Id="rId687" Type="http://schemas.openxmlformats.org/officeDocument/2006/relationships/footer" Target="footer121.xml" /><Relationship Id="rId688" Type="http://schemas.openxmlformats.org/officeDocument/2006/relationships/footer" Target="footer122.xml" /><Relationship Id="rId689" Type="http://schemas.openxmlformats.org/officeDocument/2006/relationships/header" Target="header123.xml" /><Relationship Id="rId69" Type="http://schemas.openxmlformats.org/officeDocument/2006/relationships/header" Target="header17.xml" /><Relationship Id="rId690" Type="http://schemas.openxmlformats.org/officeDocument/2006/relationships/footer" Target="footer123.xml" /><Relationship Id="rId691" Type="http://schemas.openxmlformats.org/officeDocument/2006/relationships/hyperlink" Target="https://advance.lexis.com/api/document?collection=cases-ca&amp;id=urn:contentItem:5F7T-S7N1-JGHR-M3FP-00000-00&amp;context=" TargetMode="External" /><Relationship Id="rId692" Type="http://schemas.openxmlformats.org/officeDocument/2006/relationships/hyperlink" Target="https://advance.lexis.com/api/document?collection=cases-ca&amp;id=urn:contentItem:5F7T-S781-F900-G0YV-00000-00&amp;context=" TargetMode="External" /><Relationship Id="rId693" Type="http://schemas.openxmlformats.org/officeDocument/2006/relationships/hyperlink" Target="https://advance.lexis.com/api/document?collection=cases-ca&amp;id=urn:contentItem:5F7T-S7J1-JYYX-62JG-00000-00&amp;context=" TargetMode="External" /><Relationship Id="rId694" Type="http://schemas.openxmlformats.org/officeDocument/2006/relationships/hyperlink" Target="https://advance.lexis.com/api/document?collection=cases-ca&amp;id=urn:contentItem:5F7T-S7F1-JBT7-X2MK-00000-00&amp;context=" TargetMode="External" /><Relationship Id="rId695" Type="http://schemas.openxmlformats.org/officeDocument/2006/relationships/hyperlink" Target="https://advance.lexis.com/api/document?collection=cases-ca&amp;id=urn:contentItem:5F7T-S7M1-JCRC-B1D6-00000-00&amp;context=" TargetMode="External" /><Relationship Id="rId696" Type="http://schemas.openxmlformats.org/officeDocument/2006/relationships/hyperlink" Target="https://advance.lexis.com/api/document?collection=cases-ca&amp;id=urn:contentItem:5F7T-S7M1-JFSV-G3V4-00000-00&amp;context=" TargetMode="External" /><Relationship Id="rId697" Type="http://schemas.openxmlformats.org/officeDocument/2006/relationships/hyperlink" Target="https://advance.lexis.com/api/document?collection=cases-ca&amp;id=urn:contentItem:5F7T-S7N1-F06F-24HY-00000-00&amp;context=" TargetMode="External" /><Relationship Id="rId698" Type="http://schemas.openxmlformats.org/officeDocument/2006/relationships/hyperlink" Target="https://advance.lexis.com/api/document?collection=cases-ca&amp;id=urn:contentItem:5F7T-S7C1-F30T-B21Y-00000-00&amp;context=" TargetMode="External" /><Relationship Id="rId699" Type="http://schemas.openxmlformats.org/officeDocument/2006/relationships/hyperlink" Target="https://advance.lexis.com/api/document?collection=cases-ca&amp;id=urn:contentItem:5F7T-S7F1-FBN1-21WG-00000-00&amp;context=" TargetMode="External" /><Relationship Id="rId7" Type="http://schemas.openxmlformats.org/officeDocument/2006/relationships/footer" Target="footer2.xml" /><Relationship Id="rId70" Type="http://schemas.openxmlformats.org/officeDocument/2006/relationships/footer" Target="footer16.xml" /><Relationship Id="rId700" Type="http://schemas.openxmlformats.org/officeDocument/2006/relationships/hyperlink" Target="https://advance.lexis.com/api/document?collection=cases-ca&amp;id=urn:contentItem:5F7T-S7G1-JBT7-X3W7-00000-00&amp;context=" TargetMode="External" /><Relationship Id="rId701" Type="http://schemas.openxmlformats.org/officeDocument/2006/relationships/hyperlink" Target="https://advance.lexis.com/api/document?collection=cases-ca&amp;id=urn:contentItem:5F7T-S7H1-K054-G2DS-00000-00&amp;context=" TargetMode="External" /><Relationship Id="rId702" Type="http://schemas.openxmlformats.org/officeDocument/2006/relationships/hyperlink" Target="https://advance.lexis.com/api/document?collection=cases-ca&amp;id=urn:contentItem:5F7T-S7H1-F016-S3KP-00000-00&amp;context=" TargetMode="External" /><Relationship Id="rId703" Type="http://schemas.openxmlformats.org/officeDocument/2006/relationships/hyperlink" Target="https://advance.lexis.com/api/document?collection=cases-ca&amp;id=urn:contentItem:5F7T-S7H1-F016-S46S-00000-00&amp;context=" TargetMode="External" /><Relationship Id="rId704" Type="http://schemas.openxmlformats.org/officeDocument/2006/relationships/hyperlink" Target="https://advance.lexis.com/api/document?collection=cases-ca&amp;id=urn:contentItem:5F7T-S7K1-F1H1-22HJ-00000-00&amp;context=" TargetMode="External" /><Relationship Id="rId705" Type="http://schemas.openxmlformats.org/officeDocument/2006/relationships/hyperlink" Target="https://advance.lexis.com/api/document?collection=cases-ca&amp;id=urn:contentItem:5F7T-S7K1-JWXF-212D-00000-00&amp;context=" TargetMode="External" /><Relationship Id="rId706" Type="http://schemas.openxmlformats.org/officeDocument/2006/relationships/hyperlink" Target="https://advance.lexis.com/api/document?collection=cases-ca&amp;id=urn:contentItem:5F7T-S7N1-F57G-S2DB-00000-00&amp;context=" TargetMode="External" /><Relationship Id="rId707" Type="http://schemas.openxmlformats.org/officeDocument/2006/relationships/hyperlink" Target="https://advance.lexis.com/api/document?collection=cases-ca&amp;id=urn:contentItem:5F7T-S7H1-JCRC-B104-00000-00&amp;context=" TargetMode="External" /><Relationship Id="rId708" Type="http://schemas.openxmlformats.org/officeDocument/2006/relationships/hyperlink" Target="https://advance.lexis.com/api/document?collection=cases-ca&amp;id=urn:contentItem:5K6Y-81R1-JB7K-21KW-00000-00&amp;context=" TargetMode="External" /><Relationship Id="rId709" Type="http://schemas.openxmlformats.org/officeDocument/2006/relationships/hyperlink" Target="https://advance.lexis.com/api/document?collection=cases-ca&amp;id=urn:contentItem:5F7H-KW51-FG12-6070-00000-00&amp;context=" TargetMode="External" /><Relationship Id="rId71" Type="http://schemas.openxmlformats.org/officeDocument/2006/relationships/footer" Target="footer17.xml" /><Relationship Id="rId710" Type="http://schemas.openxmlformats.org/officeDocument/2006/relationships/hyperlink" Target="https://advance.lexis.com/api/document?collection=cases-ca&amp;id=urn:contentItem:5F8T-N3T1-JFKM-6549-00000-00&amp;context=" TargetMode="External" /><Relationship Id="rId711" Type="http://schemas.openxmlformats.org/officeDocument/2006/relationships/hyperlink" Target="https://advance.lexis.com/api/document?collection=cases-ca&amp;id=urn:contentItem:5F8T-N3V1-JF75-M3CD-00000-00&amp;context=" TargetMode="External" /><Relationship Id="rId712" Type="http://schemas.openxmlformats.org/officeDocument/2006/relationships/hyperlink" Target="https://advance.lexis.com/api/document?collection=cases-ca&amp;id=urn:contentItem:5F7T-S731-F60C-X1DC-00000-00&amp;context=" TargetMode="External" /><Relationship Id="rId713" Type="http://schemas.openxmlformats.org/officeDocument/2006/relationships/hyperlink" Target="https://advance.lexis.com/api/document?collection=cases-ca&amp;id=urn:contentItem:5F7T-S7H1-JCRC-B11M-00000-00&amp;context=" TargetMode="External" /><Relationship Id="rId714" Type="http://schemas.openxmlformats.org/officeDocument/2006/relationships/hyperlink" Target="https://advance.lexis.com/api/document?collection=cases-ca&amp;id=urn:contentItem:5F7T-S701-JBT7-X291-00000-00&amp;context=" TargetMode="External" /><Relationship Id="rId715" Type="http://schemas.openxmlformats.org/officeDocument/2006/relationships/hyperlink" Target="https://advance.lexis.com/api/document?collection=cases-ca&amp;id=urn:contentItem:5F7T-S791-FJTD-G2KW-00000-00&amp;context=" TargetMode="External" /><Relationship Id="rId716" Type="http://schemas.openxmlformats.org/officeDocument/2006/relationships/hyperlink" Target="https://advance.lexis.com/api/document?collection=cases-ca&amp;id=urn:contentItem:5F7T-S7M1-DYMS-62B6-00000-00&amp;context=" TargetMode="External" /><Relationship Id="rId717" Type="http://schemas.openxmlformats.org/officeDocument/2006/relationships/hyperlink" Target="https://advance.lexis.com/api/document?collection=cases-ca&amp;id=urn:contentItem:5F7T-S7D1-JN6B-S119-00000-00&amp;context=" TargetMode="External" /><Relationship Id="rId718" Type="http://schemas.openxmlformats.org/officeDocument/2006/relationships/hyperlink" Target="https://advance.lexis.com/api/document?collection=cases-ca&amp;id=urn:contentItem:5F7T-S7F1-JK4W-M1T2-00000-00&amp;context=" TargetMode="External" /><Relationship Id="rId719" Type="http://schemas.openxmlformats.org/officeDocument/2006/relationships/header" Target="header124.xml" /><Relationship Id="rId72" Type="http://schemas.openxmlformats.org/officeDocument/2006/relationships/header" Target="header18.xml" /><Relationship Id="rId720" Type="http://schemas.openxmlformats.org/officeDocument/2006/relationships/header" Target="header125.xml" /><Relationship Id="rId721" Type="http://schemas.openxmlformats.org/officeDocument/2006/relationships/footer" Target="footer124.xml" /><Relationship Id="rId722" Type="http://schemas.openxmlformats.org/officeDocument/2006/relationships/footer" Target="footer125.xml" /><Relationship Id="rId723" Type="http://schemas.openxmlformats.org/officeDocument/2006/relationships/header" Target="header126.xml" /><Relationship Id="rId724" Type="http://schemas.openxmlformats.org/officeDocument/2006/relationships/footer" Target="footer126.xml" /><Relationship Id="rId725" Type="http://schemas.openxmlformats.org/officeDocument/2006/relationships/hyperlink" Target="https://advance.lexis.com/api/document?collection=cases-ca&amp;id=urn:contentItem:5F7T-S7D1-FBFS-S1TD-00000-00&amp;context=" TargetMode="External" /><Relationship Id="rId726" Type="http://schemas.openxmlformats.org/officeDocument/2006/relationships/hyperlink" Target="https://advance.lexis.com/api/document?collection=cases-ca&amp;id=urn:contentItem:5K6Y-81M1-JGPY-X1M0-00000-00&amp;context=" TargetMode="External" /><Relationship Id="rId727" Type="http://schemas.openxmlformats.org/officeDocument/2006/relationships/hyperlink" Target="https://advance.lexis.com/api/document?collection=legislation-ca&amp;id=urn:contentItem:5F41-1FH1-F361-M0H8-00000-00&amp;context=" TargetMode="External" /><Relationship Id="rId728" Type="http://schemas.openxmlformats.org/officeDocument/2006/relationships/hyperlink" Target="https://advance.lexis.com/api/document?collection=cases-ca&amp;id=urn:contentItem:5F7T-S751-F361-M0WN-00000-00&amp;context=" TargetMode="External" /><Relationship Id="rId729" Type="http://schemas.openxmlformats.org/officeDocument/2006/relationships/hyperlink" Target="https://advance.lexis.com/api/document?collection=cases-ca&amp;id=urn:contentItem:5F7T-S701-F8KH-X1HX-00000-00&amp;context=" TargetMode="External" /><Relationship Id="rId73" Type="http://schemas.openxmlformats.org/officeDocument/2006/relationships/footer" Target="footer18.xml" /><Relationship Id="rId730" Type="http://schemas.openxmlformats.org/officeDocument/2006/relationships/hyperlink" Target="https://advance.lexis.com/api/document?collection=cases-ca&amp;id=urn:contentItem:5F7T-S6T1-JJ1H-X220-00000-00&amp;context=" TargetMode="External" /><Relationship Id="rId731" Type="http://schemas.openxmlformats.org/officeDocument/2006/relationships/hyperlink" Target="https://advance.lexis.com/api/document?collection=cases-ca&amp;id=urn:contentItem:5F7T-S7C1-FCSB-S2DT-00000-00&amp;context=" TargetMode="External" /><Relationship Id="rId732" Type="http://schemas.openxmlformats.org/officeDocument/2006/relationships/hyperlink" Target="https://advance.lexis.com/api/document?collection=cases-ca&amp;id=urn:contentItem:5F7T-S7D1-DY89-M463-00000-00&amp;context=" TargetMode="External" /><Relationship Id="rId733" Type="http://schemas.openxmlformats.org/officeDocument/2006/relationships/hyperlink" Target="https://advance.lexis.com/api/document?collection=cases-ca&amp;id=urn:contentItem:5F7T-S7B1-F7ND-G50F-00000-00&amp;context=" TargetMode="External" /><Relationship Id="rId734" Type="http://schemas.openxmlformats.org/officeDocument/2006/relationships/hyperlink" Target="https://advance.lexis.com/api/document?collection=cases-ca&amp;id=urn:contentItem:5F7T-S761-JX8W-M313-00000-00&amp;context=" TargetMode="External" /><Relationship Id="rId735" Type="http://schemas.openxmlformats.org/officeDocument/2006/relationships/hyperlink" Target="https://advance.lexis.com/api/document?collection=cases-ca&amp;id=urn:contentItem:5F7T-S771-F81W-22VS-00000-00&amp;context=" TargetMode="External" /><Relationship Id="rId736" Type="http://schemas.openxmlformats.org/officeDocument/2006/relationships/hyperlink" Target="https://advance.lexis.com/api/document?collection=cases-ca&amp;id=urn:contentItem:5F7T-S731-DY33-B12P-00000-00&amp;context=" TargetMode="External" /><Relationship Id="rId737" Type="http://schemas.openxmlformats.org/officeDocument/2006/relationships/header" Target="header127.xml" /><Relationship Id="rId738" Type="http://schemas.openxmlformats.org/officeDocument/2006/relationships/header" Target="header128.xml" /><Relationship Id="rId739" Type="http://schemas.openxmlformats.org/officeDocument/2006/relationships/footer" Target="footer127.xml" /><Relationship Id="rId74" Type="http://schemas.openxmlformats.org/officeDocument/2006/relationships/hyperlink" Target="https://advance.lexis.com/api/document?collection=cases-ca&amp;id=urn:contentItem:5F7T-S7H1-JCRC-B0NW-00000-00&amp;context=" TargetMode="External" /><Relationship Id="rId740" Type="http://schemas.openxmlformats.org/officeDocument/2006/relationships/footer" Target="footer128.xml" /><Relationship Id="rId741" Type="http://schemas.openxmlformats.org/officeDocument/2006/relationships/header" Target="header129.xml" /><Relationship Id="rId742" Type="http://schemas.openxmlformats.org/officeDocument/2006/relationships/footer" Target="footer129.xml" /><Relationship Id="rId743" Type="http://schemas.openxmlformats.org/officeDocument/2006/relationships/hyperlink" Target="https://advance.lexis.com/api/document?collection=cases-ca&amp;id=urn:contentItem:5F7T-S781-FH4C-X2N1-00000-00&amp;context=" TargetMode="External" /><Relationship Id="rId744" Type="http://schemas.openxmlformats.org/officeDocument/2006/relationships/header" Target="header130.xml" /><Relationship Id="rId745" Type="http://schemas.openxmlformats.org/officeDocument/2006/relationships/header" Target="header131.xml" /><Relationship Id="rId746" Type="http://schemas.openxmlformats.org/officeDocument/2006/relationships/footer" Target="footer130.xml" /><Relationship Id="rId747" Type="http://schemas.openxmlformats.org/officeDocument/2006/relationships/footer" Target="footer131.xml" /><Relationship Id="rId748" Type="http://schemas.openxmlformats.org/officeDocument/2006/relationships/header" Target="header132.xml" /><Relationship Id="rId749" Type="http://schemas.openxmlformats.org/officeDocument/2006/relationships/footer" Target="footer132.xml" /><Relationship Id="rId75" Type="http://schemas.openxmlformats.org/officeDocument/2006/relationships/hyperlink" Target="https://advance.lexis.com/api/document?collection=cases-ca&amp;id=urn:contentItem:5F8P-SDK1-F5DR-20TY-00000-00&amp;context=" TargetMode="External" /><Relationship Id="rId750" Type="http://schemas.openxmlformats.org/officeDocument/2006/relationships/hyperlink" Target="https://advance.lexis.com/api/document?collection=cases-ca&amp;id=urn:contentItem:5F7T-S7F1-JX3N-B1BJ-00000-00&amp;context=" TargetMode="External" /><Relationship Id="rId751" Type="http://schemas.openxmlformats.org/officeDocument/2006/relationships/hyperlink" Target="https://advance.lexis.com/api/document?collection=cases-ca&amp;id=urn:contentItem:5F7T-S7C1-F7VM-S3TM-00000-00&amp;context=" TargetMode="External" /><Relationship Id="rId752" Type="http://schemas.openxmlformats.org/officeDocument/2006/relationships/hyperlink" Target="https://advance.lexis.com/api/document?collection=cases-ca&amp;id=urn:contentItem:5F7T-S7C1-JSRM-617X-00000-00&amp;context=" TargetMode="External" /><Relationship Id="rId753" Type="http://schemas.openxmlformats.org/officeDocument/2006/relationships/hyperlink" Target="https://advance.lexis.com/api/document?collection=cases-ca&amp;id=urn:contentItem:5F7T-S7C1-F7VM-S3N9-00000-00&amp;context=" TargetMode="External" /><Relationship Id="rId754" Type="http://schemas.openxmlformats.org/officeDocument/2006/relationships/hyperlink" Target="https://advance.lexis.com/api/document?collection=cases-ca&amp;id=urn:contentItem:5F7T-S7D1-JS5Y-B27Y-00000-00&amp;context=" TargetMode="External" /><Relationship Id="rId755" Type="http://schemas.openxmlformats.org/officeDocument/2006/relationships/hyperlink" Target="https://advance.lexis.com/api/document?collection=cases-ca&amp;id=urn:contentItem:5F7T-S7B1-JSRM-60MJ-00000-00&amp;context=" TargetMode="External" /><Relationship Id="rId756" Type="http://schemas.openxmlformats.org/officeDocument/2006/relationships/hyperlink" Target="https://advance.lexis.com/api/document?collection=cases-ca&amp;id=urn:contentItem:5F7T-S741-F57G-S1R0-00000-00&amp;context=" TargetMode="External" /><Relationship Id="rId757" Type="http://schemas.openxmlformats.org/officeDocument/2006/relationships/hyperlink" Target="https://advance.lexis.com/api/document?collection=cases-ca&amp;id=urn:contentItem:5F8T-N3V1-FC1F-M3X1-00000-00&amp;context=" TargetMode="External" /><Relationship Id="rId758" Type="http://schemas.openxmlformats.org/officeDocument/2006/relationships/hyperlink" Target="https://advance.lexis.com/api/document?collection=cases-ca&amp;id=urn:contentItem:5F7T-S7C1-JXG3-X06W-00000-00&amp;context=" TargetMode="External" /><Relationship Id="rId759" Type="http://schemas.openxmlformats.org/officeDocument/2006/relationships/hyperlink" Target="https://advance.lexis.com/api/document?collection=cases-ca&amp;id=urn:contentItem:5F7T-S7F1-DXWW-23MT-00000-00&amp;context=" TargetMode="External" /><Relationship Id="rId76" Type="http://schemas.openxmlformats.org/officeDocument/2006/relationships/hyperlink" Target="https://advance.lexis.com/api/document?collection=cases-ca&amp;id=urn:contentItem:5F82-1SF1-JB7K-22WK-00000-00&amp;context=" TargetMode="External" /><Relationship Id="rId760" Type="http://schemas.openxmlformats.org/officeDocument/2006/relationships/hyperlink" Target="https://advance.lexis.com/api/document?collection=cases-ca&amp;id=urn:contentItem:5F7T-S7B1-FH4C-X3VH-00000-00&amp;context=" TargetMode="External" /><Relationship Id="rId761" Type="http://schemas.openxmlformats.org/officeDocument/2006/relationships/hyperlink" Target="https://advance.lexis.com/api/document?collection=cases-ca&amp;id=urn:contentItem:5F7T-S7D1-JN6B-S150-00000-00&amp;context=" TargetMode="External" /><Relationship Id="rId762" Type="http://schemas.openxmlformats.org/officeDocument/2006/relationships/hyperlink" Target="https://advance.lexis.com/api/document?collection=cases-ca&amp;id=urn:contentItem:5F7T-S7C1-JXG3-X0C8-00000-00&amp;context=" TargetMode="External" /><Relationship Id="rId763" Type="http://schemas.openxmlformats.org/officeDocument/2006/relationships/header" Target="header133.xml" /><Relationship Id="rId764" Type="http://schemas.openxmlformats.org/officeDocument/2006/relationships/header" Target="header134.xml" /><Relationship Id="rId765" Type="http://schemas.openxmlformats.org/officeDocument/2006/relationships/footer" Target="footer133.xml" /><Relationship Id="rId766" Type="http://schemas.openxmlformats.org/officeDocument/2006/relationships/footer" Target="footer134.xml" /><Relationship Id="rId767" Type="http://schemas.openxmlformats.org/officeDocument/2006/relationships/header" Target="header135.xml" /><Relationship Id="rId768" Type="http://schemas.openxmlformats.org/officeDocument/2006/relationships/footer" Target="footer135.xml" /><Relationship Id="rId769" Type="http://schemas.openxmlformats.org/officeDocument/2006/relationships/hyperlink" Target="https://advance.lexis.com/api/document?collection=cases-ca&amp;id=urn:contentItem:5F7T-S781-F7G6-63PY-00000-00&amp;context=" TargetMode="External" /><Relationship Id="rId77" Type="http://schemas.openxmlformats.org/officeDocument/2006/relationships/hyperlink" Target="https://advance.lexis.com/api/document?collection=cases-ca&amp;id=urn:contentItem:5F7T-S7F1-FFFC-B22K-00000-00&amp;context=" TargetMode="External" /><Relationship Id="rId770" Type="http://schemas.openxmlformats.org/officeDocument/2006/relationships/hyperlink" Target="https://advance.lexis.com/api/document?collection=cases-ca&amp;id=urn:contentItem:5F7T-S781-F27X-616M-00000-00&amp;context=" TargetMode="External" /><Relationship Id="rId771" Type="http://schemas.openxmlformats.org/officeDocument/2006/relationships/hyperlink" Target="https://advance.lexis.com/api/document?collection=cases-ca&amp;id=urn:contentItem:5F7T-S711-F4GK-M2DB-00000-00&amp;context=" TargetMode="External" /><Relationship Id="rId772" Type="http://schemas.openxmlformats.org/officeDocument/2006/relationships/hyperlink" Target="https://advance.lexis.com/api/document?collection=cases-ca&amp;id=urn:contentItem:5F7T-S711-JNY7-X30K-00000-00&amp;context=" TargetMode="External" /><Relationship Id="rId773" Type="http://schemas.openxmlformats.org/officeDocument/2006/relationships/header" Target="header136.xml" /><Relationship Id="rId774" Type="http://schemas.openxmlformats.org/officeDocument/2006/relationships/header" Target="header137.xml" /><Relationship Id="rId775" Type="http://schemas.openxmlformats.org/officeDocument/2006/relationships/footer" Target="footer136.xml" /><Relationship Id="rId776" Type="http://schemas.openxmlformats.org/officeDocument/2006/relationships/footer" Target="footer137.xml" /><Relationship Id="rId777" Type="http://schemas.openxmlformats.org/officeDocument/2006/relationships/header" Target="header138.xml" /><Relationship Id="rId778" Type="http://schemas.openxmlformats.org/officeDocument/2006/relationships/footer" Target="footer138.xml" /><Relationship Id="rId779" Type="http://schemas.openxmlformats.org/officeDocument/2006/relationships/hyperlink" Target="https://advance.lexis.com/api/document?collection=cases-ca&amp;id=urn:contentItem:5F7T-S7F1-JX3N-B1C8-00000-00&amp;context=" TargetMode="External" /><Relationship Id="rId78" Type="http://schemas.openxmlformats.org/officeDocument/2006/relationships/hyperlink" Target="https://advance.lexis.com/api/document?collection=cases-ca&amp;id=urn:contentItem:5F8T-N3V1-JF75-M3KJ-00000-00&amp;context=" TargetMode="External" /><Relationship Id="rId780" Type="http://schemas.openxmlformats.org/officeDocument/2006/relationships/hyperlink" Target="https://advance.lexis.com/api/document?collection=cases-ca&amp;id=urn:contentItem:5F7T-S741-F528-G2J5-00000-00&amp;context=" TargetMode="External" /><Relationship Id="rId781" Type="http://schemas.openxmlformats.org/officeDocument/2006/relationships/hyperlink" Target="https://advance.lexis.com/api/document?collection=cases-ca&amp;id=urn:contentItem:5F7T-S6Y1-JNY7-X2B9-00000-00&amp;context=" TargetMode="External" /><Relationship Id="rId782" Type="http://schemas.openxmlformats.org/officeDocument/2006/relationships/hyperlink" Target="https://advance.lexis.com/api/document?collection=cases-ca&amp;id=urn:contentItem:5F7T-S7D1-FFFC-B1GR-00000-00&amp;context=" TargetMode="External" /><Relationship Id="rId783" Type="http://schemas.openxmlformats.org/officeDocument/2006/relationships/hyperlink" Target="https://advance.lexis.com/api/document?collection=cases-ca&amp;id=urn:contentItem:5F7T-S7B1-FH4C-X3ST-00000-00&amp;context=" TargetMode="External" /><Relationship Id="rId784" Type="http://schemas.openxmlformats.org/officeDocument/2006/relationships/hyperlink" Target="https://advance.lexis.com/api/document?collection=cases-ca&amp;id=urn:contentItem:5F7T-S741-F1H1-21BW-00000-00&amp;context=" TargetMode="External" /><Relationship Id="rId785" Type="http://schemas.openxmlformats.org/officeDocument/2006/relationships/hyperlink" Target="https://advance.lexis.com/api/document?collection=cases-ca&amp;id=urn:contentItem:5F7T-S761-FFMK-M17C-00000-00&amp;context=" TargetMode="External" /><Relationship Id="rId786" Type="http://schemas.openxmlformats.org/officeDocument/2006/relationships/hyperlink" Target="https://advance.lexis.com/api/document?collection=cases-ca&amp;id=urn:contentItem:5F7T-S7D1-F7ND-G0RN-00000-00&amp;context=" TargetMode="External" /><Relationship Id="rId787" Type="http://schemas.openxmlformats.org/officeDocument/2006/relationships/hyperlink" Target="https://advance.lexis.com/api/document?collection=cases-ca&amp;id=urn:contentItem:5F7T-S761-JGHR-M2NB-00000-00&amp;context=" TargetMode="External" /><Relationship Id="rId788" Type="http://schemas.openxmlformats.org/officeDocument/2006/relationships/hyperlink" Target="https://advance.lexis.com/api/document?collection=cases-ca&amp;id=urn:contentItem:5F7T-S791-JCJ5-255K-00000-00&amp;context=" TargetMode="External" /><Relationship Id="rId789" Type="http://schemas.openxmlformats.org/officeDocument/2006/relationships/hyperlink" Target="https://advance.lexis.com/api/document?collection=cases-ca&amp;id=urn:contentItem:5F7T-S741-F57G-S1RF-00000-00&amp;context=" TargetMode="External" /><Relationship Id="rId79" Type="http://schemas.openxmlformats.org/officeDocument/2006/relationships/hyperlink" Target="https://advance.lexis.com/api/document?collection=cases-ca&amp;id=urn:contentItem:5F8T-N3R1-JNS1-M12J-00000-00&amp;context=" TargetMode="External" /><Relationship Id="rId790" Type="http://schemas.openxmlformats.org/officeDocument/2006/relationships/hyperlink" Target="https://advance.lexis.com/api/document?collection=cases-ca&amp;id=urn:contentItem:5F7T-S731-FG12-62TR-00000-00&amp;context=" TargetMode="External" /><Relationship Id="rId791" Type="http://schemas.openxmlformats.org/officeDocument/2006/relationships/hyperlink" Target="https://advance.lexis.com/api/document?collection=cases-ca&amp;id=urn:contentItem:5F7T-S751-JNS1-M1V7-00000-00&amp;context=" TargetMode="External" /><Relationship Id="rId792" Type="http://schemas.openxmlformats.org/officeDocument/2006/relationships/hyperlink" Target="https://advance.lexis.com/api/document?collection=cases-ca&amp;id=urn:contentItem:5F8T-N3S1-JT99-250W-00000-00&amp;context=" TargetMode="External" /><Relationship Id="rId793" Type="http://schemas.openxmlformats.org/officeDocument/2006/relationships/hyperlink" Target="https://advance.lexis.com/api/document?collection=cases-ca&amp;id=urn:contentItem:5F81-VJT1-JWJ0-G3F8-00000-00&amp;context=" TargetMode="External" /><Relationship Id="rId794" Type="http://schemas.openxmlformats.org/officeDocument/2006/relationships/header" Target="header139.xml" /><Relationship Id="rId795" Type="http://schemas.openxmlformats.org/officeDocument/2006/relationships/header" Target="header140.xml" /><Relationship Id="rId796" Type="http://schemas.openxmlformats.org/officeDocument/2006/relationships/footer" Target="footer139.xml" /><Relationship Id="rId797" Type="http://schemas.openxmlformats.org/officeDocument/2006/relationships/footer" Target="footer140.xml" /><Relationship Id="rId798" Type="http://schemas.openxmlformats.org/officeDocument/2006/relationships/header" Target="header141.xml" /><Relationship Id="rId799" Type="http://schemas.openxmlformats.org/officeDocument/2006/relationships/footer" Target="footer141.xml" /><Relationship Id="rId8" Type="http://schemas.openxmlformats.org/officeDocument/2006/relationships/header" Target="header3.xml" /><Relationship Id="rId80" Type="http://schemas.openxmlformats.org/officeDocument/2006/relationships/hyperlink" Target="https://advance.lexis.com/api/document?collection=cases-ca&amp;id=urn:contentItem:5F8P-SDF1-JKHB-61Y9-00000-00&amp;context=" TargetMode="External" /><Relationship Id="rId800" Type="http://schemas.openxmlformats.org/officeDocument/2006/relationships/hyperlink" Target="https://advance.lexis.com/api/document?collection=cases-ca&amp;id=urn:contentItem:5F7T-S7F1-DXWW-23S6-00000-00&amp;context=" TargetMode="External" /><Relationship Id="rId801" Type="http://schemas.openxmlformats.org/officeDocument/2006/relationships/hyperlink" Target="https://advance.lexis.com/api/document?collection=cases-ca&amp;id=urn:contentItem:5F8T-N3R1-JBDT-B550-00000-00&amp;context=" TargetMode="External" /><Relationship Id="rId802" Type="http://schemas.openxmlformats.org/officeDocument/2006/relationships/hyperlink" Target="https://advance.lexis.com/api/document?collection=cases-ca&amp;id=urn:contentItem:5F8T-N3P1-FC6N-X1KW-00000-00&amp;context=" TargetMode="External" /><Relationship Id="rId803" Type="http://schemas.openxmlformats.org/officeDocument/2006/relationships/hyperlink" Target="https://advance.lexis.com/api/document?collection=cases-ca&amp;id=urn:contentItem:5F7V-3DD1-JC5P-G2SJ-00000-00&amp;context=" TargetMode="External" /><Relationship Id="rId804" Type="http://schemas.openxmlformats.org/officeDocument/2006/relationships/hyperlink" Target="https://advance.lexis.com/api/document?collection=cases-ca&amp;id=urn:contentItem:5F8T-N3V1-JFKM-6038-00000-00&amp;context=" TargetMode="External" /><Relationship Id="rId805" Type="http://schemas.openxmlformats.org/officeDocument/2006/relationships/header" Target="header142.xml" /><Relationship Id="rId806" Type="http://schemas.openxmlformats.org/officeDocument/2006/relationships/header" Target="header143.xml" /><Relationship Id="rId807" Type="http://schemas.openxmlformats.org/officeDocument/2006/relationships/footer" Target="footer142.xml" /><Relationship Id="rId808" Type="http://schemas.openxmlformats.org/officeDocument/2006/relationships/footer" Target="footer143.xml" /><Relationship Id="rId809" Type="http://schemas.openxmlformats.org/officeDocument/2006/relationships/header" Target="header144.xml" /><Relationship Id="rId81" Type="http://schemas.openxmlformats.org/officeDocument/2006/relationships/hyperlink" Target="https://advance.lexis.com/api/document?collection=cases-ca&amp;id=urn:contentItem:5F7V-3DF1-FGJR-244W-00000-00&amp;context=" TargetMode="External" /><Relationship Id="rId810" Type="http://schemas.openxmlformats.org/officeDocument/2006/relationships/footer" Target="footer144.xml" /><Relationship Id="rId811" Type="http://schemas.openxmlformats.org/officeDocument/2006/relationships/hyperlink" Target="https://advance.lexis.com/api/document?collection=cases-ca&amp;id=urn:contentItem:5F7T-S7B1-FH4C-X3C8-00000-00&amp;context=" TargetMode="External" /><Relationship Id="rId812" Type="http://schemas.openxmlformats.org/officeDocument/2006/relationships/hyperlink" Target="https://advance.lexis.com/api/document?collection=cases-ca&amp;id=urn:contentItem:5F7T-S781-FH4C-X2R3-00000-00&amp;context=" TargetMode="External" /><Relationship Id="rId813" Type="http://schemas.openxmlformats.org/officeDocument/2006/relationships/hyperlink" Target="https://advance.lexis.com/api/document?collection=cases-ca&amp;id=urn:contentItem:5F7T-S781-FH4C-X2R5-00000-00&amp;context=" TargetMode="External" /><Relationship Id="rId814" Type="http://schemas.openxmlformats.org/officeDocument/2006/relationships/hyperlink" Target="https://advance.lexis.com/api/document?collection=cases-ca&amp;id=urn:contentItem:5F7T-S781-JSC5-M462-00000-00&amp;context=" TargetMode="External" /><Relationship Id="rId815" Type="http://schemas.openxmlformats.org/officeDocument/2006/relationships/hyperlink" Target="https://advance.lexis.com/api/document?collection=cases-ca&amp;id=urn:contentItem:5F7T-S741-F1H1-21JV-00000-00&amp;context=" TargetMode="External" /><Relationship Id="rId816" Type="http://schemas.openxmlformats.org/officeDocument/2006/relationships/hyperlink" Target="https://advance.lexis.com/api/document?collection=cases-ca&amp;id=urn:contentItem:5F7T-S761-FFMK-M0YH-00000-00&amp;context=" TargetMode="External" /><Relationship Id="rId817" Type="http://schemas.openxmlformats.org/officeDocument/2006/relationships/hyperlink" Target="https://advance.lexis.com/api/document?collection=cases-ca&amp;id=urn:contentItem:5F8T-N3V1-FC1F-M3WV-00000-00&amp;context=" TargetMode="External" /><Relationship Id="rId818" Type="http://schemas.openxmlformats.org/officeDocument/2006/relationships/header" Target="header145.xml" /><Relationship Id="rId819" Type="http://schemas.openxmlformats.org/officeDocument/2006/relationships/header" Target="header146.xml" /><Relationship Id="rId82" Type="http://schemas.openxmlformats.org/officeDocument/2006/relationships/hyperlink" Target="https://advance.lexis.com/api/document?collection=cases-ca&amp;id=urn:contentItem:5F81-VJV1-F8D9-M0YJ-00000-00&amp;context=" TargetMode="External" /><Relationship Id="rId820" Type="http://schemas.openxmlformats.org/officeDocument/2006/relationships/footer" Target="footer145.xml" /><Relationship Id="rId821" Type="http://schemas.openxmlformats.org/officeDocument/2006/relationships/footer" Target="footer146.xml" /><Relationship Id="rId822" Type="http://schemas.openxmlformats.org/officeDocument/2006/relationships/header" Target="header147.xml" /><Relationship Id="rId823" Type="http://schemas.openxmlformats.org/officeDocument/2006/relationships/footer" Target="footer147.xml" /><Relationship Id="rId824" Type="http://schemas.openxmlformats.org/officeDocument/2006/relationships/hyperlink" Target="https://advance.lexis.com/api/document?collection=cases-ca&amp;id=urn:contentItem:5F7T-S7P1-JSJC-X1T4-00000-00&amp;context=" TargetMode="External" /><Relationship Id="rId825" Type="http://schemas.openxmlformats.org/officeDocument/2006/relationships/hyperlink" Target="https://advance.lexis.com/api/document?collection=cases-ca&amp;id=urn:contentItem:5F7T-S721-FD4T-B0MF-00000-00&amp;context=" TargetMode="External" /><Relationship Id="rId826" Type="http://schemas.openxmlformats.org/officeDocument/2006/relationships/hyperlink" Target="https://advance.lexis.com/api/document?collection=cases-ca&amp;id=urn:contentItem:5F8T-N3V1-FC1F-M3W4-00000-00&amp;context=" TargetMode="External" /><Relationship Id="rId827" Type="http://schemas.openxmlformats.org/officeDocument/2006/relationships/hyperlink" Target="https://advance.lexis.com/api/document?collection=cases-ca&amp;id=urn:contentItem:5F82-1SF1-F361-M45M-00000-00&amp;context=" TargetMode="External" /><Relationship Id="rId828" Type="http://schemas.openxmlformats.org/officeDocument/2006/relationships/hyperlink" Target="https://advance.lexis.com/api/document?collection=cases-ca&amp;id=urn:contentItem:5F8T-N3T1-JJSF-234V-00000-00&amp;context=" TargetMode="External" /><Relationship Id="rId829" Type="http://schemas.openxmlformats.org/officeDocument/2006/relationships/hyperlink" Target="https://advance.lexis.com/api/document?collection=cases-ca&amp;id=urn:contentItem:5F7T-S7D1-JS5Y-B2JK-00000-00&amp;context=" TargetMode="External" /><Relationship Id="rId83" Type="http://schemas.openxmlformats.org/officeDocument/2006/relationships/hyperlink" Target="https://advance.lexis.com/api/document?collection=cases-ca&amp;id=urn:contentItem:5F8P-SCJ1-F27X-60GB-00000-00&amp;context=" TargetMode="External" /><Relationship Id="rId830" Type="http://schemas.openxmlformats.org/officeDocument/2006/relationships/hyperlink" Target="https://advance.lexis.com/api/document?collection=cases-ca&amp;id=urn:contentItem:5F7T-S751-JP4G-61BC-00000-00&amp;context=" TargetMode="External" /><Relationship Id="rId831" Type="http://schemas.openxmlformats.org/officeDocument/2006/relationships/hyperlink" Target="https://advance.lexis.com/api/document?collection=cases-ca&amp;id=urn:contentItem:5F7T-S7C1-JSRM-60RD-00000-00&amp;context=" TargetMode="External" /><Relationship Id="rId832" Type="http://schemas.openxmlformats.org/officeDocument/2006/relationships/hyperlink" Target="https://advance.lexis.com/api/document?collection=cases-ca&amp;id=urn:contentItem:5F7T-S7J1-JYYX-623G-00000-00&amp;context=" TargetMode="External" /><Relationship Id="rId833" Type="http://schemas.openxmlformats.org/officeDocument/2006/relationships/hyperlink" Target="https://advance.lexis.com/api/document?collection=cases-ca&amp;id=urn:contentItem:5F7T-S7M1-JCRC-B1W3-00000-00&amp;context=" TargetMode="External" /><Relationship Id="rId834" Type="http://schemas.openxmlformats.org/officeDocument/2006/relationships/hyperlink" Target="https://advance.lexis.com/api/document?collection=cases-ca&amp;id=urn:contentItem:5F7T-S781-F900-G10V-00000-00&amp;context=" TargetMode="External" /><Relationship Id="rId835" Type="http://schemas.openxmlformats.org/officeDocument/2006/relationships/hyperlink" Target="https://advance.lexis.com/api/document?collection=cases-ca&amp;id=urn:contentItem:5F7T-S7M1-JJK6-S240-00000-00&amp;context=" TargetMode="External" /><Relationship Id="rId836" Type="http://schemas.openxmlformats.org/officeDocument/2006/relationships/hyperlink" Target="https://advance.lexis.com/api/document?collection=cases-ca&amp;id=urn:contentItem:5F7T-S7C1-JS0R-22HS-00000-00&amp;context=" TargetMode="External" /><Relationship Id="rId837" Type="http://schemas.openxmlformats.org/officeDocument/2006/relationships/hyperlink" Target="https://advance.lexis.com/api/document?collection=cases-ca&amp;id=urn:contentItem:5F7T-S7C1-JXG3-X086-00000-00&amp;context=" TargetMode="External" /><Relationship Id="rId838" Type="http://schemas.openxmlformats.org/officeDocument/2006/relationships/hyperlink" Target="https://advance.lexis.com/api/document?collection=cases-ca&amp;id=urn:contentItem:5F7T-S7N1-F57G-S2N3-00000-00&amp;context=" TargetMode="External" /><Relationship Id="rId839" Type="http://schemas.openxmlformats.org/officeDocument/2006/relationships/hyperlink" Target="https://advance.lexis.com/api/document?collection=cases-ca&amp;id=urn:contentItem:5F7T-S7D1-FCSB-S377-00000-00&amp;context=" TargetMode="External" /><Relationship Id="rId84" Type="http://schemas.openxmlformats.org/officeDocument/2006/relationships/hyperlink" Target="https://advance.lexis.com/api/document?collection=cases-ca&amp;id=urn:contentItem:5F7H-KW81-JF75-M1R0-00000-00&amp;context=" TargetMode="External" /><Relationship Id="rId840" Type="http://schemas.openxmlformats.org/officeDocument/2006/relationships/hyperlink" Target="https://advance.lexis.com/api/document?collection=cases-ca&amp;id=urn:contentItem:5F7T-S7N1-F57G-S2N2-00000-00&amp;context=" TargetMode="External" /><Relationship Id="rId841" Type="http://schemas.openxmlformats.org/officeDocument/2006/relationships/hyperlink" Target="https://advance.lexis.com/api/document?collection=cases-ca&amp;id=urn:contentItem:5F7T-S7N1-JJ1H-X2VV-00000-00&amp;context=" TargetMode="External" /><Relationship Id="rId842" Type="http://schemas.openxmlformats.org/officeDocument/2006/relationships/hyperlink" Target="https://advance.lexis.com/api/document?collection=cases-ca&amp;id=urn:contentItem:5F7T-S7N1-DXWW-206B-00000-00&amp;context=" TargetMode="External" /><Relationship Id="rId843" Type="http://schemas.openxmlformats.org/officeDocument/2006/relationships/hyperlink" Target="https://advance.lexis.com/api/document?collection=cases-ca&amp;id=urn:contentItem:5F7T-S7J1-JNS1-M2G2-00000-00&amp;context=" TargetMode="External" /><Relationship Id="rId844" Type="http://schemas.openxmlformats.org/officeDocument/2006/relationships/hyperlink" Target="https://advance.lexis.com/api/document?collection=cases-ca&amp;id=urn:contentItem:5F7T-S7K1-JKHB-62PC-00000-00&amp;context=" TargetMode="External" /><Relationship Id="rId845" Type="http://schemas.openxmlformats.org/officeDocument/2006/relationships/hyperlink" Target="https://advance.lexis.com/api/document?collection=cases-ca&amp;id=urn:contentItem:5F7T-S7K1-DY33-B1KT-00000-00&amp;context=" TargetMode="External" /><Relationship Id="rId846" Type="http://schemas.openxmlformats.org/officeDocument/2006/relationships/hyperlink" Target="https://advance.lexis.com/api/document?collection=cases-ca&amp;id=urn:contentItem:5F7T-S6X1-JTNR-M3X3-00000-00&amp;context=" TargetMode="External" /><Relationship Id="rId847" Type="http://schemas.openxmlformats.org/officeDocument/2006/relationships/hyperlink" Target="https://advance.lexis.com/api/document?collection=cases-ca&amp;id=urn:contentItem:5F81-VJX1-F5T5-M3YH-00000-00&amp;context=" TargetMode="External" /><Relationship Id="rId848" Type="http://schemas.openxmlformats.org/officeDocument/2006/relationships/hyperlink" Target="https://advance.lexis.com/api/document?collection=cases-ca&amp;id=urn:contentItem:5F7T-S731-DY33-B0YN-00000-00&amp;context=" TargetMode="External" /><Relationship Id="rId849" Type="http://schemas.openxmlformats.org/officeDocument/2006/relationships/hyperlink" Target="https://advance.lexis.com/api/document?collection=cases-ca&amp;id=urn:contentItem:5F7T-S7J1-DXWW-251K-00000-00&amp;context=" TargetMode="External" /><Relationship Id="rId85" Type="http://schemas.openxmlformats.org/officeDocument/2006/relationships/hyperlink" Target="https://advance.lexis.com/api/document?collection=cases-ca&amp;id=urn:contentItem:5F7T-S7C1-JCJ5-20S1-00000-00&amp;context=" TargetMode="External" /><Relationship Id="rId850" Type="http://schemas.openxmlformats.org/officeDocument/2006/relationships/hyperlink" Target="https://advance.lexis.com/api/document?collection=cases-ca&amp;id=urn:contentItem:5F7T-S7D1-F7ND-G0MH-00000-00&amp;context=" TargetMode="External" /><Relationship Id="rId851" Type="http://schemas.openxmlformats.org/officeDocument/2006/relationships/hyperlink" Target="https://advance.lexis.com/api/document?collection=cases-ca&amp;id=urn:contentItem:5F7T-S7C1-F4NT-X3NB-00000-00&amp;context=" TargetMode="External" /><Relationship Id="rId852" Type="http://schemas.openxmlformats.org/officeDocument/2006/relationships/header" Target="header148.xml" /><Relationship Id="rId853" Type="http://schemas.openxmlformats.org/officeDocument/2006/relationships/header" Target="header149.xml" /><Relationship Id="rId854" Type="http://schemas.openxmlformats.org/officeDocument/2006/relationships/footer" Target="footer148.xml" /><Relationship Id="rId855" Type="http://schemas.openxmlformats.org/officeDocument/2006/relationships/footer" Target="footer149.xml" /><Relationship Id="rId856" Type="http://schemas.openxmlformats.org/officeDocument/2006/relationships/header" Target="header150.xml" /><Relationship Id="rId857" Type="http://schemas.openxmlformats.org/officeDocument/2006/relationships/footer" Target="footer150.xml" /><Relationship Id="rId858" Type="http://schemas.openxmlformats.org/officeDocument/2006/relationships/hyperlink" Target="https://advance.lexis.com/api/document?collection=cases-ca&amp;id=urn:contentItem:5F7T-S771-JN14-G27J-00000-00&amp;context=" TargetMode="External" /><Relationship Id="rId859" Type="http://schemas.openxmlformats.org/officeDocument/2006/relationships/hyperlink" Target="https://advance.lexis.com/api/document?collection=cases-ca&amp;id=urn:contentItem:5K6Y-81T1-F7VM-S3VG-00000-00&amp;context=" TargetMode="External" /><Relationship Id="rId86" Type="http://schemas.openxmlformats.org/officeDocument/2006/relationships/hyperlink" Target="https://advance.lexis.com/api/document?collection=cases-ca&amp;id=urn:contentItem:5F8P-SD11-JBDT-B2GN-00000-00&amp;context=" TargetMode="External" /><Relationship Id="rId860" Type="http://schemas.openxmlformats.org/officeDocument/2006/relationships/hyperlink" Target="https://advance.lexis.com/api/document?collection=legislation-ca&amp;id=urn:contentItem:5F41-1FM1-JG59-220C-00000-00&amp;context=" TargetMode="External" /><Relationship Id="rId861" Type="http://schemas.openxmlformats.org/officeDocument/2006/relationships/hyperlink" Target="https://advance.lexis.com/api/document?collection=legislation-ca&amp;id=urn:contentItem:5F41-1FG1-DXHD-G1WY-00000-00&amp;context=" TargetMode="External" /><Relationship Id="rId862" Type="http://schemas.openxmlformats.org/officeDocument/2006/relationships/hyperlink" Target="https://advance.lexis.com/api/document?collection=cases-ca&amp;id=urn:contentItem:5F81-WC31-F5KY-B4P9-00000-00&amp;context=" TargetMode="External" /><Relationship Id="rId863" Type="http://schemas.openxmlformats.org/officeDocument/2006/relationships/hyperlink" Target="https://advance.lexis.com/api/document?collection=cases-ca&amp;id=urn:contentItem:5F8T-N3S1-JT99-24KB-00000-00&amp;context=" TargetMode="External" /><Relationship Id="rId864" Type="http://schemas.openxmlformats.org/officeDocument/2006/relationships/numbering" Target="numbering.xml" /><Relationship Id="rId865" Type="http://schemas.openxmlformats.org/officeDocument/2006/relationships/styles" Target="styles.xml" /><Relationship Id="rId87" Type="http://schemas.openxmlformats.org/officeDocument/2006/relationships/hyperlink" Target="https://advance.lexis.com/api/document?collection=cases-ca&amp;id=urn:contentItem:5F8P-SCT1-JGPY-X0RP-00000-00&amp;context=" TargetMode="External" /><Relationship Id="rId88" Type="http://schemas.openxmlformats.org/officeDocument/2006/relationships/header" Target="header19.xml" /><Relationship Id="rId89" Type="http://schemas.openxmlformats.org/officeDocument/2006/relationships/header" Target="header20.xml" /><Relationship Id="rId9" Type="http://schemas.openxmlformats.org/officeDocument/2006/relationships/footer" Target="footer3.xml" /><Relationship Id="rId90" Type="http://schemas.openxmlformats.org/officeDocument/2006/relationships/footer" Target="footer19.xml" /><Relationship Id="rId91" Type="http://schemas.openxmlformats.org/officeDocument/2006/relationships/footer" Target="footer20.xml" /><Relationship Id="rId92" Type="http://schemas.openxmlformats.org/officeDocument/2006/relationships/header" Target="header21.xml" /><Relationship Id="rId93" Type="http://schemas.openxmlformats.org/officeDocument/2006/relationships/footer" Target="footer21.xml" /><Relationship Id="rId94" Type="http://schemas.openxmlformats.org/officeDocument/2006/relationships/hyperlink" Target="https://advance.lexis.com/api/document?collection=cases-ca&amp;id=urn:contentItem:5F7T-S7F1-JK4W-M1D2-00000-00&amp;context=" TargetMode="External" /><Relationship Id="rId95" Type="http://schemas.openxmlformats.org/officeDocument/2006/relationships/hyperlink" Target="https://advance.lexis.com/api/document?collection=cases-ca&amp;id=urn:contentItem:5F8T-N3V1-JF75-M3S6-00000-00&amp;context=" TargetMode="External" /><Relationship Id="rId96" Type="http://schemas.openxmlformats.org/officeDocument/2006/relationships/header" Target="header22.xml" /><Relationship Id="rId97" Type="http://schemas.openxmlformats.org/officeDocument/2006/relationships/header" Target="header23.xml" /><Relationship Id="rId98" Type="http://schemas.openxmlformats.org/officeDocument/2006/relationships/footer" Target="footer22.xml" /><Relationship Id="rId99" Type="http://schemas.openxmlformats.org/officeDocument/2006/relationships/footer" Target="footer23.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N.I.P. v. Blencoe, [2000] B.C.J. No. 2254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115045837</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